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r w:rsidRPr="000E22C2">
        <w:rPr>
          <w:rFonts w:eastAsiaTheme="minorEastAsia" w:hint="eastAsia"/>
          <w:b w:val="0"/>
          <w:sz w:val="24"/>
          <w:szCs w:val="24"/>
          <w:lang w:eastAsia="ja-JP"/>
        </w:rPr>
        <w:t>S</w:t>
      </w:r>
      <w:r w:rsidRPr="000E22C2">
        <w:rPr>
          <w:rFonts w:eastAsiaTheme="minorEastAsia"/>
          <w:b w:val="0"/>
          <w:sz w:val="24"/>
          <w:szCs w:val="24"/>
          <w:lang w:eastAsia="ja-JP"/>
        </w:rPr>
        <w:t>upplementary material for:</w:t>
      </w: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sz w:val="24"/>
          <w:szCs w:val="24"/>
          <w:lang w:eastAsia="ja-JP"/>
        </w:rPr>
      </w:pP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sz w:val="24"/>
          <w:szCs w:val="24"/>
          <w:lang w:eastAsia="ja-JP"/>
        </w:rPr>
      </w:pPr>
      <w:r w:rsidRPr="000E22C2">
        <w:rPr>
          <w:rFonts w:eastAsiaTheme="minorEastAsia"/>
          <w:sz w:val="24"/>
          <w:szCs w:val="24"/>
          <w:lang w:eastAsia="ja-JP"/>
        </w:rPr>
        <w:t>Dynamic conditions for large</w:t>
      </w:r>
      <w:r w:rsidRPr="000E22C2">
        <w:rPr>
          <w:rFonts w:eastAsiaTheme="minorEastAsia" w:hint="eastAsia"/>
          <w:sz w:val="24"/>
          <w:szCs w:val="24"/>
          <w:lang w:eastAsia="ja-JP"/>
        </w:rPr>
        <w:t>,</w:t>
      </w:r>
      <w:r w:rsidRPr="000E22C2">
        <w:rPr>
          <w:rFonts w:eastAsiaTheme="minorEastAsia"/>
          <w:sz w:val="24"/>
          <w:szCs w:val="24"/>
          <w:lang w:eastAsia="ja-JP"/>
        </w:rPr>
        <w:t xml:space="preserve"> shallow </w:t>
      </w:r>
      <w:r w:rsidRPr="000E22C2">
        <w:rPr>
          <w:rFonts w:eastAsiaTheme="minorEastAsia" w:hint="eastAsia"/>
          <w:sz w:val="24"/>
          <w:szCs w:val="24"/>
          <w:lang w:eastAsia="ja-JP"/>
        </w:rPr>
        <w:t xml:space="preserve">intraslab </w:t>
      </w:r>
      <w:r w:rsidRPr="000E22C2">
        <w:rPr>
          <w:rFonts w:eastAsiaTheme="minorEastAsia"/>
          <w:sz w:val="24"/>
          <w:szCs w:val="24"/>
          <w:lang w:eastAsia="ja-JP"/>
        </w:rPr>
        <w:t>earthquakes</w:t>
      </w:r>
    </w:p>
    <w:p w:rsidR="00AF364C" w:rsidRPr="000E22C2" w:rsidRDefault="00AF364C" w:rsidP="00A025AE">
      <w:pPr>
        <w:pStyle w:val="Head"/>
        <w:keepNext w:val="0"/>
        <w:widowControl w:val="0"/>
        <w:kinsoku w:val="0"/>
        <w:overflowPunct w:val="0"/>
        <w:adjustRightInd w:val="0"/>
        <w:snapToGrid w:val="0"/>
        <w:spacing w:before="0" w:after="0"/>
        <w:outlineLvl w:val="9"/>
        <w:rPr>
          <w:b w:val="0"/>
          <w:sz w:val="24"/>
          <w:szCs w:val="24"/>
        </w:rPr>
      </w:pP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r w:rsidRPr="000E22C2">
        <w:rPr>
          <w:rFonts w:eastAsiaTheme="minorEastAsia" w:hint="eastAsia"/>
          <w:b w:val="0"/>
          <w:sz w:val="24"/>
          <w:szCs w:val="24"/>
          <w:lang w:eastAsia="ja-JP"/>
        </w:rPr>
        <w:t>Masaki Yoshida</w:t>
      </w:r>
      <w:r w:rsidRPr="000E22C2">
        <w:rPr>
          <w:rFonts w:eastAsiaTheme="minorEastAsia" w:hint="eastAsia"/>
          <w:b w:val="0"/>
          <w:sz w:val="24"/>
          <w:szCs w:val="24"/>
          <w:vertAlign w:val="superscript"/>
          <w:lang w:eastAsia="ja-JP"/>
        </w:rPr>
        <w:t>1*</w:t>
      </w: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r w:rsidRPr="000E22C2">
        <w:rPr>
          <w:b w:val="0"/>
          <w:sz w:val="24"/>
          <w:szCs w:val="24"/>
          <w:vertAlign w:val="superscript"/>
        </w:rPr>
        <w:t>1</w:t>
      </w:r>
      <w:r w:rsidRPr="000E22C2">
        <w:rPr>
          <w:b w:val="0"/>
          <w:sz w:val="24"/>
          <w:szCs w:val="24"/>
        </w:rPr>
        <w:t>Department of Physical Sciences,</w:t>
      </w:r>
      <w:r w:rsidRPr="000E22C2">
        <w:rPr>
          <w:rFonts w:eastAsiaTheme="minorEastAsia" w:hint="eastAsia"/>
          <w:b w:val="0"/>
          <w:sz w:val="24"/>
          <w:szCs w:val="24"/>
          <w:lang w:eastAsia="ja-JP"/>
        </w:rPr>
        <w:t xml:space="preserve"> </w:t>
      </w:r>
      <w:r w:rsidRPr="000E22C2">
        <w:rPr>
          <w:rFonts w:eastAsiaTheme="minorEastAsia"/>
          <w:b w:val="0"/>
          <w:sz w:val="24"/>
          <w:szCs w:val="24"/>
          <w:lang w:eastAsia="ja-JP"/>
        </w:rPr>
        <w:t>College of Science and Engineering,</w:t>
      </w:r>
      <w:r w:rsidRPr="000E22C2">
        <w:rPr>
          <w:rFonts w:eastAsiaTheme="minorEastAsia" w:hint="eastAsia"/>
          <w:b w:val="0"/>
          <w:sz w:val="24"/>
          <w:szCs w:val="24"/>
          <w:lang w:eastAsia="ja-JP"/>
        </w:rPr>
        <w:t xml:space="preserve"> </w:t>
      </w:r>
      <w:r w:rsidRPr="000E22C2">
        <w:rPr>
          <w:rFonts w:eastAsiaTheme="minorEastAsia"/>
          <w:b w:val="0"/>
          <w:sz w:val="24"/>
          <w:szCs w:val="24"/>
          <w:lang w:eastAsia="ja-JP"/>
        </w:rPr>
        <w:t>Ritsumeikan University,</w:t>
      </w:r>
      <w:r w:rsidRPr="000E22C2">
        <w:rPr>
          <w:rFonts w:eastAsiaTheme="minorEastAsia" w:hint="eastAsia"/>
          <w:b w:val="0"/>
          <w:sz w:val="24"/>
          <w:szCs w:val="24"/>
          <w:lang w:eastAsia="ja-JP"/>
        </w:rPr>
        <w:t xml:space="preserve"> </w:t>
      </w:r>
      <w:r w:rsidRPr="000E22C2">
        <w:rPr>
          <w:rFonts w:eastAsiaTheme="minorEastAsia"/>
          <w:b w:val="0"/>
          <w:sz w:val="24"/>
          <w:szCs w:val="24"/>
          <w:lang w:eastAsia="ja-JP"/>
        </w:rPr>
        <w:t>1-1-1 Nojihigashi, Kusatsu, Shiga 525-8577, Japan</w:t>
      </w: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sz w:val="24"/>
          <w:szCs w:val="24"/>
          <w:lang w:eastAsia="ja-JP"/>
        </w:rPr>
      </w:pPr>
      <w:r w:rsidRPr="000E22C2">
        <w:rPr>
          <w:rFonts w:eastAsiaTheme="minorEastAsia" w:hint="eastAsia"/>
          <w:b w:val="0"/>
          <w:kern w:val="0"/>
          <w:sz w:val="24"/>
          <w:szCs w:val="24"/>
          <w:lang w:eastAsia="ja-JP"/>
        </w:rPr>
        <w:t>*</w:t>
      </w:r>
      <w:r w:rsidRPr="000E22C2">
        <w:rPr>
          <w:b w:val="0"/>
          <w:kern w:val="0"/>
          <w:sz w:val="24"/>
          <w:szCs w:val="24"/>
        </w:rPr>
        <w:t>Correspond</w:t>
      </w:r>
      <w:r w:rsidRPr="000E22C2">
        <w:rPr>
          <w:rFonts w:eastAsiaTheme="minorEastAsia" w:hint="eastAsia"/>
          <w:b w:val="0"/>
          <w:kern w:val="0"/>
          <w:sz w:val="24"/>
          <w:szCs w:val="24"/>
          <w:lang w:eastAsia="ja-JP"/>
        </w:rPr>
        <w:t>ence: Masaki Yoshida</w:t>
      </w:r>
    </w:p>
    <w:p w:rsidR="00AF364C" w:rsidRPr="000E22C2" w:rsidRDefault="00AF364C" w:rsidP="00A025AE">
      <w:pPr>
        <w:pStyle w:val="Head"/>
        <w:keepNext w:val="0"/>
        <w:widowControl w:val="0"/>
        <w:kinsoku w:val="0"/>
        <w:overflowPunct w:val="0"/>
        <w:adjustRightInd w:val="0"/>
        <w:snapToGrid w:val="0"/>
        <w:spacing w:before="0" w:after="0"/>
        <w:outlineLvl w:val="9"/>
        <w:rPr>
          <w:rFonts w:eastAsiaTheme="minorEastAsia"/>
          <w:b w:val="0"/>
          <w:kern w:val="0"/>
          <w:sz w:val="24"/>
          <w:szCs w:val="24"/>
          <w:lang w:eastAsia="ja-JP"/>
        </w:rPr>
      </w:pPr>
      <w:r w:rsidRPr="000E22C2">
        <w:rPr>
          <w:b w:val="0"/>
          <w:kern w:val="0"/>
          <w:sz w:val="24"/>
          <w:szCs w:val="24"/>
        </w:rPr>
        <w:t>masakiy@fc.ritsumei.ac.jp</w:t>
      </w:r>
    </w:p>
    <w:p w:rsidR="00AF364C" w:rsidRPr="000E22C2" w:rsidRDefault="00AF364C" w:rsidP="00A025AE">
      <w:pPr>
        <w:adjustRightInd w:val="0"/>
        <w:snapToGrid w:val="0"/>
        <w:rPr>
          <w:rFonts w:ascii="Times New Roman" w:hAnsi="Times New Roman" w:cs="Times New Roman"/>
          <w:sz w:val="24"/>
          <w:szCs w:val="24"/>
        </w:rPr>
      </w:pPr>
    </w:p>
    <w:p w:rsidR="00AF364C" w:rsidRPr="000E22C2" w:rsidRDefault="00AF364C" w:rsidP="00866C3E">
      <w:pPr>
        <w:widowControl/>
        <w:jc w:val="left"/>
        <w:rPr>
          <w:rFonts w:ascii="Times New Roman" w:hAnsi="Times New Roman" w:cs="Times New Roman"/>
          <w:b/>
          <w:bCs/>
          <w:iCs/>
          <w:sz w:val="24"/>
          <w:szCs w:val="24"/>
        </w:rPr>
      </w:pPr>
      <w:r w:rsidRPr="000E22C2">
        <w:rPr>
          <w:rFonts w:ascii="Times New Roman" w:hAnsi="Times New Roman" w:cs="Times New Roman"/>
          <w:b/>
          <w:bCs/>
          <w:iCs/>
          <w:sz w:val="24"/>
          <w:szCs w:val="24"/>
        </w:rPr>
        <w:t>Supplementary figures</w:t>
      </w:r>
    </w:p>
    <w:p w:rsidR="00AF364C" w:rsidRPr="000E22C2" w:rsidRDefault="00AF364C" w:rsidP="00A025AE">
      <w:pPr>
        <w:adjustRightInd w:val="0"/>
        <w:snapToGrid w:val="0"/>
        <w:rPr>
          <w:rFonts w:ascii="Times New Roman" w:hAnsi="Times New Roman" w:cs="Times New Roman"/>
          <w:sz w:val="24"/>
          <w:szCs w:val="24"/>
        </w:rPr>
      </w:pPr>
    </w:p>
    <w:p w:rsidR="00AF364C" w:rsidRPr="000E22C2" w:rsidRDefault="00AF364C">
      <w:pPr>
        <w:widowControl/>
        <w:jc w:val="left"/>
        <w:rPr>
          <w:rFonts w:ascii="Times New Roman" w:hAnsi="Times New Roman" w:cs="Times New Roman"/>
          <w:noProof/>
          <w:sz w:val="24"/>
          <w:szCs w:val="24"/>
        </w:rPr>
      </w:pPr>
      <w:r w:rsidRPr="000E22C2">
        <w:rPr>
          <w:rFonts w:ascii="Times New Roman" w:hAnsi="Times New Roman" w:cs="Times New Roman"/>
          <w:noProof/>
          <w:sz w:val="24"/>
          <w:szCs w:val="24"/>
        </w:rPr>
        <w:br w:type="page"/>
      </w:r>
    </w:p>
    <w:p w:rsidR="00AF364C" w:rsidRPr="000E22C2" w:rsidRDefault="00AF364C" w:rsidP="00C97235">
      <w:pPr>
        <w:adjustRightInd w:val="0"/>
        <w:snapToGrid w:val="0"/>
        <w:jc w:val="center"/>
        <w:rPr>
          <w:rFonts w:ascii="Times New Roman" w:hAnsi="Times New Roman" w:cs="Times New Roman"/>
          <w:b/>
          <w:sz w:val="24"/>
          <w:szCs w:val="24"/>
        </w:rPr>
      </w:pPr>
      <w:r w:rsidRPr="000E22C2">
        <w:rPr>
          <w:rFonts w:ascii="Times New Roman" w:hAnsi="Times New Roman" w:cs="Times New Roman"/>
          <w:noProof/>
          <w:sz w:val="24"/>
          <w:szCs w:val="24"/>
        </w:rPr>
        <w:lastRenderedPageBreak/>
        <w:drawing>
          <wp:inline distT="0" distB="0" distL="0" distR="0" wp14:anchorId="6A5AA5CD" wp14:editId="74489D4F">
            <wp:extent cx="5391150" cy="5049520"/>
            <wp:effectExtent l="0" t="0" r="0" b="0"/>
            <wp:docPr id="4688207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1150" cy="5049520"/>
                    </a:xfrm>
                    <a:prstGeom prst="rect">
                      <a:avLst/>
                    </a:prstGeom>
                    <a:noFill/>
                    <a:ln>
                      <a:noFill/>
                    </a:ln>
                  </pic:spPr>
                </pic:pic>
              </a:graphicData>
            </a:graphic>
          </wp:inline>
        </w:drawing>
      </w:r>
    </w:p>
    <w:p w:rsidR="00AF364C" w:rsidRPr="000E22C2" w:rsidRDefault="00AF364C" w:rsidP="003415BF">
      <w:pPr>
        <w:adjustRightInd w:val="0"/>
        <w:snapToGrid w:val="0"/>
        <w:rPr>
          <w:rFonts w:ascii="Times New Roman" w:hAnsi="Times New Roman" w:cs="Times New Roman"/>
          <w:b/>
          <w:sz w:val="24"/>
          <w:szCs w:val="24"/>
        </w:rPr>
      </w:pPr>
    </w:p>
    <w:p w:rsidR="00AF364C" w:rsidRPr="000E22C2" w:rsidRDefault="00AF364C" w:rsidP="003415BF">
      <w:pPr>
        <w:adjustRightInd w:val="0"/>
        <w:snapToGrid w:val="0"/>
        <w:rPr>
          <w:rFonts w:ascii="Times New Roman" w:hAnsi="Times New Roman" w:cs="Times New Roman"/>
          <w:sz w:val="24"/>
          <w:szCs w:val="24"/>
        </w:rPr>
      </w:pPr>
      <w:r w:rsidRPr="000E22C2">
        <w:rPr>
          <w:rFonts w:ascii="Times New Roman" w:hAnsi="Times New Roman" w:cs="Times New Roman" w:hint="eastAsia"/>
          <w:b/>
          <w:sz w:val="24"/>
          <w:szCs w:val="24"/>
        </w:rPr>
        <w:t>F</w:t>
      </w:r>
      <w:r w:rsidRPr="000E22C2">
        <w:rPr>
          <w:rFonts w:ascii="Times New Roman" w:hAnsi="Times New Roman" w:cs="Times New Roman"/>
          <w:b/>
          <w:sz w:val="24"/>
          <w:szCs w:val="24"/>
        </w:rPr>
        <w:t>igure S1.</w:t>
      </w:r>
      <w:r w:rsidRPr="000E22C2">
        <w:rPr>
          <w:rFonts w:ascii="Times New Roman" w:hAnsi="Times New Roman" w:cs="Times New Roman" w:hint="eastAsia"/>
          <w:sz w:val="24"/>
          <w:szCs w:val="24"/>
        </w:rPr>
        <w:t xml:space="preserve"> </w:t>
      </w:r>
      <w:r w:rsidRPr="000E22C2">
        <w:rPr>
          <w:rFonts w:ascii="Times New Roman" w:hAnsi="Times New Roman" w:cs="Times New Roman"/>
          <w:sz w:val="24"/>
          <w:szCs w:val="24"/>
        </w:rPr>
        <w:t xml:space="preserve">Diagrams relating to trenches in SB4 reference frame </w:t>
      </w:r>
      <w:r w:rsidRPr="000E22C2">
        <w:rPr>
          <w:rFonts w:ascii="Times New Roman" w:hAnsi="Times New Roman" w:cs="Times New Roman"/>
          <w:noProof/>
          <w:sz w:val="24"/>
          <w:szCs w:val="24"/>
        </w:rPr>
        <w:t>(Becker, 2006; Steinberger et al., 2004)</w:t>
      </w:r>
      <w:r w:rsidRPr="000E22C2">
        <w:rPr>
          <w:rFonts w:ascii="Times New Roman" w:hAnsi="Times New Roman" w:cs="Times New Roman"/>
          <w:sz w:val="24"/>
          <w:szCs w:val="24"/>
        </w:rPr>
        <w:t>. Velocities of the subducting plate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sub</w:t>
      </w:r>
      <w:r w:rsidRPr="000E22C2">
        <w:rPr>
          <w:rFonts w:ascii="Times New Roman" w:hAnsi="Times New Roman" w:cs="Times New Roman"/>
          <w:sz w:val="24"/>
          <w:szCs w:val="24"/>
        </w:rPr>
        <w:t>) versus the that of overriding plate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up</w:t>
      </w:r>
      <w:r w:rsidRPr="000E22C2">
        <w:rPr>
          <w:rFonts w:ascii="Times New Roman" w:hAnsi="Times New Roman" w:cs="Times New Roman"/>
          <w:sz w:val="24"/>
          <w:szCs w:val="24"/>
        </w:rPr>
        <w:t>) for (a) 166 trenches and (b) trenches where the large shallow intraslab earthquakes (LSIEs) occur.</w:t>
      </w:r>
      <w:r w:rsidRPr="000E22C2">
        <w:rPr>
          <w:rFonts w:ascii="Times New Roman" w:hAnsi="Times New Roman" w:cs="Times New Roman" w:hint="eastAsia"/>
          <w:sz w:val="24"/>
          <w:szCs w:val="24"/>
        </w:rPr>
        <w:t xml:space="preserve"> </w:t>
      </w:r>
      <w:r w:rsidRPr="000E22C2">
        <w:rPr>
          <w:rFonts w:ascii="Times New Roman" w:hAnsi="Times New Roman" w:cs="Times New Roman"/>
          <w:sz w:val="24"/>
          <w:szCs w:val="24"/>
        </w:rPr>
        <w:t>Back-arc deformation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d</w:t>
      </w:r>
      <w:r w:rsidRPr="000E22C2">
        <w:rPr>
          <w:rFonts w:ascii="Times New Roman" w:hAnsi="Times New Roman" w:cs="Times New Roman"/>
          <w:sz w:val="24"/>
          <w:szCs w:val="24"/>
        </w:rPr>
        <w:t>) versus fore-arc deformation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c</w:t>
      </w:r>
      <w:r w:rsidRPr="000E22C2">
        <w:rPr>
          <w:rFonts w:ascii="Times New Roman" w:hAnsi="Times New Roman" w:cs="Times New Roman"/>
          <w:sz w:val="24"/>
          <w:szCs w:val="24"/>
        </w:rPr>
        <w:t xml:space="preserve">) for (c) 166 trenches and (d) trenches where LSIEs occur. Green, gray, and orange circles show the extension, neutral, and compressional stress regimes as deduced from focal mechanisms of earthquakes following the work of </w:t>
      </w:r>
      <w:r w:rsidRPr="000E22C2">
        <w:rPr>
          <w:rFonts w:ascii="Times New Roman" w:hAnsi="Times New Roman" w:cs="Times New Roman"/>
          <w:noProof/>
          <w:sz w:val="24"/>
          <w:szCs w:val="24"/>
        </w:rPr>
        <w:t>Lallemand et al. (2008)</w:t>
      </w:r>
      <w:r w:rsidRPr="000E22C2">
        <w:rPr>
          <w:rFonts w:ascii="Times New Roman" w:hAnsi="Times New Roman" w:cs="Times New Roman"/>
          <w:sz w:val="24"/>
          <w:szCs w:val="24"/>
        </w:rPr>
        <w:t>.</w:t>
      </w:r>
    </w:p>
    <w:p w:rsidR="00AF364C" w:rsidRPr="000E22C2" w:rsidRDefault="00AF364C" w:rsidP="003415BF">
      <w:pPr>
        <w:adjustRightInd w:val="0"/>
        <w:snapToGrid w:val="0"/>
        <w:rPr>
          <w:rFonts w:ascii="Times New Roman" w:hAnsi="Times New Roman" w:cs="Times New Roman"/>
          <w:noProof/>
          <w:sz w:val="24"/>
          <w:szCs w:val="24"/>
        </w:rPr>
      </w:pPr>
    </w:p>
    <w:p w:rsidR="00AF364C" w:rsidRPr="000E22C2" w:rsidRDefault="00AF364C" w:rsidP="00C97235">
      <w:pPr>
        <w:adjustRightInd w:val="0"/>
        <w:snapToGrid w:val="0"/>
        <w:jc w:val="center"/>
        <w:rPr>
          <w:rFonts w:ascii="Times New Roman" w:hAnsi="Times New Roman" w:cs="Times New Roman"/>
          <w:sz w:val="24"/>
          <w:szCs w:val="24"/>
        </w:rPr>
      </w:pPr>
      <w:r w:rsidRPr="000E22C2">
        <w:rPr>
          <w:rFonts w:ascii="Times New Roman" w:hAnsi="Times New Roman" w:cs="Times New Roman"/>
          <w:noProof/>
          <w:sz w:val="24"/>
          <w:szCs w:val="24"/>
        </w:rPr>
        <w:lastRenderedPageBreak/>
        <w:drawing>
          <wp:inline distT="0" distB="0" distL="0" distR="0" wp14:anchorId="52D9121D" wp14:editId="4CCD1FC5">
            <wp:extent cx="5391150" cy="5049520"/>
            <wp:effectExtent l="0" t="0" r="0" b="0"/>
            <wp:docPr id="20124463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1150" cy="5049520"/>
                    </a:xfrm>
                    <a:prstGeom prst="rect">
                      <a:avLst/>
                    </a:prstGeom>
                    <a:noFill/>
                    <a:ln>
                      <a:noFill/>
                    </a:ln>
                  </pic:spPr>
                </pic:pic>
              </a:graphicData>
            </a:graphic>
          </wp:inline>
        </w:drawing>
      </w:r>
    </w:p>
    <w:p w:rsidR="00AF364C" w:rsidRPr="000E22C2" w:rsidRDefault="00AF364C" w:rsidP="003415BF">
      <w:pPr>
        <w:adjustRightInd w:val="0"/>
        <w:snapToGrid w:val="0"/>
        <w:rPr>
          <w:rFonts w:ascii="Times New Roman" w:hAnsi="Times New Roman" w:cs="Times New Roman"/>
          <w:sz w:val="24"/>
          <w:szCs w:val="24"/>
        </w:rPr>
      </w:pPr>
    </w:p>
    <w:p w:rsidR="00AF364C" w:rsidRPr="000E22C2" w:rsidRDefault="00AF364C" w:rsidP="003415BF">
      <w:pPr>
        <w:adjustRightInd w:val="0"/>
        <w:snapToGrid w:val="0"/>
        <w:rPr>
          <w:rFonts w:ascii="Times New Roman" w:hAnsi="Times New Roman" w:cs="Times New Roman"/>
          <w:sz w:val="24"/>
          <w:szCs w:val="24"/>
        </w:rPr>
      </w:pPr>
      <w:r w:rsidRPr="000E22C2">
        <w:rPr>
          <w:rFonts w:ascii="Times New Roman" w:hAnsi="Times New Roman" w:cs="Times New Roman" w:hint="eastAsia"/>
          <w:b/>
          <w:sz w:val="24"/>
          <w:szCs w:val="24"/>
        </w:rPr>
        <w:t>F</w:t>
      </w:r>
      <w:r w:rsidRPr="000E22C2">
        <w:rPr>
          <w:rFonts w:ascii="Times New Roman" w:hAnsi="Times New Roman" w:cs="Times New Roman"/>
          <w:b/>
          <w:sz w:val="24"/>
          <w:szCs w:val="24"/>
        </w:rPr>
        <w:t>igure S2.</w:t>
      </w:r>
      <w:r w:rsidRPr="000E22C2">
        <w:rPr>
          <w:rFonts w:ascii="Times New Roman" w:hAnsi="Times New Roman" w:cs="Times New Roman" w:hint="eastAsia"/>
          <w:sz w:val="24"/>
          <w:szCs w:val="24"/>
        </w:rPr>
        <w:t xml:space="preserve"> </w:t>
      </w:r>
      <w:r w:rsidRPr="000E22C2">
        <w:rPr>
          <w:rFonts w:ascii="Times New Roman" w:hAnsi="Times New Roman" w:cs="Times New Roman"/>
          <w:sz w:val="24"/>
          <w:szCs w:val="24"/>
        </w:rPr>
        <w:t xml:space="preserve">Diagrams relating to trenches in NNR reference frame </w:t>
      </w:r>
      <w:r w:rsidRPr="000E22C2">
        <w:rPr>
          <w:rFonts w:ascii="Times New Roman" w:hAnsi="Times New Roman" w:cs="Times New Roman"/>
          <w:noProof/>
          <w:sz w:val="24"/>
          <w:szCs w:val="24"/>
        </w:rPr>
        <w:t>(DeMets et al., 1994; Gripp and Gordon, 2002)</w:t>
      </w:r>
      <w:r w:rsidRPr="000E22C2">
        <w:rPr>
          <w:rFonts w:ascii="Times New Roman" w:hAnsi="Times New Roman" w:cs="Times New Roman"/>
          <w:sz w:val="24"/>
          <w:szCs w:val="24"/>
        </w:rPr>
        <w:t>. Velocities of the subducting plate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sub</w:t>
      </w:r>
      <w:r w:rsidRPr="000E22C2">
        <w:rPr>
          <w:rFonts w:ascii="Times New Roman" w:hAnsi="Times New Roman" w:cs="Times New Roman"/>
          <w:sz w:val="24"/>
          <w:szCs w:val="24"/>
        </w:rPr>
        <w:t>) versus the that of overriding plate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up</w:t>
      </w:r>
      <w:r w:rsidRPr="000E22C2">
        <w:rPr>
          <w:rFonts w:ascii="Times New Roman" w:hAnsi="Times New Roman" w:cs="Times New Roman"/>
          <w:sz w:val="24"/>
          <w:szCs w:val="24"/>
        </w:rPr>
        <w:t>) for (a) 166 trenches and (b) trenches where the large shallow intraslab earthquakes (LSIEs) occur.</w:t>
      </w:r>
      <w:r w:rsidRPr="000E22C2">
        <w:rPr>
          <w:rFonts w:ascii="Times New Roman" w:hAnsi="Times New Roman" w:cs="Times New Roman" w:hint="eastAsia"/>
          <w:sz w:val="24"/>
          <w:szCs w:val="24"/>
        </w:rPr>
        <w:t xml:space="preserve"> </w:t>
      </w:r>
      <w:r w:rsidRPr="000E22C2">
        <w:rPr>
          <w:rFonts w:ascii="Times New Roman" w:hAnsi="Times New Roman" w:cs="Times New Roman"/>
          <w:sz w:val="24"/>
          <w:szCs w:val="24"/>
        </w:rPr>
        <w:t>Back-arc deformation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d</w:t>
      </w:r>
      <w:r w:rsidRPr="000E22C2">
        <w:rPr>
          <w:rFonts w:ascii="Times New Roman" w:hAnsi="Times New Roman" w:cs="Times New Roman"/>
          <w:sz w:val="24"/>
          <w:szCs w:val="24"/>
        </w:rPr>
        <w:t>) versus fore-arc deformation (</w:t>
      </w:r>
      <w:r w:rsidRPr="000E22C2">
        <w:rPr>
          <w:rFonts w:ascii="Times New Roman" w:hAnsi="Times New Roman" w:cs="Times New Roman"/>
          <w:i/>
          <w:sz w:val="24"/>
          <w:szCs w:val="24"/>
        </w:rPr>
        <w:t>v</w:t>
      </w:r>
      <w:r w:rsidRPr="000E22C2">
        <w:rPr>
          <w:rFonts w:ascii="Times New Roman" w:hAnsi="Times New Roman" w:cs="Times New Roman"/>
          <w:i/>
          <w:sz w:val="24"/>
          <w:szCs w:val="24"/>
          <w:vertAlign w:val="subscript"/>
        </w:rPr>
        <w:t>c</w:t>
      </w:r>
      <w:r w:rsidRPr="000E22C2">
        <w:rPr>
          <w:rFonts w:ascii="Times New Roman" w:hAnsi="Times New Roman" w:cs="Times New Roman"/>
          <w:sz w:val="24"/>
          <w:szCs w:val="24"/>
        </w:rPr>
        <w:t xml:space="preserve">) for (c) 166 trenches and (d) trenches where LSIEs occur. Green, gray, and orange circles show the extension, neutral, and compressional stress regimes as deduced from focal mechanisms of earthquakes following the work of </w:t>
      </w:r>
      <w:r w:rsidRPr="000E22C2">
        <w:rPr>
          <w:rFonts w:ascii="Times New Roman" w:hAnsi="Times New Roman" w:cs="Times New Roman"/>
          <w:noProof/>
          <w:sz w:val="24"/>
          <w:szCs w:val="24"/>
        </w:rPr>
        <w:t>Lallemand et al. (2008)</w:t>
      </w:r>
      <w:r w:rsidRPr="000E22C2">
        <w:rPr>
          <w:rFonts w:ascii="Times New Roman" w:hAnsi="Times New Roman" w:cs="Times New Roman"/>
          <w:sz w:val="24"/>
          <w:szCs w:val="24"/>
        </w:rPr>
        <w:t>.</w:t>
      </w:r>
    </w:p>
    <w:p w:rsidR="00AF364C" w:rsidRPr="000E22C2" w:rsidRDefault="00AF364C" w:rsidP="003415BF">
      <w:pPr>
        <w:adjustRightInd w:val="0"/>
        <w:snapToGrid w:val="0"/>
        <w:rPr>
          <w:rFonts w:ascii="Times New Roman" w:hAnsi="Times New Roman" w:cs="Times New Roman"/>
          <w:sz w:val="24"/>
          <w:szCs w:val="24"/>
        </w:rPr>
      </w:pPr>
    </w:p>
    <w:p w:rsidR="00AF364C" w:rsidRPr="000E22C2" w:rsidRDefault="00AF364C">
      <w:pPr>
        <w:widowControl/>
        <w:jc w:val="left"/>
        <w:rPr>
          <w:rFonts w:ascii="Times New Roman" w:hAnsi="Times New Roman" w:cs="Times New Roman"/>
          <w:b/>
          <w:bCs/>
          <w:sz w:val="24"/>
          <w:szCs w:val="24"/>
        </w:rPr>
      </w:pPr>
      <w:r w:rsidRPr="000E22C2">
        <w:rPr>
          <w:rFonts w:ascii="Times New Roman" w:hAnsi="Times New Roman" w:cs="Times New Roman"/>
          <w:b/>
          <w:bCs/>
          <w:sz w:val="24"/>
          <w:szCs w:val="24"/>
        </w:rPr>
        <w:br w:type="page"/>
      </w:r>
    </w:p>
    <w:p w:rsidR="00AF364C" w:rsidRPr="000E22C2" w:rsidRDefault="00AF364C" w:rsidP="00FC36BB">
      <w:pPr>
        <w:adjustRightInd w:val="0"/>
        <w:snapToGrid w:val="0"/>
        <w:rPr>
          <w:rFonts w:ascii="Times New Roman" w:hAnsi="Times New Roman" w:cs="Times New Roman"/>
          <w:b/>
          <w:bCs/>
          <w:sz w:val="24"/>
          <w:szCs w:val="24"/>
        </w:rPr>
      </w:pPr>
      <w:r w:rsidRPr="000E22C2">
        <w:rPr>
          <w:rFonts w:ascii="Times New Roman" w:hAnsi="Times New Roman" w:cs="Times New Roman" w:hint="eastAsia"/>
          <w:b/>
          <w:bCs/>
          <w:sz w:val="24"/>
          <w:szCs w:val="24"/>
        </w:rPr>
        <w:lastRenderedPageBreak/>
        <w:t>References</w:t>
      </w:r>
    </w:p>
    <w:p w:rsidR="00AF364C" w:rsidRPr="000E22C2" w:rsidRDefault="00AF364C" w:rsidP="00AF1DB3">
      <w:pPr>
        <w:pStyle w:val="EndNoteBibliography"/>
        <w:ind w:left="720" w:hanging="720"/>
      </w:pPr>
      <w:r w:rsidRPr="000E22C2">
        <w:t xml:space="preserve">Becker TW (2006) On the effect of temperature and strain-rate dependent viscosity on global mantle flow, net rotation, and plate-driving forces. Geophys. J. Int. 167(2):943-957. </w:t>
      </w:r>
      <w:r w:rsidRPr="00AF364C">
        <w:t>https://doi.org/10.1111/j.1365-246X.2006.03172.x</w:t>
      </w:r>
      <w:r w:rsidRPr="000E22C2">
        <w:t>.</w:t>
      </w:r>
    </w:p>
    <w:p w:rsidR="00AF364C" w:rsidRPr="000E22C2" w:rsidRDefault="00AF364C" w:rsidP="00AF1DB3">
      <w:pPr>
        <w:pStyle w:val="EndNoteBibliography"/>
        <w:ind w:left="720" w:hanging="720"/>
      </w:pPr>
      <w:r w:rsidRPr="000E22C2">
        <w:t xml:space="preserve">DeMets C, Gordon RG, Argus DF, Stein S (1994) Effect of recent revisions to the geomagnetic reversal time scale on estimates of current plate motions. Geophys. Res. Lett. 21(20):2191-2194. </w:t>
      </w:r>
      <w:r w:rsidRPr="00AF364C">
        <w:t>https://doi.org/10.1029/94GL02118</w:t>
      </w:r>
      <w:r w:rsidRPr="000E22C2">
        <w:t>.</w:t>
      </w:r>
    </w:p>
    <w:p w:rsidR="00AF364C" w:rsidRPr="000E22C2" w:rsidRDefault="00AF364C" w:rsidP="00AF1DB3">
      <w:pPr>
        <w:pStyle w:val="EndNoteBibliography"/>
        <w:ind w:left="720" w:hanging="720"/>
      </w:pPr>
      <w:r w:rsidRPr="000E22C2">
        <w:t xml:space="preserve">Gripp AE, Gordon RG (2002) Young tracks of hotspots and current plate velocities. Geophys. J. Int. 150(2):321-361. </w:t>
      </w:r>
      <w:r w:rsidRPr="00AF364C">
        <w:t>https://doi.org/10.1046/j.1365-246X.2002.01627.x</w:t>
      </w:r>
      <w:r w:rsidRPr="000E22C2">
        <w:t>.</w:t>
      </w:r>
    </w:p>
    <w:p w:rsidR="00AF364C" w:rsidRPr="000E22C2" w:rsidRDefault="00AF364C" w:rsidP="00AF1DB3">
      <w:pPr>
        <w:pStyle w:val="EndNoteBibliography"/>
        <w:ind w:left="720" w:hanging="720"/>
      </w:pPr>
      <w:r w:rsidRPr="000E22C2">
        <w:t xml:space="preserve">Lallemand S, Heuret A, Faccenna C, Funiciello F (2008) Subduction dynamics as revealed by trench migration. Tectonics 27(3):TC3014. </w:t>
      </w:r>
      <w:r w:rsidRPr="00AF364C">
        <w:t>https://doi.org/10.1029/2007TC002212</w:t>
      </w:r>
      <w:r w:rsidRPr="000E22C2">
        <w:t>.</w:t>
      </w:r>
    </w:p>
    <w:p w:rsidR="00AF364C" w:rsidRPr="000E22C2" w:rsidRDefault="00AF364C" w:rsidP="00AF1DB3">
      <w:pPr>
        <w:pStyle w:val="EndNoteBibliography"/>
        <w:ind w:left="720" w:hanging="720"/>
      </w:pPr>
      <w:r w:rsidRPr="000E22C2">
        <w:t xml:space="preserve">Steinberger B, Sutherland R, O'Connell RJ (2004) Prediction of Emperor-Hawaii seamount locations from a revised model of global plate motion and mantle flow. Nature 430:167-173. </w:t>
      </w:r>
      <w:r w:rsidRPr="00AF364C">
        <w:t>https://doi.org/10.1038/nature02660</w:t>
      </w:r>
      <w:r w:rsidRPr="000E22C2">
        <w:t>.</w:t>
      </w:r>
    </w:p>
    <w:p w:rsidR="00AF364C" w:rsidRPr="000E22C2" w:rsidRDefault="00AF364C" w:rsidP="00FC36BB">
      <w:pPr>
        <w:adjustRightInd w:val="0"/>
        <w:snapToGrid w:val="0"/>
        <w:rPr>
          <w:rFonts w:ascii="Times New Roman" w:hAnsi="Times New Roman" w:cs="Times New Roman"/>
          <w:sz w:val="24"/>
          <w:szCs w:val="24"/>
        </w:rPr>
      </w:pPr>
    </w:p>
    <w:p w:rsidR="00FC1FD9" w:rsidRDefault="00FC1FD9"/>
    <w:sectPr w:rsidR="00FC1FD9" w:rsidSect="00AF364C">
      <w:headerReference w:type="default" r:id="rId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6537828"/>
      <w:docPartObj>
        <w:docPartGallery w:val="Page Numbers (Top of Page)"/>
        <w:docPartUnique/>
      </w:docPartObj>
    </w:sdtPr>
    <w:sdtContent>
      <w:p w14:paraId="1AAC7009" w14:textId="77777777" w:rsidR="00000000" w:rsidRDefault="00000000">
        <w:pPr>
          <w:pStyle w:val="ab"/>
          <w:jc w:val="right"/>
        </w:pPr>
        <w:r>
          <w:fldChar w:fldCharType="begin"/>
        </w:r>
        <w:r>
          <w:instrText>PAGE   \* MERGEFORMAT</w:instrText>
        </w:r>
        <w:r>
          <w:fldChar w:fldCharType="separate"/>
        </w:r>
        <w:r w:rsidRPr="00537184">
          <w:rPr>
            <w:noProof/>
            <w:lang w:val="ja-JP"/>
          </w:rPr>
          <w:t>3</w:t>
        </w:r>
        <w:r>
          <w:fldChar w:fldCharType="end"/>
        </w:r>
      </w:p>
    </w:sdtContent>
  </w:sdt>
  <w:p w14:paraId="6452B819" w14:textId="77777777" w:rsidR="00000000" w:rsidRDefault="000000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E75FA"/>
    <w:multiLevelType w:val="hybridMultilevel"/>
    <w:tmpl w:val="76AC0EE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B65513"/>
    <w:multiLevelType w:val="hybridMultilevel"/>
    <w:tmpl w:val="1436B06C"/>
    <w:lvl w:ilvl="0" w:tplc="27542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F4385B"/>
    <w:multiLevelType w:val="hybridMultilevel"/>
    <w:tmpl w:val="84F2B2C6"/>
    <w:lvl w:ilvl="0" w:tplc="BECC2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004261">
    <w:abstractNumId w:val="0"/>
  </w:num>
  <w:num w:numId="2" w16cid:durableId="1653096605">
    <w:abstractNumId w:val="1"/>
  </w:num>
  <w:num w:numId="3" w16cid:durableId="758454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F364C"/>
    <w:rsid w:val="007677F6"/>
    <w:rsid w:val="00AF364C"/>
    <w:rsid w:val="00C3420B"/>
    <w:rsid w:val="00D368F9"/>
    <w:rsid w:val="00FC1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27DF766-EB16-4533-8348-19E9E2E9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Ｐ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64C"/>
    <w:pPr>
      <w:widowControl w:val="0"/>
      <w:jc w:val="both"/>
    </w:pPr>
    <w:rPr>
      <w:rFonts w:asciiTheme="minorHAnsi" w:eastAsiaTheme="minorEastAsia" w:hAnsiTheme="minorHAnsi"/>
      <w:sz w:val="21"/>
    </w:rPr>
  </w:style>
  <w:style w:type="paragraph" w:styleId="1">
    <w:name w:val="heading 1"/>
    <w:basedOn w:val="a"/>
    <w:next w:val="a"/>
    <w:link w:val="10"/>
    <w:uiPriority w:val="9"/>
    <w:qFormat/>
    <w:rsid w:val="00AF36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36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364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AF36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36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36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36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36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36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rsid w:val="00AF364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F364C"/>
  </w:style>
  <w:style w:type="character" w:customStyle="1" w:styleId="10">
    <w:name w:val="見出し 1 (文字)"/>
    <w:basedOn w:val="a0"/>
    <w:link w:val="1"/>
    <w:uiPriority w:val="9"/>
    <w:rsid w:val="00AF36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36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364C"/>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AF36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36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36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36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36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36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364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36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6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36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364C"/>
    <w:pPr>
      <w:spacing w:before="160" w:after="160"/>
      <w:jc w:val="center"/>
    </w:pPr>
    <w:rPr>
      <w:i/>
      <w:iCs/>
      <w:color w:val="404040" w:themeColor="text1" w:themeTint="BF"/>
    </w:rPr>
  </w:style>
  <w:style w:type="character" w:customStyle="1" w:styleId="a8">
    <w:name w:val="引用文 (文字)"/>
    <w:basedOn w:val="a0"/>
    <w:link w:val="a7"/>
    <w:uiPriority w:val="29"/>
    <w:rsid w:val="00AF364C"/>
    <w:rPr>
      <w:i/>
      <w:iCs/>
      <w:color w:val="404040" w:themeColor="text1" w:themeTint="BF"/>
    </w:rPr>
  </w:style>
  <w:style w:type="paragraph" w:styleId="a9">
    <w:name w:val="List Paragraph"/>
    <w:basedOn w:val="a"/>
    <w:uiPriority w:val="34"/>
    <w:qFormat/>
    <w:rsid w:val="00AF364C"/>
    <w:pPr>
      <w:ind w:leftChars="400" w:left="840"/>
    </w:pPr>
  </w:style>
  <w:style w:type="character" w:styleId="21">
    <w:name w:val="Intense Emphasis"/>
    <w:basedOn w:val="a0"/>
    <w:uiPriority w:val="21"/>
    <w:qFormat/>
    <w:rsid w:val="00AF364C"/>
    <w:rPr>
      <w:i/>
      <w:iCs/>
      <w:color w:val="0F4761" w:themeColor="accent1" w:themeShade="BF"/>
    </w:rPr>
  </w:style>
  <w:style w:type="paragraph" w:styleId="22">
    <w:name w:val="Intense Quote"/>
    <w:basedOn w:val="a"/>
    <w:next w:val="a"/>
    <w:link w:val="23"/>
    <w:uiPriority w:val="30"/>
    <w:qFormat/>
    <w:rsid w:val="00AF3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364C"/>
    <w:rPr>
      <w:i/>
      <w:iCs/>
      <w:color w:val="0F4761" w:themeColor="accent1" w:themeShade="BF"/>
    </w:rPr>
  </w:style>
  <w:style w:type="character" w:styleId="24">
    <w:name w:val="Intense Reference"/>
    <w:basedOn w:val="a0"/>
    <w:uiPriority w:val="32"/>
    <w:qFormat/>
    <w:rsid w:val="00AF364C"/>
    <w:rPr>
      <w:b/>
      <w:bCs/>
      <w:smallCaps/>
      <w:color w:val="0F4761" w:themeColor="accent1" w:themeShade="BF"/>
      <w:spacing w:val="5"/>
    </w:rPr>
  </w:style>
  <w:style w:type="character" w:styleId="aa">
    <w:name w:val="line number"/>
    <w:basedOn w:val="a0"/>
    <w:uiPriority w:val="99"/>
    <w:semiHidden/>
    <w:unhideWhenUsed/>
    <w:rsid w:val="00AF364C"/>
  </w:style>
  <w:style w:type="paragraph" w:customStyle="1" w:styleId="EndNoteBibliographyTitle">
    <w:name w:val="EndNote Bibliography Title"/>
    <w:basedOn w:val="a"/>
    <w:link w:val="EndNoteBibliographyTitle0"/>
    <w:rsid w:val="00AF364C"/>
    <w:pPr>
      <w:jc w:val="center"/>
    </w:pPr>
    <w:rPr>
      <w:rFonts w:ascii="Times New Roman" w:hAnsi="Times New Roman" w:cs="Times New Roman"/>
      <w:noProof/>
      <w:sz w:val="24"/>
    </w:rPr>
  </w:style>
  <w:style w:type="character" w:customStyle="1" w:styleId="EndNoteBibliographyTitle0">
    <w:name w:val="EndNote Bibliography Title (文字)"/>
    <w:basedOn w:val="a0"/>
    <w:link w:val="EndNoteBibliographyTitle"/>
    <w:rsid w:val="00AF364C"/>
    <w:rPr>
      <w:rFonts w:eastAsiaTheme="minorEastAsia" w:cs="Times New Roman"/>
      <w:noProof/>
    </w:rPr>
  </w:style>
  <w:style w:type="paragraph" w:customStyle="1" w:styleId="EndNoteBibliography">
    <w:name w:val="EndNote Bibliography"/>
    <w:basedOn w:val="a"/>
    <w:link w:val="EndNoteBibliography0"/>
    <w:rsid w:val="00AF364C"/>
    <w:rPr>
      <w:rFonts w:ascii="Times New Roman" w:hAnsi="Times New Roman" w:cs="Times New Roman"/>
      <w:noProof/>
      <w:sz w:val="24"/>
    </w:rPr>
  </w:style>
  <w:style w:type="character" w:customStyle="1" w:styleId="EndNoteBibliography0">
    <w:name w:val="EndNote Bibliography (文字)"/>
    <w:basedOn w:val="a0"/>
    <w:link w:val="EndNoteBibliography"/>
    <w:rsid w:val="00AF364C"/>
    <w:rPr>
      <w:rFonts w:eastAsiaTheme="minorEastAsia" w:cs="Times New Roman"/>
      <w:noProof/>
    </w:rPr>
  </w:style>
  <w:style w:type="paragraph" w:customStyle="1" w:styleId="Head">
    <w:name w:val="Head"/>
    <w:basedOn w:val="a"/>
    <w:rsid w:val="00AF364C"/>
    <w:pPr>
      <w:keepNext/>
      <w:widowControl/>
      <w:spacing w:before="120" w:after="120"/>
      <w:jc w:val="center"/>
      <w:outlineLvl w:val="0"/>
    </w:pPr>
    <w:rPr>
      <w:rFonts w:ascii="Times New Roman" w:eastAsia="Times New Roman" w:hAnsi="Times New Roman" w:cs="Times New Roman"/>
      <w:b/>
      <w:bCs/>
      <w:kern w:val="28"/>
      <w:sz w:val="28"/>
      <w:szCs w:val="28"/>
      <w:lang w:eastAsia="en-US"/>
    </w:rPr>
  </w:style>
  <w:style w:type="paragraph" w:styleId="ab">
    <w:name w:val="header"/>
    <w:basedOn w:val="a"/>
    <w:link w:val="ac"/>
    <w:uiPriority w:val="99"/>
    <w:unhideWhenUsed/>
    <w:rsid w:val="00AF364C"/>
    <w:pPr>
      <w:tabs>
        <w:tab w:val="center" w:pos="4252"/>
        <w:tab w:val="right" w:pos="8504"/>
      </w:tabs>
      <w:snapToGrid w:val="0"/>
    </w:pPr>
  </w:style>
  <w:style w:type="character" w:customStyle="1" w:styleId="ac">
    <w:name w:val="ヘッダー (文字)"/>
    <w:basedOn w:val="a0"/>
    <w:link w:val="ab"/>
    <w:uiPriority w:val="99"/>
    <w:rsid w:val="00AF364C"/>
    <w:rPr>
      <w:rFonts w:asciiTheme="minorHAnsi" w:eastAsiaTheme="minorEastAsia" w:hAnsiTheme="minorHAnsi"/>
      <w:sz w:val="21"/>
    </w:rPr>
  </w:style>
  <w:style w:type="paragraph" w:styleId="ad">
    <w:name w:val="footer"/>
    <w:basedOn w:val="a"/>
    <w:link w:val="ae"/>
    <w:uiPriority w:val="99"/>
    <w:unhideWhenUsed/>
    <w:rsid w:val="00AF364C"/>
    <w:pPr>
      <w:tabs>
        <w:tab w:val="center" w:pos="4252"/>
        <w:tab w:val="right" w:pos="8504"/>
      </w:tabs>
      <w:snapToGrid w:val="0"/>
    </w:pPr>
  </w:style>
  <w:style w:type="character" w:customStyle="1" w:styleId="ae">
    <w:name w:val="フッター (文字)"/>
    <w:basedOn w:val="a0"/>
    <w:link w:val="ad"/>
    <w:uiPriority w:val="99"/>
    <w:rsid w:val="00AF364C"/>
    <w:rPr>
      <w:rFonts w:asciiTheme="minorHAnsi" w:eastAsiaTheme="minorEastAsia" w:hAnsiTheme="minorHAnsi"/>
      <w:sz w:val="21"/>
    </w:rPr>
  </w:style>
  <w:style w:type="table" w:styleId="af">
    <w:name w:val="Table Grid"/>
    <w:basedOn w:val="a1"/>
    <w:uiPriority w:val="39"/>
    <w:rsid w:val="00AF364C"/>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F364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F364C"/>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AF364C"/>
    <w:rPr>
      <w:sz w:val="16"/>
      <w:szCs w:val="16"/>
    </w:rPr>
  </w:style>
  <w:style w:type="paragraph" w:styleId="af3">
    <w:name w:val="annotation text"/>
    <w:basedOn w:val="a"/>
    <w:link w:val="af4"/>
    <w:uiPriority w:val="99"/>
    <w:semiHidden/>
    <w:unhideWhenUsed/>
    <w:rsid w:val="00AF364C"/>
    <w:rPr>
      <w:sz w:val="20"/>
      <w:szCs w:val="20"/>
    </w:rPr>
  </w:style>
  <w:style w:type="character" w:customStyle="1" w:styleId="af4">
    <w:name w:val="コメント文字列 (文字)"/>
    <w:basedOn w:val="a0"/>
    <w:link w:val="af3"/>
    <w:uiPriority w:val="99"/>
    <w:semiHidden/>
    <w:rsid w:val="00AF364C"/>
    <w:rPr>
      <w:rFonts w:asciiTheme="minorHAnsi" w:eastAsiaTheme="minorEastAsia" w:hAnsiTheme="minorHAnsi"/>
      <w:sz w:val="20"/>
      <w:szCs w:val="20"/>
    </w:rPr>
  </w:style>
  <w:style w:type="paragraph" w:styleId="af5">
    <w:name w:val="annotation subject"/>
    <w:basedOn w:val="af3"/>
    <w:next w:val="af3"/>
    <w:link w:val="af6"/>
    <w:uiPriority w:val="99"/>
    <w:semiHidden/>
    <w:unhideWhenUsed/>
    <w:rsid w:val="00AF364C"/>
    <w:rPr>
      <w:b/>
      <w:bCs/>
    </w:rPr>
  </w:style>
  <w:style w:type="character" w:customStyle="1" w:styleId="af6">
    <w:name w:val="コメント内容 (文字)"/>
    <w:basedOn w:val="af4"/>
    <w:link w:val="af5"/>
    <w:uiPriority w:val="99"/>
    <w:semiHidden/>
    <w:rsid w:val="00AF364C"/>
    <w:rPr>
      <w:rFonts w:asciiTheme="minorHAnsi" w:eastAsiaTheme="minorEastAsia" w:hAnsiTheme="minorHAnsi"/>
      <w:b/>
      <w:bCs/>
      <w:sz w:val="20"/>
      <w:szCs w:val="20"/>
    </w:rPr>
  </w:style>
  <w:style w:type="character" w:styleId="af7">
    <w:name w:val="Hyperlink"/>
    <w:basedOn w:val="a0"/>
    <w:uiPriority w:val="99"/>
    <w:unhideWhenUsed/>
    <w:rsid w:val="00AF364C"/>
    <w:rPr>
      <w:color w:val="467886" w:themeColor="hyperlink"/>
      <w:u w:val="single"/>
    </w:rPr>
  </w:style>
  <w:style w:type="character" w:styleId="af8">
    <w:name w:val="Unresolved Mention"/>
    <w:basedOn w:val="a0"/>
    <w:uiPriority w:val="99"/>
    <w:semiHidden/>
    <w:unhideWhenUsed/>
    <w:rsid w:val="00AF3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晶樹(masakiy)</dc:creator>
  <cp:keywords/>
  <dc:description/>
  <cp:lastModifiedBy>吉田 晶樹(masakiy)</cp:lastModifiedBy>
  <cp:revision>1</cp:revision>
  <dcterms:created xsi:type="dcterms:W3CDTF">2024-06-21T06:29:00Z</dcterms:created>
  <dcterms:modified xsi:type="dcterms:W3CDTF">2024-06-21T06:29:00Z</dcterms:modified>
</cp:coreProperties>
</file>