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C05ABB" w14:textId="77777777" w:rsidR="0067218E" w:rsidRDefault="0067218E" w:rsidP="0067218E">
      <w:pPr>
        <w:bidi w:val="0"/>
        <w:spacing w:line="480" w:lineRule="auto"/>
        <w:jc w:val="both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Supplementary materials</w:t>
      </w:r>
    </w:p>
    <w:p w14:paraId="4065B60A" w14:textId="77777777" w:rsidR="0067218E" w:rsidRDefault="0067218E" w:rsidP="0067218E">
      <w:pPr>
        <w:suppressAutoHyphens/>
        <w:bidi w:val="0"/>
        <w:spacing w:line="480" w:lineRule="auto"/>
        <w:jc w:val="both"/>
        <w:rPr>
          <w:rFonts w:asciiTheme="majorBidi" w:eastAsia="Calibri" w:hAnsiTheme="majorBidi" w:cstheme="majorBidi"/>
          <w:b/>
          <w:bCs/>
          <w:i/>
          <w:iCs/>
          <w:lang w:eastAsia="en-US"/>
        </w:rPr>
      </w:pPr>
      <w:r w:rsidRPr="00876A7D">
        <w:rPr>
          <w:rFonts w:asciiTheme="majorBidi" w:eastAsia="Calibri" w:hAnsiTheme="majorBidi" w:cstheme="majorBidi"/>
          <w:b/>
          <w:bCs/>
          <w:i/>
          <w:iCs/>
          <w:lang w:eastAsia="en-US"/>
        </w:rPr>
        <w:t>Reaction Time</w:t>
      </w:r>
    </w:p>
    <w:p w14:paraId="19056C16" w14:textId="77777777" w:rsidR="0067218E" w:rsidRDefault="0067218E" w:rsidP="0067218E">
      <w:pPr>
        <w:suppressAutoHyphens/>
        <w:bidi w:val="0"/>
        <w:spacing w:after="120" w:line="480" w:lineRule="auto"/>
        <w:ind w:firstLine="720"/>
        <w:jc w:val="both"/>
        <w:rPr>
          <w:rFonts w:asciiTheme="majorBidi" w:eastAsia="Calibri" w:hAnsiTheme="majorBidi" w:cstheme="majorBidi"/>
          <w:lang w:eastAsia="en-US"/>
        </w:rPr>
      </w:pPr>
      <w:r w:rsidRPr="00876A7D">
        <w:rPr>
          <w:rFonts w:asciiTheme="majorBidi" w:eastAsia="Calibri" w:hAnsiTheme="majorBidi" w:cstheme="majorBidi"/>
          <w:lang w:eastAsia="en-US"/>
        </w:rPr>
        <w:t xml:space="preserve">RT </w:t>
      </w:r>
      <w:r>
        <w:rPr>
          <w:rFonts w:asciiTheme="majorBidi" w:eastAsia="Calibri" w:hAnsiTheme="majorBidi" w:cstheme="majorBidi"/>
          <w:lang w:eastAsia="en-US"/>
        </w:rPr>
        <w:t>was compared across prime groups (semantic and non-semantic prime in experiments 1-4; Congruent, Incongruent and Non-word in Experiment 5) within display conditions (no-</w:t>
      </w:r>
      <w:proofErr w:type="spellStart"/>
      <w:r>
        <w:rPr>
          <w:rFonts w:asciiTheme="majorBidi" w:eastAsia="Calibri" w:hAnsiTheme="majorBidi" w:cstheme="majorBidi"/>
          <w:lang w:eastAsia="en-US"/>
        </w:rPr>
        <w:t>Kanizsa</w:t>
      </w:r>
      <w:proofErr w:type="spellEnd"/>
      <w:r>
        <w:rPr>
          <w:rFonts w:asciiTheme="majorBidi" w:eastAsia="Calibri" w:hAnsiTheme="majorBidi" w:cstheme="majorBidi"/>
          <w:lang w:eastAsia="en-US"/>
        </w:rPr>
        <w:t xml:space="preserve"> and </w:t>
      </w:r>
      <w:proofErr w:type="spellStart"/>
      <w:r>
        <w:rPr>
          <w:rFonts w:asciiTheme="majorBidi" w:eastAsia="Calibri" w:hAnsiTheme="majorBidi" w:cstheme="majorBidi"/>
          <w:lang w:eastAsia="en-US"/>
        </w:rPr>
        <w:t>Kanizsa</w:t>
      </w:r>
      <w:proofErr w:type="spellEnd"/>
      <w:r>
        <w:rPr>
          <w:rFonts w:asciiTheme="majorBidi" w:eastAsia="Calibri" w:hAnsiTheme="majorBidi" w:cstheme="majorBidi"/>
          <w:lang w:eastAsia="en-US"/>
        </w:rPr>
        <w:t xml:space="preserve"> in experiment 1-4). D</w:t>
      </w:r>
      <w:r w:rsidRPr="00E104D2">
        <w:rPr>
          <w:rFonts w:asciiTheme="majorBidi" w:eastAsia="Calibri" w:hAnsiTheme="majorBidi" w:cstheme="majorBidi"/>
          <w:lang w:eastAsia="en-US"/>
        </w:rPr>
        <w:t>ifference</w:t>
      </w:r>
      <w:r>
        <w:rPr>
          <w:rFonts w:asciiTheme="majorBidi" w:eastAsia="Calibri" w:hAnsiTheme="majorBidi" w:cstheme="majorBidi"/>
          <w:lang w:eastAsia="en-US"/>
        </w:rPr>
        <w:t>s</w:t>
      </w:r>
      <w:r w:rsidRPr="00E104D2">
        <w:rPr>
          <w:rFonts w:asciiTheme="majorBidi" w:eastAsia="Calibri" w:hAnsiTheme="majorBidi" w:cstheme="majorBidi"/>
          <w:lang w:eastAsia="en-US"/>
        </w:rPr>
        <w:t xml:space="preserve"> </w:t>
      </w:r>
      <w:r>
        <w:rPr>
          <w:rFonts w:asciiTheme="majorBidi" w:eastAsia="Calibri" w:hAnsiTheme="majorBidi" w:cstheme="majorBidi"/>
          <w:lang w:eastAsia="en-US"/>
        </w:rPr>
        <w:t>were found only in Experiment 3 (Table S1). There, in the no-</w:t>
      </w:r>
      <w:proofErr w:type="spellStart"/>
      <w:r>
        <w:rPr>
          <w:rFonts w:asciiTheme="majorBidi" w:eastAsia="Calibri" w:hAnsiTheme="majorBidi" w:cstheme="majorBidi"/>
          <w:lang w:eastAsia="en-US"/>
        </w:rPr>
        <w:t>Kanizsa</w:t>
      </w:r>
      <w:proofErr w:type="spellEnd"/>
      <w:r>
        <w:rPr>
          <w:rFonts w:asciiTheme="majorBidi" w:eastAsia="Calibri" w:hAnsiTheme="majorBidi" w:cstheme="majorBidi"/>
          <w:lang w:eastAsia="en-US"/>
        </w:rPr>
        <w:t xml:space="preserve"> display, semantic primes were followed by quicker responses than non-semantic primes (M = </w:t>
      </w:r>
      <w:r w:rsidRPr="00AF5787">
        <w:rPr>
          <w:rFonts w:asciiTheme="majorBidi" w:eastAsia="Calibri" w:hAnsiTheme="majorBidi" w:cstheme="majorBidi"/>
          <w:lang w:eastAsia="en-US"/>
        </w:rPr>
        <w:t>4.56</w:t>
      </w:r>
      <w:r>
        <w:rPr>
          <w:rFonts w:asciiTheme="majorBidi" w:eastAsia="Calibri" w:hAnsiTheme="majorBidi" w:cstheme="majorBidi"/>
          <w:lang w:eastAsia="en-US"/>
        </w:rPr>
        <w:t xml:space="preserve">, SD = </w:t>
      </w:r>
      <w:r w:rsidRPr="00AF5787">
        <w:rPr>
          <w:rFonts w:asciiTheme="majorBidi" w:eastAsia="Calibri" w:hAnsiTheme="majorBidi" w:cstheme="majorBidi"/>
          <w:lang w:eastAsia="en-US"/>
        </w:rPr>
        <w:t>1.84</w:t>
      </w:r>
      <w:r>
        <w:rPr>
          <w:rFonts w:asciiTheme="majorBidi" w:eastAsia="Calibri" w:hAnsiTheme="majorBidi" w:cstheme="majorBidi"/>
          <w:lang w:eastAsia="en-US"/>
        </w:rPr>
        <w:t xml:space="preserve">, M = </w:t>
      </w:r>
      <w:r w:rsidRPr="00AF5787">
        <w:rPr>
          <w:rFonts w:asciiTheme="majorBidi" w:eastAsia="Calibri" w:hAnsiTheme="majorBidi" w:cstheme="majorBidi"/>
          <w:lang w:eastAsia="en-US"/>
        </w:rPr>
        <w:t>5.81</w:t>
      </w:r>
      <w:r>
        <w:rPr>
          <w:rFonts w:asciiTheme="majorBidi" w:eastAsia="Calibri" w:hAnsiTheme="majorBidi" w:cstheme="majorBidi"/>
          <w:lang w:eastAsia="en-US"/>
        </w:rPr>
        <w:t xml:space="preserve">, SD = </w:t>
      </w:r>
      <w:r w:rsidRPr="00AF5787">
        <w:rPr>
          <w:rFonts w:asciiTheme="majorBidi" w:eastAsia="Calibri" w:hAnsiTheme="majorBidi" w:cstheme="majorBidi"/>
          <w:lang w:eastAsia="en-US"/>
        </w:rPr>
        <w:t>2.57</w:t>
      </w:r>
      <w:r>
        <w:rPr>
          <w:rFonts w:asciiTheme="majorBidi" w:eastAsia="Calibri" w:hAnsiTheme="majorBidi" w:cstheme="majorBidi"/>
          <w:lang w:eastAsia="en-US"/>
        </w:rPr>
        <w:t xml:space="preserve">, for semantic and non-semantic primes, respectively; </w:t>
      </w:r>
      <w:r w:rsidRPr="00AF5787">
        <w:rPr>
          <w:rFonts w:asciiTheme="majorBidi" w:eastAsia="Calibri" w:hAnsiTheme="majorBidi" w:cstheme="majorBidi"/>
          <w:i/>
          <w:iCs/>
          <w:lang w:eastAsia="en-US"/>
        </w:rPr>
        <w:t>t</w:t>
      </w:r>
      <w:r w:rsidRPr="00AF5787">
        <w:rPr>
          <w:rFonts w:asciiTheme="majorBidi" w:eastAsia="Calibri" w:hAnsiTheme="majorBidi" w:cstheme="majorBidi"/>
          <w:lang w:eastAsia="en-US"/>
        </w:rPr>
        <w:t>(97) = -2.80</w:t>
      </w:r>
      <w:r>
        <w:rPr>
          <w:rFonts w:asciiTheme="majorBidi" w:eastAsia="Calibri" w:hAnsiTheme="majorBidi" w:cstheme="majorBidi"/>
          <w:lang w:eastAsia="en-US"/>
        </w:rPr>
        <w:t xml:space="preserve">, </w:t>
      </w:r>
      <w:r w:rsidRPr="000D265B">
        <w:rPr>
          <w:rFonts w:asciiTheme="majorBidi" w:eastAsia="Calibri" w:hAnsiTheme="majorBidi" w:cstheme="majorBidi"/>
          <w:i/>
          <w:iCs/>
          <w:lang w:eastAsia="en-US"/>
        </w:rPr>
        <w:t>p</w:t>
      </w:r>
      <w:r>
        <w:rPr>
          <w:rFonts w:asciiTheme="majorBidi" w:eastAsia="Calibri" w:hAnsiTheme="majorBidi" w:cstheme="majorBidi"/>
          <w:lang w:eastAsia="en-US"/>
        </w:rPr>
        <w:t xml:space="preserve"> = </w:t>
      </w:r>
      <w:r w:rsidRPr="00AF5787">
        <w:rPr>
          <w:rFonts w:asciiTheme="majorBidi" w:eastAsia="Calibri" w:hAnsiTheme="majorBidi" w:cstheme="majorBidi"/>
          <w:lang w:eastAsia="en-US"/>
        </w:rPr>
        <w:t>0.006</w:t>
      </w:r>
      <w:r>
        <w:rPr>
          <w:rFonts w:asciiTheme="majorBidi" w:eastAsia="Calibri" w:hAnsiTheme="majorBidi" w:cstheme="majorBidi"/>
          <w:lang w:eastAsia="en-US"/>
        </w:rPr>
        <w:t xml:space="preserve">), but the opposite happened in </w:t>
      </w:r>
      <w:proofErr w:type="spellStart"/>
      <w:r>
        <w:rPr>
          <w:rFonts w:asciiTheme="majorBidi" w:eastAsia="Calibri" w:hAnsiTheme="majorBidi" w:cstheme="majorBidi"/>
          <w:lang w:eastAsia="en-US"/>
        </w:rPr>
        <w:t>Kanizsa</w:t>
      </w:r>
      <w:proofErr w:type="spellEnd"/>
      <w:r>
        <w:rPr>
          <w:rFonts w:asciiTheme="majorBidi" w:eastAsia="Calibri" w:hAnsiTheme="majorBidi" w:cstheme="majorBidi"/>
          <w:lang w:eastAsia="en-US"/>
        </w:rPr>
        <w:t xml:space="preserve"> displays (M = </w:t>
      </w:r>
      <w:r w:rsidRPr="000D265B">
        <w:rPr>
          <w:rFonts w:asciiTheme="majorBidi" w:eastAsia="Calibri" w:hAnsiTheme="majorBidi" w:cstheme="majorBidi"/>
          <w:lang w:eastAsia="en-US"/>
        </w:rPr>
        <w:t>5.34</w:t>
      </w:r>
      <w:r>
        <w:rPr>
          <w:rFonts w:asciiTheme="majorBidi" w:eastAsia="Calibri" w:hAnsiTheme="majorBidi" w:cstheme="majorBidi"/>
          <w:lang w:eastAsia="en-US"/>
        </w:rPr>
        <w:t xml:space="preserve">, SD = </w:t>
      </w:r>
      <w:r w:rsidRPr="000D265B">
        <w:rPr>
          <w:rFonts w:asciiTheme="majorBidi" w:eastAsia="Calibri" w:hAnsiTheme="majorBidi" w:cstheme="majorBidi"/>
          <w:lang w:eastAsia="en-US"/>
        </w:rPr>
        <w:t xml:space="preserve">3.08 </w:t>
      </w:r>
      <w:r>
        <w:rPr>
          <w:rFonts w:asciiTheme="majorBidi" w:eastAsia="Calibri" w:hAnsiTheme="majorBidi" w:cstheme="majorBidi"/>
          <w:lang w:eastAsia="en-US"/>
        </w:rPr>
        <w:t xml:space="preserve">M = </w:t>
      </w:r>
      <w:r w:rsidRPr="000D265B">
        <w:rPr>
          <w:rFonts w:asciiTheme="majorBidi" w:eastAsia="Calibri" w:hAnsiTheme="majorBidi" w:cstheme="majorBidi"/>
          <w:lang w:eastAsia="en-US"/>
        </w:rPr>
        <w:t>3.30</w:t>
      </w:r>
      <w:r>
        <w:rPr>
          <w:rFonts w:asciiTheme="majorBidi" w:eastAsia="Calibri" w:hAnsiTheme="majorBidi" w:cstheme="majorBidi"/>
          <w:lang w:eastAsia="en-US"/>
        </w:rPr>
        <w:t xml:space="preserve">, SD = </w:t>
      </w:r>
      <w:r w:rsidRPr="000D265B">
        <w:rPr>
          <w:rFonts w:asciiTheme="majorBidi" w:eastAsia="Calibri" w:hAnsiTheme="majorBidi" w:cstheme="majorBidi"/>
          <w:lang w:eastAsia="en-US"/>
        </w:rPr>
        <w:t>1.95</w:t>
      </w:r>
      <w:r>
        <w:rPr>
          <w:rFonts w:asciiTheme="majorBidi" w:eastAsia="Calibri" w:hAnsiTheme="majorBidi" w:cstheme="majorBidi"/>
          <w:lang w:eastAsia="en-US"/>
        </w:rPr>
        <w:t>;</w:t>
      </w:r>
      <w:r w:rsidRPr="000D265B">
        <w:rPr>
          <w:rFonts w:asciiTheme="majorBidi" w:eastAsia="Calibri" w:hAnsiTheme="majorBidi" w:cstheme="majorBidi"/>
          <w:lang w:eastAsia="en-US"/>
        </w:rPr>
        <w:t xml:space="preserve"> </w:t>
      </w:r>
      <w:r w:rsidRPr="000D265B">
        <w:rPr>
          <w:rFonts w:asciiTheme="majorBidi" w:eastAsia="Calibri" w:hAnsiTheme="majorBidi" w:cstheme="majorBidi"/>
          <w:i/>
          <w:iCs/>
          <w:lang w:eastAsia="en-US"/>
        </w:rPr>
        <w:t>t</w:t>
      </w:r>
      <w:r w:rsidRPr="000D265B">
        <w:rPr>
          <w:rFonts w:asciiTheme="majorBidi" w:eastAsia="Calibri" w:hAnsiTheme="majorBidi" w:cstheme="majorBidi"/>
          <w:lang w:eastAsia="en-US"/>
        </w:rPr>
        <w:t>(99) = 3.99</w:t>
      </w:r>
      <w:r>
        <w:rPr>
          <w:rFonts w:asciiTheme="majorBidi" w:eastAsia="Calibri" w:hAnsiTheme="majorBidi" w:cstheme="majorBidi"/>
          <w:lang w:eastAsia="en-US"/>
        </w:rPr>
        <w:t xml:space="preserve">, </w:t>
      </w:r>
      <w:r>
        <w:rPr>
          <w:rFonts w:asciiTheme="majorBidi" w:eastAsia="Calibri" w:hAnsiTheme="majorBidi" w:cstheme="majorBidi"/>
          <w:i/>
          <w:iCs/>
          <w:lang w:eastAsia="en-US"/>
        </w:rPr>
        <w:t>p</w:t>
      </w:r>
      <w:r>
        <w:rPr>
          <w:rFonts w:asciiTheme="majorBidi" w:eastAsia="Calibri" w:hAnsiTheme="majorBidi" w:cstheme="majorBidi"/>
          <w:lang w:eastAsia="en-US"/>
        </w:rPr>
        <w:t xml:space="preserve"> &lt;</w:t>
      </w:r>
      <w:r w:rsidRPr="000D265B">
        <w:rPr>
          <w:rFonts w:asciiTheme="majorBidi" w:eastAsia="Calibri" w:hAnsiTheme="majorBidi" w:cstheme="majorBidi"/>
          <w:lang w:eastAsia="en-US"/>
        </w:rPr>
        <w:t xml:space="preserve"> 0.00</w:t>
      </w:r>
      <w:r>
        <w:rPr>
          <w:rFonts w:asciiTheme="majorBidi" w:eastAsia="Calibri" w:hAnsiTheme="majorBidi" w:cstheme="majorBidi"/>
          <w:lang w:eastAsia="en-US"/>
        </w:rPr>
        <w:t xml:space="preserve">1). However, because neither effect manifested in any of the other four experiments, including the direct replication of Experiment 3 in Experiment 4, we hold that not much should be read into this finding and it is more justified to consider it a false positive. </w:t>
      </w:r>
    </w:p>
    <w:tbl>
      <w:tblPr>
        <w:tblStyle w:val="TableGrid"/>
        <w:tblW w:w="8820" w:type="dxa"/>
        <w:tblInd w:w="-5" w:type="dxa"/>
        <w:tblLook w:val="04A0" w:firstRow="1" w:lastRow="0" w:firstColumn="1" w:lastColumn="0" w:noHBand="0" w:noVBand="1"/>
      </w:tblPr>
      <w:tblGrid>
        <w:gridCol w:w="980"/>
        <w:gridCol w:w="1466"/>
        <w:gridCol w:w="1747"/>
        <w:gridCol w:w="1747"/>
        <w:gridCol w:w="1620"/>
        <w:gridCol w:w="1260"/>
      </w:tblGrid>
      <w:tr w:rsidR="0067218E" w:rsidRPr="009101B1" w14:paraId="6DDFBA01" w14:textId="77777777" w:rsidTr="00315615">
        <w:trPr>
          <w:trHeight w:val="1161"/>
        </w:trPr>
        <w:tc>
          <w:tcPr>
            <w:tcW w:w="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10424A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ACBD080" w14:textId="77777777" w:rsidR="0067218E" w:rsidRPr="006607A1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74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80A7A25" w14:textId="77777777" w:rsidR="0067218E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bookmarkStart w:id="0" w:name="_Hlk146277983"/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Semantic</w:t>
            </w:r>
          </w:p>
          <w:p w14:paraId="54FCB50D" w14:textId="77777777" w:rsidR="0067218E" w:rsidRPr="006607A1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Prime</w:t>
            </w:r>
          </w:p>
        </w:tc>
        <w:tc>
          <w:tcPr>
            <w:tcW w:w="174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DBA92A7" w14:textId="77777777" w:rsidR="0067218E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Non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-</w:t>
            </w:r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semantic</w:t>
            </w:r>
          </w:p>
          <w:p w14:paraId="79991630" w14:textId="77777777" w:rsidR="0067218E" w:rsidRPr="006607A1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Prime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0F523A8" w14:textId="77777777" w:rsidR="0067218E" w:rsidRPr="006607A1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t-statistic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658D04" w14:textId="77777777" w:rsidR="0067218E" w:rsidRPr="006607A1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p-value</w:t>
            </w:r>
          </w:p>
        </w:tc>
      </w:tr>
      <w:bookmarkEnd w:id="0"/>
      <w:tr w:rsidR="0067218E" w:rsidRPr="009101B1" w14:paraId="545C6EEE" w14:textId="77777777" w:rsidTr="00315615">
        <w:trPr>
          <w:trHeight w:hRule="exact" w:val="432"/>
        </w:trPr>
        <w:tc>
          <w:tcPr>
            <w:tcW w:w="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3AEF9EB7" w14:textId="77777777" w:rsidR="0067218E" w:rsidRPr="00D2732E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</w:pPr>
            <w:r w:rsidRPr="00D2732E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  <w:t>Exp</w:t>
            </w:r>
            <w:r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  <w:t xml:space="preserve"> </w:t>
            </w:r>
            <w:r w:rsidRPr="00D2732E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  <w:t>1</w:t>
            </w:r>
          </w:p>
        </w:tc>
        <w:tc>
          <w:tcPr>
            <w:tcW w:w="1466" w:type="dxa"/>
            <w:tcBorders>
              <w:top w:val="single" w:sz="12" w:space="0" w:color="auto"/>
            </w:tcBorders>
            <w:vAlign w:val="center"/>
          </w:tcPr>
          <w:p w14:paraId="15A8B11E" w14:textId="77777777" w:rsidR="0067218E" w:rsidRPr="006607A1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No-</w:t>
            </w:r>
            <w:proofErr w:type="spellStart"/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Kanizsa</w:t>
            </w:r>
            <w:proofErr w:type="spellEnd"/>
          </w:p>
        </w:tc>
        <w:tc>
          <w:tcPr>
            <w:tcW w:w="174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39F8F30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AE53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5.04 (2.16)</w:t>
            </w:r>
          </w:p>
        </w:tc>
        <w:tc>
          <w:tcPr>
            <w:tcW w:w="174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B44DC43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AE53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4.72 (2.41)</w:t>
            </w:r>
          </w:p>
        </w:tc>
        <w:tc>
          <w:tcPr>
            <w:tcW w:w="162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BC2B62E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452BC1"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20"/>
                <w:szCs w:val="20"/>
                <w:lang w:eastAsia="en-US"/>
              </w:rPr>
              <w:t>t</w:t>
            </w:r>
            <w:r w:rsidRPr="00AE53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(100) = 0.69</w:t>
            </w:r>
          </w:p>
        </w:tc>
        <w:tc>
          <w:tcPr>
            <w:tcW w:w="126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7D3D342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20"/>
                <w:szCs w:val="20"/>
                <w:lang w:eastAsia="en-US"/>
              </w:rPr>
              <w:t>p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 xml:space="preserve"> = </w:t>
            </w:r>
            <w:r w:rsidRPr="00AE53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0.889</w:t>
            </w:r>
          </w:p>
        </w:tc>
      </w:tr>
      <w:tr w:rsidR="0067218E" w:rsidRPr="009101B1" w14:paraId="3F65222B" w14:textId="77777777" w:rsidTr="00315615">
        <w:trPr>
          <w:trHeight w:hRule="exact" w:val="432"/>
        </w:trPr>
        <w:tc>
          <w:tcPr>
            <w:tcW w:w="980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188623" w14:textId="77777777" w:rsidR="0067218E" w:rsidRPr="00D2732E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</w:pPr>
          </w:p>
        </w:tc>
        <w:tc>
          <w:tcPr>
            <w:tcW w:w="1466" w:type="dxa"/>
            <w:tcBorders>
              <w:bottom w:val="single" w:sz="12" w:space="0" w:color="auto"/>
            </w:tcBorders>
            <w:vAlign w:val="center"/>
          </w:tcPr>
          <w:p w14:paraId="3CDED936" w14:textId="77777777" w:rsidR="0067218E" w:rsidRPr="006607A1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proofErr w:type="spellStart"/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Kanizsa</w:t>
            </w:r>
            <w:proofErr w:type="spellEnd"/>
          </w:p>
        </w:tc>
        <w:tc>
          <w:tcPr>
            <w:tcW w:w="174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C3FC70E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AE53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4.49 (2.24)</w:t>
            </w:r>
          </w:p>
        </w:tc>
        <w:tc>
          <w:tcPr>
            <w:tcW w:w="174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5C44724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AE53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4.56 (2.65)</w:t>
            </w:r>
          </w:p>
        </w:tc>
        <w:tc>
          <w:tcPr>
            <w:tcW w:w="162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5EA0EDE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452BC1"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20"/>
                <w:szCs w:val="20"/>
                <w:lang w:eastAsia="en-US"/>
              </w:rPr>
              <w:t>t</w:t>
            </w:r>
            <w:r w:rsidRPr="00AE53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(96) = -0.14</w:t>
            </w:r>
          </w:p>
        </w:tc>
        <w:tc>
          <w:tcPr>
            <w:tcW w:w="12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490582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20"/>
                <w:szCs w:val="20"/>
                <w:lang w:eastAsia="en-US"/>
              </w:rPr>
              <w:t>p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 xml:space="preserve"> = </w:t>
            </w:r>
            <w:r w:rsidRPr="00AE53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0.889</w:t>
            </w:r>
          </w:p>
        </w:tc>
      </w:tr>
      <w:tr w:rsidR="0067218E" w:rsidRPr="009101B1" w14:paraId="464C6BCD" w14:textId="77777777" w:rsidTr="00315615">
        <w:trPr>
          <w:trHeight w:hRule="exact" w:val="432"/>
        </w:trPr>
        <w:tc>
          <w:tcPr>
            <w:tcW w:w="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25DCB293" w14:textId="77777777" w:rsidR="0067218E" w:rsidRPr="00D2732E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</w:pPr>
            <w:r w:rsidRPr="00D2732E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  <w:t>Exp</w:t>
            </w:r>
            <w:r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  <w:t xml:space="preserve"> </w:t>
            </w:r>
            <w:r w:rsidRPr="00D2732E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  <w:t>2</w:t>
            </w:r>
          </w:p>
        </w:tc>
        <w:tc>
          <w:tcPr>
            <w:tcW w:w="1466" w:type="dxa"/>
            <w:tcBorders>
              <w:top w:val="single" w:sz="12" w:space="0" w:color="auto"/>
            </w:tcBorders>
            <w:vAlign w:val="center"/>
          </w:tcPr>
          <w:p w14:paraId="1EBB7AE9" w14:textId="77777777" w:rsidR="0067218E" w:rsidRPr="006607A1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No-</w:t>
            </w:r>
            <w:proofErr w:type="spellStart"/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Kanizsa</w:t>
            </w:r>
            <w:proofErr w:type="spellEnd"/>
          </w:p>
        </w:tc>
        <w:tc>
          <w:tcPr>
            <w:tcW w:w="174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966F764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AE53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5.32 (2.68)</w:t>
            </w:r>
          </w:p>
        </w:tc>
        <w:tc>
          <w:tcPr>
            <w:tcW w:w="174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E2D7A64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AE535B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5.37 (2.89)</w:t>
            </w:r>
          </w:p>
        </w:tc>
        <w:tc>
          <w:tcPr>
            <w:tcW w:w="162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1BD179B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452BC1"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20"/>
                <w:szCs w:val="20"/>
                <w:lang w:eastAsia="en-US"/>
              </w:rPr>
              <w:t>t</w:t>
            </w:r>
            <w:r w:rsidRPr="00B26EE3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(95) = -0.10</w:t>
            </w:r>
          </w:p>
        </w:tc>
        <w:tc>
          <w:tcPr>
            <w:tcW w:w="126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3F87DF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20"/>
                <w:szCs w:val="20"/>
                <w:lang w:eastAsia="en-US"/>
              </w:rPr>
              <w:t>p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 xml:space="preserve"> = </w:t>
            </w:r>
            <w:r w:rsidRPr="00B26EE3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0.924</w:t>
            </w:r>
          </w:p>
        </w:tc>
      </w:tr>
      <w:tr w:rsidR="0067218E" w:rsidRPr="009101B1" w14:paraId="6CEFA357" w14:textId="77777777" w:rsidTr="00315615">
        <w:trPr>
          <w:trHeight w:hRule="exact" w:val="432"/>
        </w:trPr>
        <w:tc>
          <w:tcPr>
            <w:tcW w:w="980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D05FA0" w14:textId="77777777" w:rsidR="0067218E" w:rsidRPr="00D2732E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</w:pPr>
          </w:p>
        </w:tc>
        <w:tc>
          <w:tcPr>
            <w:tcW w:w="1466" w:type="dxa"/>
            <w:tcBorders>
              <w:bottom w:val="single" w:sz="12" w:space="0" w:color="auto"/>
            </w:tcBorders>
            <w:vAlign w:val="center"/>
          </w:tcPr>
          <w:p w14:paraId="60F17A41" w14:textId="77777777" w:rsidR="0067218E" w:rsidRPr="006607A1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proofErr w:type="spellStart"/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Kanizsa</w:t>
            </w:r>
            <w:proofErr w:type="spellEnd"/>
          </w:p>
        </w:tc>
        <w:tc>
          <w:tcPr>
            <w:tcW w:w="174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AEBF6A4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B26EE3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4.24 (2.27)</w:t>
            </w:r>
          </w:p>
        </w:tc>
        <w:tc>
          <w:tcPr>
            <w:tcW w:w="174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961C20D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B26EE3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3.96 (2.24)</w:t>
            </w:r>
          </w:p>
        </w:tc>
        <w:tc>
          <w:tcPr>
            <w:tcW w:w="162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65E49B5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452BC1"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20"/>
                <w:szCs w:val="20"/>
                <w:lang w:eastAsia="en-US"/>
              </w:rPr>
              <w:t>t</w:t>
            </w:r>
            <w:r w:rsidRPr="00B26EE3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(101) = 0.64</w:t>
            </w:r>
          </w:p>
        </w:tc>
        <w:tc>
          <w:tcPr>
            <w:tcW w:w="12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3E8E8E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20"/>
                <w:szCs w:val="20"/>
                <w:lang w:eastAsia="en-US"/>
              </w:rPr>
              <w:t>p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 xml:space="preserve"> = </w:t>
            </w:r>
            <w:r w:rsidRPr="00B26EE3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0.524</w:t>
            </w:r>
          </w:p>
        </w:tc>
      </w:tr>
      <w:tr w:rsidR="0067218E" w:rsidRPr="009101B1" w14:paraId="6B185AC4" w14:textId="77777777" w:rsidTr="00315615">
        <w:trPr>
          <w:trHeight w:hRule="exact" w:val="432"/>
        </w:trPr>
        <w:tc>
          <w:tcPr>
            <w:tcW w:w="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405A44EE" w14:textId="77777777" w:rsidR="0067218E" w:rsidRPr="00D2732E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</w:pPr>
            <w:r w:rsidRPr="00D2732E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  <w:t>Exp</w:t>
            </w:r>
            <w:r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  <w:t xml:space="preserve"> </w:t>
            </w:r>
            <w:r w:rsidRPr="00D2732E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  <w:t>3</w:t>
            </w:r>
          </w:p>
        </w:tc>
        <w:tc>
          <w:tcPr>
            <w:tcW w:w="1466" w:type="dxa"/>
            <w:tcBorders>
              <w:top w:val="single" w:sz="12" w:space="0" w:color="auto"/>
            </w:tcBorders>
            <w:vAlign w:val="center"/>
          </w:tcPr>
          <w:p w14:paraId="62132FE8" w14:textId="77777777" w:rsidR="0067218E" w:rsidRPr="006607A1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No-</w:t>
            </w:r>
            <w:proofErr w:type="spellStart"/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Kanizsa</w:t>
            </w:r>
            <w:proofErr w:type="spellEnd"/>
          </w:p>
        </w:tc>
        <w:tc>
          <w:tcPr>
            <w:tcW w:w="174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521C222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B26EE3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4.56 (1.84)</w:t>
            </w:r>
          </w:p>
        </w:tc>
        <w:tc>
          <w:tcPr>
            <w:tcW w:w="174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B214694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B26EE3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5.81 (2.57)</w:t>
            </w:r>
          </w:p>
        </w:tc>
        <w:tc>
          <w:tcPr>
            <w:tcW w:w="162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69D6665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452BC1"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20"/>
                <w:szCs w:val="20"/>
                <w:lang w:eastAsia="en-US"/>
              </w:rPr>
              <w:t>t</w:t>
            </w:r>
            <w:r w:rsidRPr="00B26EE3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(97) = -2.80</w:t>
            </w:r>
          </w:p>
        </w:tc>
        <w:tc>
          <w:tcPr>
            <w:tcW w:w="126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6E073B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20"/>
                <w:szCs w:val="20"/>
                <w:lang w:eastAsia="en-US"/>
              </w:rPr>
              <w:t>p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 xml:space="preserve"> = </w:t>
            </w:r>
            <w:r w:rsidRPr="00B26EE3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0.006</w:t>
            </w:r>
          </w:p>
        </w:tc>
      </w:tr>
      <w:tr w:rsidR="0067218E" w:rsidRPr="009101B1" w14:paraId="7FE1725C" w14:textId="77777777" w:rsidTr="00315615">
        <w:trPr>
          <w:trHeight w:hRule="exact" w:val="432"/>
        </w:trPr>
        <w:tc>
          <w:tcPr>
            <w:tcW w:w="980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5F069E" w14:textId="77777777" w:rsidR="0067218E" w:rsidRPr="00D2732E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</w:pPr>
          </w:p>
        </w:tc>
        <w:tc>
          <w:tcPr>
            <w:tcW w:w="1466" w:type="dxa"/>
            <w:tcBorders>
              <w:bottom w:val="single" w:sz="12" w:space="0" w:color="auto"/>
            </w:tcBorders>
            <w:vAlign w:val="center"/>
          </w:tcPr>
          <w:p w14:paraId="788DA726" w14:textId="77777777" w:rsidR="0067218E" w:rsidRPr="006607A1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proofErr w:type="spellStart"/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Kanizsa</w:t>
            </w:r>
            <w:proofErr w:type="spellEnd"/>
          </w:p>
        </w:tc>
        <w:tc>
          <w:tcPr>
            <w:tcW w:w="174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D524F25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B26EE3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5.34 (3.08)</w:t>
            </w:r>
          </w:p>
        </w:tc>
        <w:tc>
          <w:tcPr>
            <w:tcW w:w="174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9B31F7A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B26EE3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3.30 (1.95)</w:t>
            </w:r>
          </w:p>
        </w:tc>
        <w:tc>
          <w:tcPr>
            <w:tcW w:w="162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7CB477D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452BC1"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20"/>
                <w:szCs w:val="20"/>
                <w:lang w:eastAsia="en-US"/>
              </w:rPr>
              <w:t>t</w:t>
            </w:r>
            <w:r w:rsidRPr="00B26EE3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(99) = 3.99</w:t>
            </w:r>
          </w:p>
        </w:tc>
        <w:tc>
          <w:tcPr>
            <w:tcW w:w="12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825AC8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20"/>
                <w:szCs w:val="20"/>
                <w:lang w:eastAsia="en-US"/>
              </w:rPr>
              <w:t>p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 xml:space="preserve"> &lt; </w:t>
            </w:r>
            <w:r w:rsidRPr="00B26EE3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0.00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1</w:t>
            </w:r>
          </w:p>
        </w:tc>
      </w:tr>
      <w:tr w:rsidR="0067218E" w:rsidRPr="009101B1" w14:paraId="1101C570" w14:textId="77777777" w:rsidTr="00315615">
        <w:trPr>
          <w:trHeight w:hRule="exact" w:val="432"/>
        </w:trPr>
        <w:tc>
          <w:tcPr>
            <w:tcW w:w="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06ED2D1C" w14:textId="77777777" w:rsidR="0067218E" w:rsidRPr="00D2732E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</w:pPr>
            <w:r w:rsidRPr="00D2732E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  <w:t>Exp</w:t>
            </w:r>
            <w:r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  <w:t xml:space="preserve"> </w:t>
            </w:r>
            <w:r w:rsidRPr="00D2732E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  <w:t>4</w:t>
            </w:r>
          </w:p>
        </w:tc>
        <w:tc>
          <w:tcPr>
            <w:tcW w:w="1466" w:type="dxa"/>
            <w:tcBorders>
              <w:top w:val="single" w:sz="12" w:space="0" w:color="auto"/>
            </w:tcBorders>
            <w:vAlign w:val="center"/>
          </w:tcPr>
          <w:p w14:paraId="53E83E0C" w14:textId="77777777" w:rsidR="0067218E" w:rsidRPr="006607A1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No-</w:t>
            </w:r>
            <w:proofErr w:type="spellStart"/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Kanizsa</w:t>
            </w:r>
            <w:proofErr w:type="spellEnd"/>
          </w:p>
        </w:tc>
        <w:tc>
          <w:tcPr>
            <w:tcW w:w="174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FA13904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BC6FC4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5.41 (3.46)</w:t>
            </w:r>
          </w:p>
        </w:tc>
        <w:tc>
          <w:tcPr>
            <w:tcW w:w="174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714FC16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BC6FC4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5.40 (2.46)</w:t>
            </w:r>
          </w:p>
        </w:tc>
        <w:tc>
          <w:tcPr>
            <w:tcW w:w="162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B17A339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452BC1"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20"/>
                <w:szCs w:val="20"/>
                <w:lang w:eastAsia="en-US"/>
              </w:rPr>
              <w:t>t</w:t>
            </w:r>
            <w:r w:rsidRPr="00BC6FC4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(97) = 0.01</w:t>
            </w:r>
          </w:p>
        </w:tc>
        <w:tc>
          <w:tcPr>
            <w:tcW w:w="126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4DD8346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20"/>
                <w:szCs w:val="20"/>
                <w:lang w:eastAsia="en-US"/>
              </w:rPr>
              <w:t>p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 xml:space="preserve"> = </w:t>
            </w:r>
            <w:r w:rsidRPr="00BC6FC4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0.993</w:t>
            </w:r>
          </w:p>
        </w:tc>
      </w:tr>
      <w:tr w:rsidR="0067218E" w:rsidRPr="009101B1" w14:paraId="3E0D312E" w14:textId="77777777" w:rsidTr="00315615">
        <w:trPr>
          <w:trHeight w:hRule="exact" w:val="432"/>
        </w:trPr>
        <w:tc>
          <w:tcPr>
            <w:tcW w:w="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C000539" w14:textId="77777777" w:rsidR="0067218E" w:rsidRPr="00D2732E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</w:pPr>
          </w:p>
        </w:tc>
        <w:tc>
          <w:tcPr>
            <w:tcW w:w="1466" w:type="dxa"/>
            <w:tcBorders>
              <w:bottom w:val="single" w:sz="12" w:space="0" w:color="auto"/>
            </w:tcBorders>
            <w:vAlign w:val="center"/>
          </w:tcPr>
          <w:p w14:paraId="77D523A3" w14:textId="77777777" w:rsidR="0067218E" w:rsidRPr="006607A1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proofErr w:type="spellStart"/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Kanizsa</w:t>
            </w:r>
            <w:proofErr w:type="spellEnd"/>
          </w:p>
        </w:tc>
        <w:tc>
          <w:tcPr>
            <w:tcW w:w="174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6C50C71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4A7124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4.40 (1.76)</w:t>
            </w:r>
          </w:p>
        </w:tc>
        <w:tc>
          <w:tcPr>
            <w:tcW w:w="174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07B1801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4A7124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4.16 (1.44)</w:t>
            </w:r>
          </w:p>
        </w:tc>
        <w:tc>
          <w:tcPr>
            <w:tcW w:w="162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D54A6BE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452BC1"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20"/>
                <w:szCs w:val="20"/>
                <w:lang w:eastAsia="en-US"/>
              </w:rPr>
              <w:t>t</w:t>
            </w:r>
            <w:r w:rsidRPr="004A7124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(99) = 0.75</w:t>
            </w:r>
          </w:p>
        </w:tc>
        <w:tc>
          <w:tcPr>
            <w:tcW w:w="12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38DB2B3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20"/>
                <w:szCs w:val="20"/>
                <w:lang w:eastAsia="en-US"/>
              </w:rPr>
              <w:t>p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 xml:space="preserve"> = </w:t>
            </w:r>
            <w:r w:rsidRPr="00452BC1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0</w:t>
            </w:r>
            <w:r w:rsidRPr="004A7124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.907</w:t>
            </w:r>
          </w:p>
        </w:tc>
      </w:tr>
      <w:tr w:rsidR="0067218E" w:rsidRPr="009101B1" w14:paraId="397CC3E1" w14:textId="77777777" w:rsidTr="00315615">
        <w:trPr>
          <w:trHeight w:val="879"/>
        </w:trPr>
        <w:tc>
          <w:tcPr>
            <w:tcW w:w="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1B247560" w14:textId="77777777" w:rsidR="0067218E" w:rsidRPr="00D2732E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</w:pPr>
            <w:r w:rsidRPr="00D2732E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  <w:t>Exp</w:t>
            </w:r>
            <w:r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  <w:t xml:space="preserve"> </w:t>
            </w:r>
            <w:r w:rsidRPr="00D2732E">
              <w:rPr>
                <w:rFonts w:asciiTheme="majorBidi" w:eastAsia="Calibri" w:hAnsiTheme="majorBidi" w:cstheme="majorBidi"/>
                <w:b/>
                <w:bCs/>
                <w:i/>
                <w:iCs/>
                <w:color w:val="000000" w:themeColor="text1"/>
                <w:lang w:eastAsia="en-US"/>
              </w:rPr>
              <w:t>5</w:t>
            </w:r>
          </w:p>
        </w:tc>
        <w:tc>
          <w:tcPr>
            <w:tcW w:w="1466" w:type="dxa"/>
            <w:tcBorders>
              <w:top w:val="single" w:sz="12" w:space="0" w:color="auto"/>
            </w:tcBorders>
            <w:vAlign w:val="center"/>
          </w:tcPr>
          <w:p w14:paraId="60B7982C" w14:textId="77777777" w:rsidR="0067218E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Congruent</w:t>
            </w:r>
          </w:p>
          <w:p w14:paraId="7E55C7F1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Prime</w:t>
            </w:r>
          </w:p>
        </w:tc>
        <w:tc>
          <w:tcPr>
            <w:tcW w:w="174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BE46156" w14:textId="77777777" w:rsidR="0067218E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Incongruent</w:t>
            </w:r>
          </w:p>
          <w:p w14:paraId="4376F297" w14:textId="77777777" w:rsidR="0067218E" w:rsidRPr="006607A1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Prime</w:t>
            </w:r>
          </w:p>
        </w:tc>
        <w:tc>
          <w:tcPr>
            <w:tcW w:w="174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545563C" w14:textId="77777777" w:rsidR="0067218E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Non-word</w:t>
            </w:r>
          </w:p>
          <w:p w14:paraId="100A0B4D" w14:textId="77777777" w:rsidR="0067218E" w:rsidRPr="006607A1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Prime</w:t>
            </w:r>
          </w:p>
        </w:tc>
        <w:tc>
          <w:tcPr>
            <w:tcW w:w="162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C6031BB" w14:textId="77777777" w:rsidR="0067218E" w:rsidRPr="006607A1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F-statistic</w:t>
            </w:r>
          </w:p>
        </w:tc>
        <w:tc>
          <w:tcPr>
            <w:tcW w:w="126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60CBF1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6607A1">
              <w:rPr>
                <w:rFonts w:asciiTheme="majorBidi" w:eastAsia="Calibri" w:hAnsiTheme="majorBidi" w:cstheme="majorBidi"/>
                <w:b/>
                <w:bCs/>
                <w:color w:val="000000" w:themeColor="text1"/>
                <w:sz w:val="20"/>
                <w:szCs w:val="20"/>
                <w:lang w:eastAsia="en-US"/>
              </w:rPr>
              <w:t>p-value</w:t>
            </w:r>
          </w:p>
        </w:tc>
      </w:tr>
      <w:tr w:rsidR="0067218E" w:rsidRPr="009101B1" w14:paraId="7EFDC403" w14:textId="77777777" w:rsidTr="00315615">
        <w:trPr>
          <w:trHeight w:hRule="exact" w:val="432"/>
        </w:trPr>
        <w:tc>
          <w:tcPr>
            <w:tcW w:w="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27354BA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466" w:type="dxa"/>
            <w:tcBorders>
              <w:bottom w:val="single" w:sz="12" w:space="0" w:color="auto"/>
            </w:tcBorders>
            <w:vAlign w:val="center"/>
          </w:tcPr>
          <w:p w14:paraId="1D8609B6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5149A0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9.70 (6.90)</w:t>
            </w:r>
          </w:p>
        </w:tc>
        <w:tc>
          <w:tcPr>
            <w:tcW w:w="174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A2F500E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5149A0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9.81 (6.03)</w:t>
            </w:r>
          </w:p>
        </w:tc>
        <w:tc>
          <w:tcPr>
            <w:tcW w:w="174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41EF7C3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5149A0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9.94 (8.13)</w:t>
            </w:r>
          </w:p>
        </w:tc>
        <w:tc>
          <w:tcPr>
            <w:tcW w:w="162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313C309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5149A0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F(2, 345) = 0.03</w:t>
            </w:r>
          </w:p>
        </w:tc>
        <w:tc>
          <w:tcPr>
            <w:tcW w:w="12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82E303F" w14:textId="77777777" w:rsidR="0067218E" w:rsidRPr="0089382F" w:rsidRDefault="0067218E" w:rsidP="00315615">
            <w:pPr>
              <w:suppressAutoHyphens/>
              <w:bidi w:val="0"/>
              <w:spacing w:line="360" w:lineRule="auto"/>
              <w:jc w:val="center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</w:pPr>
            <w:r w:rsidRPr="00452BC1">
              <w:rPr>
                <w:rFonts w:asciiTheme="majorBidi" w:eastAsia="Calibri" w:hAnsiTheme="majorBidi" w:cstheme="majorBidi"/>
                <w:i/>
                <w:iCs/>
                <w:color w:val="000000" w:themeColor="text1"/>
                <w:sz w:val="20"/>
                <w:szCs w:val="20"/>
                <w:lang w:eastAsia="en-US"/>
              </w:rPr>
              <w:t>p</w:t>
            </w:r>
            <w:r w:rsidRPr="00E352CC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 xml:space="preserve"> = </w:t>
            </w:r>
            <w:r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eastAsia="en-US"/>
              </w:rPr>
              <w:t>1.000</w:t>
            </w:r>
          </w:p>
        </w:tc>
      </w:tr>
    </w:tbl>
    <w:p w14:paraId="6855B334" w14:textId="77777777" w:rsidR="0067218E" w:rsidRPr="00D3196C" w:rsidRDefault="0067218E" w:rsidP="0067218E">
      <w:pPr>
        <w:suppressAutoHyphens/>
        <w:bidi w:val="0"/>
        <w:spacing w:line="360" w:lineRule="auto"/>
        <w:jc w:val="both"/>
        <w:rPr>
          <w:rFonts w:asciiTheme="majorBidi" w:eastAsia="Calibri" w:hAnsiTheme="majorBidi" w:cstheme="majorBidi"/>
          <w:i/>
          <w:iCs/>
          <w:highlight w:val="yellow"/>
          <w:lang w:eastAsia="en-US"/>
        </w:rPr>
      </w:pPr>
    </w:p>
    <w:p w14:paraId="3AC8C581" w14:textId="77777777" w:rsidR="0067218E" w:rsidRDefault="0067218E" w:rsidP="0067218E">
      <w:pPr>
        <w:bidi w:val="0"/>
        <w:spacing w:after="200"/>
        <w:ind w:left="720"/>
        <w:rPr>
          <w:rFonts w:asciiTheme="majorBidi" w:hAnsiTheme="majorBidi" w:cstheme="majorBidi"/>
          <w:highlight w:val="yellow"/>
        </w:rPr>
      </w:pPr>
      <w:r w:rsidRPr="00621EF2">
        <w:rPr>
          <w:rFonts w:asciiTheme="majorBidi" w:eastAsia="Calibri" w:hAnsiTheme="majorBidi" w:cstheme="majorBidi"/>
          <w:i/>
          <w:iCs/>
          <w:lang w:eastAsia="en-US"/>
        </w:rPr>
        <w:t>Table S1</w:t>
      </w:r>
      <w:r>
        <w:rPr>
          <w:rFonts w:asciiTheme="majorBidi" w:eastAsia="Calibri" w:hAnsiTheme="majorBidi" w:cstheme="majorBidi"/>
          <w:lang w:eastAsia="en-US"/>
        </w:rPr>
        <w:t xml:space="preserve">. Comparisons of response RT across prime groups within display conditions for all experiments. </w:t>
      </w:r>
    </w:p>
    <w:p w14:paraId="434DCA1E" w14:textId="77777777" w:rsidR="0067218E" w:rsidRDefault="0067218E" w:rsidP="0067218E">
      <w:pPr>
        <w:suppressAutoHyphens/>
        <w:bidi w:val="0"/>
        <w:jc w:val="both"/>
        <w:rPr>
          <w:rFonts w:eastAsia="Calibri"/>
          <w:i/>
          <w:iCs/>
        </w:rPr>
      </w:pPr>
      <w:r>
        <w:rPr>
          <w:rFonts w:asciiTheme="majorBidi" w:eastAsia="Calibri" w:hAnsiTheme="majorBidi" w:cstheme="majorBidi"/>
          <w:i/>
          <w:iCs/>
          <w:noProof/>
          <w:lang w:eastAsia="en-US"/>
        </w:rPr>
        <w:lastRenderedPageBreak/>
        <w:drawing>
          <wp:inline distT="0" distB="0" distL="0" distR="0" wp14:anchorId="353BC02F" wp14:editId="5048A7AF">
            <wp:extent cx="5731510" cy="2609215"/>
            <wp:effectExtent l="0" t="0" r="2540" b="635"/>
            <wp:docPr id="1714450525" name="Picture 6" descr="A diagram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450525" name="Picture 6" descr="A diagram of a diagram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0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FBC17" w14:textId="77777777" w:rsidR="0067218E" w:rsidRDefault="0067218E" w:rsidP="0067218E">
      <w:pPr>
        <w:suppressAutoHyphens/>
        <w:bidi w:val="0"/>
        <w:jc w:val="both"/>
        <w:rPr>
          <w:rFonts w:eastAsia="Calibri"/>
          <w:i/>
          <w:iCs/>
        </w:rPr>
      </w:pPr>
    </w:p>
    <w:p w14:paraId="7FEF7400" w14:textId="77777777" w:rsidR="0067218E" w:rsidRPr="000F25CD" w:rsidRDefault="0067218E" w:rsidP="0067218E">
      <w:pPr>
        <w:suppressAutoHyphens/>
        <w:bidi w:val="0"/>
        <w:ind w:left="720"/>
        <w:jc w:val="both"/>
        <w:rPr>
          <w:rFonts w:asciiTheme="majorBidi" w:eastAsia="Calibri" w:hAnsiTheme="majorBidi" w:cstheme="majorBidi"/>
          <w:i/>
          <w:iCs/>
          <w:highlight w:val="yellow"/>
          <w:lang w:eastAsia="en-US"/>
        </w:rPr>
      </w:pPr>
      <w:r w:rsidRPr="00621EF2">
        <w:rPr>
          <w:rFonts w:eastAsia="Calibri"/>
          <w:i/>
          <w:iCs/>
        </w:rPr>
        <w:t>Figure S2</w:t>
      </w:r>
      <w:r>
        <w:rPr>
          <w:rFonts w:eastAsia="Calibri"/>
        </w:rPr>
        <w:t xml:space="preserve">. Tree structure of the analyses conducted in this research. Most lower-level nodes indicate specific analyses, while higher-level nodes are often abstract umbrella terms (e.g., for each Experiment, or for the entire Manuscript). </w:t>
      </w:r>
      <w:proofErr w:type="spellStart"/>
      <w:r>
        <w:rPr>
          <w:rFonts w:eastAsia="Calibri"/>
        </w:rPr>
        <w:t>TreeBH</w:t>
      </w:r>
      <w:proofErr w:type="spellEnd"/>
      <w:r>
        <w:rPr>
          <w:rFonts w:eastAsia="Calibri"/>
        </w:rPr>
        <w:t xml:space="preserve"> method corrects for multiple comparisons using the hierarchical relations defined by this structure, and calculates statistical significance per each node of the tree (including abstract nodes) in a bottom-up manner (see </w:t>
      </w:r>
      <w:sdt>
        <w:sdtPr>
          <w:rPr>
            <w:rFonts w:eastAsia="Calibri"/>
            <w:color w:val="000000"/>
            <w:vertAlign w:val="superscript"/>
          </w:rPr>
          <w:tag w:val="MENDELEY_CITATION_v3_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"/>
          <w:id w:val="1170681898"/>
          <w:placeholder>
            <w:docPart w:val="73D08F9F322D434A9E7FEF056065521C"/>
          </w:placeholder>
        </w:sdtPr>
        <w:sdtContent>
          <w:r w:rsidRPr="004662DC">
            <w:rPr>
              <w:rFonts w:eastAsia="Calibri"/>
              <w:color w:val="000000"/>
              <w:vertAlign w:val="superscript"/>
            </w:rPr>
            <w:t>48</w:t>
          </w:r>
        </w:sdtContent>
      </w:sdt>
      <w:r>
        <w:rPr>
          <w:rFonts w:eastAsia="Calibri"/>
        </w:rPr>
        <w:t xml:space="preserve">). Here, nodes that were found significant are highlighted with a bold blue outline. </w:t>
      </w:r>
      <w:r w:rsidRPr="000F25CD">
        <w:rPr>
          <w:rFonts w:eastAsia="Calibri"/>
          <w:i/>
          <w:iCs/>
        </w:rPr>
        <w:t>ACC</w:t>
      </w:r>
      <w:r>
        <w:rPr>
          <w:rFonts w:eastAsia="Calibri"/>
        </w:rPr>
        <w:t xml:space="preserve">: analysis of accuracy; </w:t>
      </w:r>
      <w:r>
        <w:rPr>
          <w:rFonts w:eastAsia="Calibri"/>
          <w:i/>
          <w:iCs/>
        </w:rPr>
        <w:t xml:space="preserve">side: </w:t>
      </w:r>
      <w:r>
        <w:rPr>
          <w:rFonts w:eastAsia="Calibri"/>
        </w:rPr>
        <w:t xml:space="preserve">Comparison of accuracy when </w:t>
      </w:r>
      <w:proofErr w:type="spellStart"/>
      <w:r>
        <w:rPr>
          <w:rFonts w:eastAsia="Calibri"/>
        </w:rPr>
        <w:t>Kanizsa</w:t>
      </w:r>
      <w:proofErr w:type="spellEnd"/>
      <w:r>
        <w:rPr>
          <w:rFonts w:eastAsia="Calibri"/>
        </w:rPr>
        <w:t xml:space="preserve"> shape was on the left vs. the right; </w:t>
      </w:r>
      <w:proofErr w:type="spellStart"/>
      <w:r w:rsidRPr="000F25CD">
        <w:rPr>
          <w:rFonts w:eastAsia="Calibri"/>
          <w:i/>
          <w:iCs/>
        </w:rPr>
        <w:t>Kanizsa</w:t>
      </w:r>
      <w:proofErr w:type="spellEnd"/>
      <w:r>
        <w:rPr>
          <w:rFonts w:eastAsia="Calibri"/>
        </w:rPr>
        <w:t xml:space="preserve">: </w:t>
      </w:r>
      <w:proofErr w:type="spellStart"/>
      <w:r>
        <w:rPr>
          <w:rFonts w:eastAsia="Calibri"/>
        </w:rPr>
        <w:t>Kanizsa</w:t>
      </w:r>
      <w:proofErr w:type="spellEnd"/>
      <w:r>
        <w:rPr>
          <w:rFonts w:eastAsia="Calibri"/>
        </w:rPr>
        <w:t xml:space="preserve"> display; </w:t>
      </w:r>
      <w:r w:rsidRPr="000F25CD">
        <w:rPr>
          <w:rFonts w:eastAsia="Calibri"/>
          <w:i/>
          <w:iCs/>
        </w:rPr>
        <w:t>No-</w:t>
      </w:r>
      <w:proofErr w:type="spellStart"/>
      <w:r w:rsidRPr="000F25CD">
        <w:rPr>
          <w:rFonts w:eastAsia="Calibri"/>
          <w:i/>
          <w:iCs/>
        </w:rPr>
        <w:t>Kanizsa</w:t>
      </w:r>
      <w:proofErr w:type="spellEnd"/>
      <w:r>
        <w:rPr>
          <w:rFonts w:eastAsia="Calibri"/>
        </w:rPr>
        <w:t>: No-</w:t>
      </w:r>
      <w:proofErr w:type="spellStart"/>
      <w:r>
        <w:rPr>
          <w:rFonts w:eastAsia="Calibri"/>
        </w:rPr>
        <w:t>Kanizsa</w:t>
      </w:r>
      <w:proofErr w:type="spellEnd"/>
      <w:r>
        <w:rPr>
          <w:rFonts w:eastAsia="Calibri"/>
        </w:rPr>
        <w:t xml:space="preserve"> display; </w:t>
      </w:r>
      <w:r w:rsidRPr="000F25CD">
        <w:rPr>
          <w:rFonts w:eastAsia="Calibri"/>
          <w:i/>
          <w:iCs/>
        </w:rPr>
        <w:t>Cong</w:t>
      </w:r>
      <w:r>
        <w:rPr>
          <w:rFonts w:eastAsia="Calibri"/>
          <w:i/>
          <w:iCs/>
        </w:rPr>
        <w:t>:</w:t>
      </w:r>
      <w:r>
        <w:rPr>
          <w:rFonts w:eastAsia="Calibri"/>
        </w:rPr>
        <w:t xml:space="preserve"> Congruent condition; </w:t>
      </w:r>
      <w:proofErr w:type="spellStart"/>
      <w:r w:rsidRPr="000F25CD">
        <w:rPr>
          <w:rFonts w:eastAsia="Calibri"/>
          <w:i/>
          <w:iCs/>
        </w:rPr>
        <w:t>Inc</w:t>
      </w:r>
      <w:r w:rsidRPr="00514BB6">
        <w:rPr>
          <w:rFonts w:eastAsia="Calibri"/>
          <w:i/>
          <w:iCs/>
        </w:rPr>
        <w:t>ong</w:t>
      </w:r>
      <w:proofErr w:type="spellEnd"/>
      <w:r>
        <w:rPr>
          <w:rFonts w:eastAsia="Calibri"/>
          <w:i/>
          <w:iCs/>
        </w:rPr>
        <w:t>:</w:t>
      </w:r>
      <w:r>
        <w:rPr>
          <w:rFonts w:eastAsia="Calibri"/>
        </w:rPr>
        <w:t xml:space="preserve"> Incongruent condition; </w:t>
      </w:r>
      <w:proofErr w:type="spellStart"/>
      <w:r>
        <w:rPr>
          <w:rFonts w:eastAsia="Calibri"/>
          <w:i/>
          <w:iCs/>
        </w:rPr>
        <w:t>Nonw</w:t>
      </w:r>
      <w:proofErr w:type="spellEnd"/>
      <w:r>
        <w:rPr>
          <w:rFonts w:eastAsia="Calibri"/>
          <w:i/>
          <w:iCs/>
        </w:rPr>
        <w:t>:</w:t>
      </w:r>
      <w:r>
        <w:rPr>
          <w:rFonts w:eastAsia="Calibri"/>
        </w:rPr>
        <w:t xml:space="preserve"> Non-word condition; </w:t>
      </w:r>
      <w:r w:rsidRPr="000F25CD">
        <w:rPr>
          <w:rFonts w:eastAsia="Calibri"/>
          <w:i/>
          <w:iCs/>
        </w:rPr>
        <w:t>Post-hoc</w:t>
      </w:r>
      <w:r>
        <w:rPr>
          <w:rFonts w:eastAsia="Calibri"/>
        </w:rPr>
        <w:t xml:space="preserve">: Comparison of reports of seeing nothing following a semantic prime in the </w:t>
      </w:r>
      <w:proofErr w:type="spellStart"/>
      <w:r>
        <w:rPr>
          <w:rFonts w:eastAsia="Calibri"/>
        </w:rPr>
        <w:t>Kanizsa</w:t>
      </w:r>
      <w:proofErr w:type="spellEnd"/>
      <w:r>
        <w:rPr>
          <w:rFonts w:eastAsia="Calibri"/>
        </w:rPr>
        <w:t xml:space="preserve"> display vs. in the no-</w:t>
      </w:r>
      <w:proofErr w:type="spellStart"/>
      <w:r>
        <w:rPr>
          <w:rFonts w:eastAsia="Calibri"/>
        </w:rPr>
        <w:t>Kanizsa</w:t>
      </w:r>
      <w:proofErr w:type="spellEnd"/>
      <w:r>
        <w:rPr>
          <w:rFonts w:eastAsia="Calibri"/>
        </w:rPr>
        <w:t xml:space="preserve"> display.</w:t>
      </w:r>
    </w:p>
    <w:p w14:paraId="2042264D" w14:textId="77777777" w:rsidR="0067218E" w:rsidRDefault="0067218E" w:rsidP="0067218E">
      <w:pPr>
        <w:autoSpaceDE w:val="0"/>
        <w:autoSpaceDN w:val="0"/>
        <w:bidi w:val="0"/>
        <w:ind w:left="640"/>
        <w:rPr>
          <w:rFonts w:asciiTheme="majorBidi" w:hAnsiTheme="majorBidi" w:cstheme="majorBidi"/>
        </w:rPr>
      </w:pPr>
    </w:p>
    <w:p w14:paraId="24C42D05" w14:textId="77777777" w:rsidR="0067218E" w:rsidRDefault="0067218E" w:rsidP="0067218E">
      <w:pPr>
        <w:autoSpaceDE w:val="0"/>
        <w:autoSpaceDN w:val="0"/>
        <w:bidi w:val="0"/>
        <w:ind w:left="640"/>
        <w:rPr>
          <w:rFonts w:asciiTheme="majorBidi" w:hAnsiTheme="majorBidi" w:cstheme="majorBidi"/>
        </w:rPr>
      </w:pPr>
    </w:p>
    <w:p w14:paraId="14FFD284" w14:textId="77777777" w:rsidR="0067218E" w:rsidRDefault="0067218E" w:rsidP="0067218E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fldChar w:fldCharType="begin"/>
      </w:r>
      <w:r>
        <w:rPr>
          <w:rFonts w:asciiTheme="majorBidi" w:hAnsiTheme="majorBidi" w:cstheme="majorBidi"/>
        </w:rPr>
        <w:instrText xml:space="preserve"> ADDIN EN.REFLIST </w:instrText>
      </w:r>
      <w:r>
        <w:rPr>
          <w:rFonts w:asciiTheme="majorBidi" w:hAnsiTheme="majorBidi" w:cstheme="majorBidi"/>
        </w:rPr>
        <w:fldChar w:fldCharType="separate"/>
      </w:r>
      <w:r>
        <w:rPr>
          <w:rFonts w:asciiTheme="majorBidi" w:hAnsiTheme="majorBidi" w:cstheme="majorBidi"/>
        </w:rPr>
        <w:fldChar w:fldCharType="end"/>
      </w:r>
    </w:p>
    <w:p w14:paraId="7B5A9AD1" w14:textId="77777777" w:rsidR="00336CBC" w:rsidRPr="0067218E" w:rsidRDefault="00336CBC"/>
    <w:sectPr w:rsidR="00336CBC" w:rsidRPr="0067218E" w:rsidSect="005F54A1">
      <w:footerReference w:type="default" r:id="rId5"/>
      <w:pgSz w:w="11906" w:h="16838"/>
      <w:pgMar w:top="1440" w:right="1440" w:bottom="1440" w:left="1440" w:header="454" w:footer="708" w:gutter="0"/>
      <w:cols w:space="708"/>
      <w:titlePg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5D1E6" w14:textId="77777777" w:rsidR="00680010" w:rsidRDefault="00000000" w:rsidP="00F86B83">
    <w:pPr>
      <w:pStyle w:val="Footer"/>
    </w:pPr>
  </w:p>
  <w:p w14:paraId="0D62188F" w14:textId="77777777" w:rsidR="0068001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18E"/>
    <w:rsid w:val="0000632F"/>
    <w:rsid w:val="00006A7A"/>
    <w:rsid w:val="00055560"/>
    <w:rsid w:val="0005728D"/>
    <w:rsid w:val="00073374"/>
    <w:rsid w:val="00074717"/>
    <w:rsid w:val="0008643E"/>
    <w:rsid w:val="000D31B4"/>
    <w:rsid w:val="000D38D2"/>
    <w:rsid w:val="000E445B"/>
    <w:rsid w:val="000F3E2E"/>
    <w:rsid w:val="001550B6"/>
    <w:rsid w:val="001629DB"/>
    <w:rsid w:val="0016349A"/>
    <w:rsid w:val="00183D55"/>
    <w:rsid w:val="001A22EE"/>
    <w:rsid w:val="002045FB"/>
    <w:rsid w:val="00215FC0"/>
    <w:rsid w:val="002161E2"/>
    <w:rsid w:val="0026533E"/>
    <w:rsid w:val="002714F8"/>
    <w:rsid w:val="00272491"/>
    <w:rsid w:val="002825D3"/>
    <w:rsid w:val="00294884"/>
    <w:rsid w:val="002C7F0F"/>
    <w:rsid w:val="002E2F12"/>
    <w:rsid w:val="002F1B78"/>
    <w:rsid w:val="0032027F"/>
    <w:rsid w:val="00320F5D"/>
    <w:rsid w:val="00336CBC"/>
    <w:rsid w:val="0038688B"/>
    <w:rsid w:val="00392E24"/>
    <w:rsid w:val="003A2907"/>
    <w:rsid w:val="003D7D05"/>
    <w:rsid w:val="003F75CA"/>
    <w:rsid w:val="004050CD"/>
    <w:rsid w:val="004055A5"/>
    <w:rsid w:val="0044105E"/>
    <w:rsid w:val="0045100B"/>
    <w:rsid w:val="004831E4"/>
    <w:rsid w:val="00493180"/>
    <w:rsid w:val="004C0A4D"/>
    <w:rsid w:val="004D0C08"/>
    <w:rsid w:val="004D3054"/>
    <w:rsid w:val="00501CFC"/>
    <w:rsid w:val="00510471"/>
    <w:rsid w:val="005130DD"/>
    <w:rsid w:val="005263D7"/>
    <w:rsid w:val="00533166"/>
    <w:rsid w:val="005410E2"/>
    <w:rsid w:val="005838CF"/>
    <w:rsid w:val="00623796"/>
    <w:rsid w:val="006338E5"/>
    <w:rsid w:val="0067218E"/>
    <w:rsid w:val="00675307"/>
    <w:rsid w:val="00697768"/>
    <w:rsid w:val="006F4B49"/>
    <w:rsid w:val="00705EA9"/>
    <w:rsid w:val="00710A9B"/>
    <w:rsid w:val="00780313"/>
    <w:rsid w:val="0082557C"/>
    <w:rsid w:val="00827C66"/>
    <w:rsid w:val="00836AFC"/>
    <w:rsid w:val="00850A4E"/>
    <w:rsid w:val="0087179A"/>
    <w:rsid w:val="008B5DB0"/>
    <w:rsid w:val="008D4039"/>
    <w:rsid w:val="008D76BF"/>
    <w:rsid w:val="008E57A7"/>
    <w:rsid w:val="008F293B"/>
    <w:rsid w:val="0093478D"/>
    <w:rsid w:val="00943113"/>
    <w:rsid w:val="00946F14"/>
    <w:rsid w:val="009661D4"/>
    <w:rsid w:val="0097172C"/>
    <w:rsid w:val="009C10CC"/>
    <w:rsid w:val="009F6003"/>
    <w:rsid w:val="00A96670"/>
    <w:rsid w:val="00AC51FB"/>
    <w:rsid w:val="00AE0F7E"/>
    <w:rsid w:val="00AE31DF"/>
    <w:rsid w:val="00AF53F8"/>
    <w:rsid w:val="00B05EA4"/>
    <w:rsid w:val="00B33704"/>
    <w:rsid w:val="00B3379F"/>
    <w:rsid w:val="00B6221C"/>
    <w:rsid w:val="00B629C3"/>
    <w:rsid w:val="00B71F72"/>
    <w:rsid w:val="00B7442A"/>
    <w:rsid w:val="00B8232E"/>
    <w:rsid w:val="00BB462F"/>
    <w:rsid w:val="00C07B59"/>
    <w:rsid w:val="00C126C0"/>
    <w:rsid w:val="00C13494"/>
    <w:rsid w:val="00C368FE"/>
    <w:rsid w:val="00C77B68"/>
    <w:rsid w:val="00CB074B"/>
    <w:rsid w:val="00CD405A"/>
    <w:rsid w:val="00CD71B4"/>
    <w:rsid w:val="00CE1DA9"/>
    <w:rsid w:val="00CE2E90"/>
    <w:rsid w:val="00CF2AE9"/>
    <w:rsid w:val="00D12390"/>
    <w:rsid w:val="00D2152A"/>
    <w:rsid w:val="00DC2FD8"/>
    <w:rsid w:val="00DC3A59"/>
    <w:rsid w:val="00E06F31"/>
    <w:rsid w:val="00E21CB0"/>
    <w:rsid w:val="00E43F57"/>
    <w:rsid w:val="00E80A07"/>
    <w:rsid w:val="00E8413A"/>
    <w:rsid w:val="00E8792F"/>
    <w:rsid w:val="00E92C5D"/>
    <w:rsid w:val="00EB5DB4"/>
    <w:rsid w:val="00ED69E7"/>
    <w:rsid w:val="00F27601"/>
    <w:rsid w:val="00FA2E84"/>
    <w:rsid w:val="00FC63A4"/>
    <w:rsid w:val="00FE0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D63B9E"/>
  <w15:chartTrackingRefBased/>
  <w15:docId w15:val="{A2F37213-097F-454B-AB01-4E3ED1948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L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218E"/>
    <w:pPr>
      <w:bidi/>
    </w:pPr>
    <w:rPr>
      <w:rFonts w:ascii="Times New Roman" w:eastAsia="Times New Roman" w:hAnsi="Times New Roman" w:cs="Times New Roman"/>
      <w:lang w:val="en-US" w:eastAsia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7218E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218E"/>
    <w:rPr>
      <w:rFonts w:ascii="Times New Roman" w:eastAsia="Times New Roman" w:hAnsi="Times New Roman" w:cs="Times New Roman"/>
      <w:lang w:val="en-US" w:eastAsia="he-IL"/>
    </w:rPr>
  </w:style>
  <w:style w:type="table" w:styleId="TableGrid">
    <w:name w:val="Table Grid"/>
    <w:basedOn w:val="TableNormal"/>
    <w:uiPriority w:val="59"/>
    <w:rsid w:val="0067218E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tif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3D08F9F322D434A9E7FEF05606552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12C3A6-7AB3-BA43-ADEB-A660C9973A5D}"/>
      </w:docPartPr>
      <w:docPartBody>
        <w:p w:rsidR="00000000" w:rsidRDefault="00915EF6" w:rsidP="00915EF6">
          <w:pPr>
            <w:pStyle w:val="73D08F9F322D434A9E7FEF056065521C"/>
          </w:pPr>
          <w:r w:rsidRPr="00B76F77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sDel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EF6"/>
    <w:rsid w:val="0090437F"/>
    <w:rsid w:val="00915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IL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15EF6"/>
    <w:rPr>
      <w:color w:val="808080"/>
    </w:rPr>
  </w:style>
  <w:style w:type="paragraph" w:customStyle="1" w:styleId="73D08F9F322D434A9E7FEF056065521C">
    <w:name w:val="73D08F9F322D434A9E7FEF056065521C"/>
    <w:rsid w:val="00915EF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Liad Mudrik</dc:creator>
  <cp:keywords/>
  <dc:description/>
  <cp:lastModifiedBy>Liad Mudrik</cp:lastModifiedBy>
  <cp:revision>1</cp:revision>
  <dcterms:created xsi:type="dcterms:W3CDTF">2024-06-17T17:24:00Z</dcterms:created>
  <dcterms:modified xsi:type="dcterms:W3CDTF">2024-06-17T17:24:00Z</dcterms:modified>
</cp:coreProperties>
</file>