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432179" w14:textId="77777777" w:rsidR="00CF6BFD" w:rsidRDefault="00CD2C2D" w:rsidP="00CF6BFD">
      <w:pPr>
        <w:spacing w:afterLines="50" w:after="156"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6755D">
        <w:rPr>
          <w:rFonts w:ascii="Times New Roman" w:hAnsi="Times New Roman" w:cs="Times New Roman"/>
          <w:b/>
          <w:bCs/>
          <w:sz w:val="22"/>
          <w:szCs w:val="22"/>
        </w:rPr>
        <w:t xml:space="preserve">Journal name: </w:t>
      </w:r>
      <w:r w:rsidR="00CF6BFD" w:rsidRPr="00CF6BFD">
        <w:rPr>
          <w:rFonts w:ascii="Times New Roman" w:hAnsi="Times New Roman" w:cs="Times New Roman"/>
          <w:b/>
          <w:bCs/>
          <w:sz w:val="22"/>
          <w:szCs w:val="22"/>
        </w:rPr>
        <w:t>Orphanet Journal of Rare Diseases</w:t>
      </w:r>
    </w:p>
    <w:p w14:paraId="096117AD" w14:textId="4EC8F3F0" w:rsidR="00CF6BFD" w:rsidRDefault="00CF6BFD" w:rsidP="00CF6BFD">
      <w:pPr>
        <w:spacing w:afterLines="50" w:after="156"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F6BFD">
        <w:rPr>
          <w:rFonts w:ascii="Times New Roman" w:hAnsi="Times New Roman" w:cs="Times New Roman"/>
          <w:b/>
          <w:bCs/>
          <w:sz w:val="22"/>
          <w:szCs w:val="22"/>
        </w:rPr>
        <w:t>Associations between CAG repeat size, brain and spinal cord volume loss, and motor symptoms in spinocerebellar ataxia type 3: a cohort study</w:t>
      </w:r>
    </w:p>
    <w:p w14:paraId="5EA06C42" w14:textId="0E41B247" w:rsidR="00AC5A76" w:rsidRPr="00672EB3" w:rsidRDefault="00AC5A76" w:rsidP="00C04789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72EB3">
        <w:rPr>
          <w:rFonts w:ascii="Times New Roman" w:hAnsi="Times New Roman" w:cs="Times New Roman"/>
          <w:sz w:val="22"/>
          <w:szCs w:val="22"/>
        </w:rPr>
        <w:t>Zhi-Xian Ye, MSc, Xuan-Yu Chen, MSc, Meng-Cheng Li, MSc, Xin-Yuan Chen, MD, Yu-Sen Qiu, MD, Ru-Ying Yuan, MSc, Zhi-Li Chen, MSc, Min-Ting Lin, MSc, Jian-Ping Hu, MD, PhD, Ying Fu, MD, PhD, Wan-Jin Chen, MD, PhD, Ning Wang, MD, PhD, Shi-Rui Gan, MD, PhD</w:t>
      </w:r>
    </w:p>
    <w:p w14:paraId="2634753D" w14:textId="603B5107" w:rsidR="00942A00" w:rsidRPr="00672EB3" w:rsidRDefault="00942A00" w:rsidP="00C04789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72EB3">
        <w:rPr>
          <w:rFonts w:ascii="Times New Roman" w:hAnsi="Times New Roman" w:cs="Times New Roman"/>
          <w:b/>
          <w:bCs/>
          <w:sz w:val="22"/>
          <w:szCs w:val="22"/>
        </w:rPr>
        <w:t xml:space="preserve">Corresponding to: </w:t>
      </w:r>
    </w:p>
    <w:p w14:paraId="22B4B285" w14:textId="44305157" w:rsidR="00AC5A76" w:rsidRPr="00672EB3" w:rsidRDefault="00AC5A76" w:rsidP="00AC5A76">
      <w:pPr>
        <w:widowControl/>
        <w:spacing w:after="120" w:line="360" w:lineRule="auto"/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</w:pPr>
      <w:r w:rsidRPr="00672EB3"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  <w:t xml:space="preserve">Shi-Rui Gan, </w:t>
      </w:r>
      <w:bookmarkStart w:id="0" w:name="OLE_LINK1"/>
      <w:r w:rsidRPr="00672EB3">
        <w:rPr>
          <w:rFonts w:ascii="Times New Roman" w:hAnsi="Times New Roman" w:cs="Times New Roman"/>
          <w:kern w:val="0"/>
          <w:sz w:val="22"/>
          <w:szCs w:val="22"/>
        </w:rPr>
        <w:t>Department of Neurology of First Affiliated Hospital, Fujian Medical University,</w:t>
      </w:r>
      <w:r w:rsidRPr="00672EB3"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  <w:t xml:space="preserve"> Fuzhou 350005, China.</w:t>
      </w:r>
      <w:bookmarkEnd w:id="0"/>
      <w:r w:rsidRPr="00672EB3"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  <w:t xml:space="preserve"> E-mail: </w:t>
      </w:r>
      <w:r w:rsidRPr="00672EB3">
        <w:rPr>
          <w:rStyle w:val="a7"/>
          <w:rFonts w:ascii="Times New Roman" w:hAnsi="Times New Roman"/>
          <w:sz w:val="22"/>
          <w:szCs w:val="22"/>
          <w:lang w:eastAsia="en-US"/>
        </w:rPr>
        <w:t>ganshirui@fjmu.edu.cn</w:t>
      </w:r>
      <w:r w:rsidRPr="00672EB3"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  <w:t>; Tel: 086-591-87982772.</w:t>
      </w:r>
    </w:p>
    <w:p w14:paraId="6AA3FB6D" w14:textId="77777777" w:rsidR="00C04789" w:rsidRPr="00672EB3" w:rsidRDefault="00C04789" w:rsidP="00C04789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0C3C5237" w14:textId="77777777" w:rsidR="00AE1015" w:rsidRPr="00672EB3" w:rsidRDefault="00AE1015" w:rsidP="00C04789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4368C8E6" w14:textId="2BE1FAC5" w:rsidR="00EB7220" w:rsidRPr="00672EB3" w:rsidRDefault="00EB7220" w:rsidP="00A6755D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72EB3">
        <w:rPr>
          <w:rFonts w:ascii="Times New Roman" w:hAnsi="Times New Roman" w:cs="Times New Roman"/>
          <w:b/>
          <w:bCs/>
          <w:sz w:val="22"/>
          <w:szCs w:val="22"/>
        </w:rPr>
        <w:t>Content</w:t>
      </w:r>
      <w:r w:rsidRPr="00672EB3">
        <w:rPr>
          <w:rFonts w:ascii="Times New Roman" w:hAnsi="Times New Roman" w:cs="Times New Roman" w:hint="eastAsia"/>
          <w:b/>
          <w:bCs/>
          <w:sz w:val="22"/>
          <w:szCs w:val="22"/>
        </w:rPr>
        <w:t>s</w:t>
      </w:r>
    </w:p>
    <w:p w14:paraId="55ADA098" w14:textId="38AE5367" w:rsidR="001745C2" w:rsidRPr="00672EB3" w:rsidRDefault="001745C2" w:rsidP="00A6755D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72EB3">
        <w:rPr>
          <w:rFonts w:ascii="Times New Roman" w:hAnsi="Times New Roman" w:cs="Times New Roman"/>
          <w:b/>
          <w:bCs/>
          <w:sz w:val="22"/>
          <w:szCs w:val="22"/>
        </w:rPr>
        <w:t>1 Appendix</w:t>
      </w:r>
    </w:p>
    <w:p w14:paraId="3977D7DD" w14:textId="002EC1B1" w:rsidR="001745C2" w:rsidRPr="00672EB3" w:rsidRDefault="00C04789" w:rsidP="00C04789">
      <w:pPr>
        <w:spacing w:line="480" w:lineRule="auto"/>
        <w:ind w:firstLine="113"/>
        <w:rPr>
          <w:rFonts w:ascii="Times New Roman" w:hAnsi="Times New Roman" w:cs="Times New Roman"/>
          <w:sz w:val="22"/>
          <w:szCs w:val="22"/>
        </w:rPr>
      </w:pPr>
      <w:r w:rsidRPr="00672EB3">
        <w:rPr>
          <w:rFonts w:ascii="Times New Roman" w:hAnsi="Times New Roman" w:cs="Times New Roman" w:hint="eastAsia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>.</w:t>
      </w:r>
      <w:r w:rsidR="00F33AE3" w:rsidRPr="00672EB3">
        <w:rPr>
          <w:rFonts w:ascii="Times New Roman" w:hAnsi="Times New Roman" w:cs="Times New Roman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 xml:space="preserve"> Additional files</w:t>
      </w:r>
    </w:p>
    <w:p w14:paraId="3E84E28B" w14:textId="1F313028" w:rsidR="00C04789" w:rsidRDefault="00C04789" w:rsidP="00C04789">
      <w:pPr>
        <w:ind w:firstLine="454"/>
        <w:rPr>
          <w:rStyle w:val="font31"/>
          <w:rFonts w:ascii="Times New Roman" w:eastAsia="宋体" w:hAnsi="Times New Roman" w:cs="Times New Roman"/>
          <w:lang w:bidi="ar"/>
        </w:rPr>
      </w:pPr>
      <w:r w:rsidRPr="00672EB3">
        <w:rPr>
          <w:rFonts w:ascii="Times New Roman" w:hAnsi="Times New Roman" w:cs="Times New Roman"/>
          <w:sz w:val="22"/>
          <w:szCs w:val="22"/>
        </w:rPr>
        <w:t>1.</w:t>
      </w:r>
      <w:r w:rsidR="00F33AE3" w:rsidRPr="00672EB3">
        <w:rPr>
          <w:rFonts w:ascii="Times New Roman" w:hAnsi="Times New Roman" w:cs="Times New Roman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 xml:space="preserve">.1 </w:t>
      </w:r>
      <w:r w:rsidR="0008648A">
        <w:rPr>
          <w:rFonts w:ascii="Times New Roman" w:hAnsi="Times New Roman" w:cs="Times New Roman"/>
          <w:sz w:val="22"/>
          <w:szCs w:val="22"/>
        </w:rPr>
        <w:t>T</w:t>
      </w:r>
      <w:r w:rsidRPr="00672EB3">
        <w:rPr>
          <w:rStyle w:val="font31"/>
          <w:rFonts w:ascii="Times New Roman" w:eastAsia="宋体" w:hAnsi="Times New Roman" w:cs="Times New Roman"/>
          <w:lang w:bidi="ar"/>
        </w:rPr>
        <w:t xml:space="preserve">able </w:t>
      </w:r>
      <w:r w:rsidR="0008648A">
        <w:rPr>
          <w:rStyle w:val="font31"/>
          <w:rFonts w:ascii="Times New Roman" w:eastAsia="宋体" w:hAnsi="Times New Roman" w:cs="Times New Roman"/>
          <w:lang w:bidi="ar"/>
        </w:rPr>
        <w:t>S</w:t>
      </w:r>
      <w:r w:rsidRPr="00672EB3">
        <w:rPr>
          <w:rStyle w:val="font31"/>
          <w:rFonts w:ascii="Times New Roman" w:eastAsia="宋体" w:hAnsi="Times New Roman" w:cs="Times New Roman"/>
          <w:lang w:bidi="ar"/>
        </w:rPr>
        <w:t xml:space="preserve">1 </w:t>
      </w:r>
      <w:r w:rsidR="00F33AE3" w:rsidRPr="00672EB3">
        <w:rPr>
          <w:rStyle w:val="font31"/>
          <w:rFonts w:ascii="Times New Roman" w:eastAsia="宋体" w:hAnsi="Times New Roman" w:cs="Times New Roman"/>
          <w:lang w:bidi="ar"/>
        </w:rPr>
        <w:t>Multiple regression analyses of cerebellar volume and spinal cord area between different groups</w:t>
      </w:r>
    </w:p>
    <w:p w14:paraId="56994398" w14:textId="72DF8AA8" w:rsidR="00672EB3" w:rsidRDefault="00672EB3" w:rsidP="00C04789">
      <w:pPr>
        <w:ind w:firstLine="454"/>
        <w:rPr>
          <w:rFonts w:ascii="Times New Roman" w:hAnsi="Times New Roman" w:cs="Times New Roman"/>
          <w:sz w:val="22"/>
          <w:szCs w:val="22"/>
        </w:rPr>
      </w:pPr>
      <w:r w:rsidRPr="00672EB3">
        <w:rPr>
          <w:rFonts w:ascii="Times New Roman" w:hAnsi="Times New Roman" w:cs="Times New Roman"/>
          <w:sz w:val="22"/>
          <w:szCs w:val="22"/>
        </w:rPr>
        <w:t xml:space="preserve">1.1.2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T</w:t>
      </w:r>
      <w:r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able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S</w:t>
      </w: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2</w:t>
      </w:r>
      <w:r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 </w:t>
      </w:r>
      <w:r w:rsidRPr="00FF22AF">
        <w:rPr>
          <w:rFonts w:ascii="Times New Roman" w:eastAsia="宋体" w:hAnsi="Times New Roman" w:cs="Times New Roman"/>
          <w:color w:val="000000"/>
          <w:kern w:val="0"/>
          <w:sz w:val="22"/>
        </w:rPr>
        <w:t>Volumetric MRI measures according to disease duration group in all SCA3 patients</w:t>
      </w:r>
      <w:r w:rsidRPr="00672EB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94A76BA" w14:textId="7DFF8AD0" w:rsidR="00F33AE3" w:rsidRPr="00672EB3" w:rsidRDefault="00C04789" w:rsidP="00C04789">
      <w:pPr>
        <w:ind w:firstLine="454"/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</w:pPr>
      <w:r w:rsidRPr="00672EB3">
        <w:rPr>
          <w:rFonts w:ascii="Times New Roman" w:hAnsi="Times New Roman" w:cs="Times New Roman"/>
          <w:sz w:val="22"/>
          <w:szCs w:val="22"/>
        </w:rPr>
        <w:t>1.</w:t>
      </w:r>
      <w:r w:rsidR="00F33AE3" w:rsidRPr="00672EB3">
        <w:rPr>
          <w:rFonts w:ascii="Times New Roman" w:hAnsi="Times New Roman" w:cs="Times New Roman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>.</w:t>
      </w:r>
      <w:r w:rsidR="00672EB3">
        <w:rPr>
          <w:rFonts w:ascii="Times New Roman" w:hAnsi="Times New Roman" w:cs="Times New Roman"/>
          <w:sz w:val="22"/>
          <w:szCs w:val="22"/>
        </w:rPr>
        <w:t>3</w:t>
      </w:r>
      <w:r w:rsidRPr="00672EB3">
        <w:rPr>
          <w:rFonts w:ascii="Times New Roman" w:hAnsi="Times New Roman" w:cs="Times New Roman"/>
          <w:sz w:val="22"/>
          <w:szCs w:val="22"/>
        </w:rPr>
        <w:t xml:space="preserve">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T</w:t>
      </w:r>
      <w:r w:rsidR="00F33AE3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able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S</w:t>
      </w:r>
      <w:r w:rsid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3</w:t>
      </w:r>
      <w:r w:rsidR="00F33AE3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 Comparison results (</w:t>
      </w:r>
      <w:r w:rsidR="00F33AE3" w:rsidRPr="00672EB3">
        <w:rPr>
          <w:rFonts w:ascii="Times New Roman" w:eastAsia="宋体" w:hAnsi="Times New Roman" w:cs="Times New Roman"/>
          <w:i/>
          <w:iCs/>
          <w:color w:val="000000"/>
          <w:kern w:val="0"/>
          <w:sz w:val="22"/>
          <w:szCs w:val="22"/>
          <w:lang w:bidi="ar"/>
        </w:rPr>
        <w:t>P</w:t>
      </w:r>
      <w:r w:rsidR="00F33AE3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 values) of MRI measures according to SCA3 disease stage group</w:t>
      </w:r>
    </w:p>
    <w:p w14:paraId="477B8458" w14:textId="49F9EE73" w:rsidR="00C04789" w:rsidRPr="00672EB3" w:rsidRDefault="00C04789" w:rsidP="00C04789">
      <w:pPr>
        <w:ind w:firstLine="454"/>
        <w:rPr>
          <w:rFonts w:ascii="Times New Roman" w:hAnsi="Times New Roman" w:cs="Times New Roman"/>
          <w:sz w:val="22"/>
          <w:szCs w:val="22"/>
        </w:rPr>
      </w:pPr>
      <w:r w:rsidRPr="00672EB3">
        <w:rPr>
          <w:rFonts w:ascii="Times New Roman" w:hAnsi="Times New Roman" w:cs="Times New Roman"/>
          <w:sz w:val="22"/>
          <w:szCs w:val="22"/>
        </w:rPr>
        <w:t>1.</w:t>
      </w:r>
      <w:r w:rsidR="00F33AE3" w:rsidRPr="00672EB3">
        <w:rPr>
          <w:rFonts w:ascii="Times New Roman" w:hAnsi="Times New Roman" w:cs="Times New Roman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>.</w:t>
      </w:r>
      <w:r w:rsidR="00672EB3">
        <w:rPr>
          <w:rFonts w:ascii="Times New Roman" w:hAnsi="Times New Roman" w:cs="Times New Roman"/>
          <w:sz w:val="22"/>
          <w:szCs w:val="22"/>
        </w:rPr>
        <w:t>4</w:t>
      </w:r>
      <w:r w:rsidRPr="00672EB3">
        <w:rPr>
          <w:rFonts w:ascii="Times New Roman" w:hAnsi="Times New Roman" w:cs="Times New Roman"/>
          <w:sz w:val="22"/>
          <w:szCs w:val="22"/>
        </w:rPr>
        <w:t xml:space="preserve">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T</w:t>
      </w:r>
      <w:r w:rsidR="00F33AE3" w:rsidRPr="00672EB3"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able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S</w:t>
      </w:r>
      <w:r w:rsid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4</w:t>
      </w:r>
      <w:r w:rsidR="00F33AE3" w:rsidRPr="00672EB3"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 Comparisons and standardized effect size between SCA3 patients with disease duration</w:t>
      </w:r>
      <w:r w:rsidR="00F33AE3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 ≥ </w:t>
      </w:r>
      <w:r w:rsidR="00F33AE3" w:rsidRPr="00672EB3"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>7 years and &lt; 7 years</w:t>
      </w:r>
    </w:p>
    <w:p w14:paraId="4E4B7CC9" w14:textId="60DFAEF7" w:rsidR="00C04789" w:rsidRDefault="00C04789" w:rsidP="00F33AE3">
      <w:pPr>
        <w:ind w:firstLine="454"/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</w:pPr>
      <w:r w:rsidRPr="00672EB3">
        <w:rPr>
          <w:rFonts w:ascii="Times New Roman" w:hAnsi="Times New Roman" w:cs="Times New Roman" w:hint="eastAsia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>.</w:t>
      </w:r>
      <w:r w:rsidR="00F33AE3" w:rsidRPr="00672EB3">
        <w:rPr>
          <w:rFonts w:ascii="Times New Roman" w:hAnsi="Times New Roman" w:cs="Times New Roman"/>
          <w:sz w:val="22"/>
          <w:szCs w:val="22"/>
        </w:rPr>
        <w:t>1</w:t>
      </w:r>
      <w:r w:rsidRPr="00672EB3">
        <w:rPr>
          <w:rFonts w:ascii="Times New Roman" w:hAnsi="Times New Roman" w:cs="Times New Roman"/>
          <w:sz w:val="22"/>
          <w:szCs w:val="22"/>
        </w:rPr>
        <w:t>.</w:t>
      </w:r>
      <w:r w:rsidR="00672EB3">
        <w:rPr>
          <w:rFonts w:ascii="Times New Roman" w:hAnsi="Times New Roman" w:cs="Times New Roman"/>
          <w:sz w:val="22"/>
          <w:szCs w:val="22"/>
        </w:rPr>
        <w:t>5</w:t>
      </w:r>
      <w:r w:rsidRPr="00672EB3">
        <w:rPr>
          <w:rFonts w:ascii="Times New Roman" w:hAnsi="Times New Roman" w:cs="Times New Roman"/>
          <w:sz w:val="22"/>
          <w:szCs w:val="22"/>
        </w:rPr>
        <w:t xml:space="preserve">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F</w:t>
      </w:r>
      <w:r w:rsidR="00F33AE3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igure </w:t>
      </w:r>
      <w:r w:rsidR="0008648A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S</w:t>
      </w:r>
      <w:r w:rsidR="00F33AE3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1</w:t>
      </w:r>
      <w:r w:rsidR="003F2C15" w:rsidRPr="00672EB3"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 Voxel-based correlation analysis between CAG repeat size and brain volume(s) in patients with spinocerebellar ataxias type 3 (SCA3).</w:t>
      </w:r>
    </w:p>
    <w:p w14:paraId="29D99250" w14:textId="77777777" w:rsidR="00C04789" w:rsidRPr="00672EB3" w:rsidRDefault="00C04789" w:rsidP="00CF6BF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561E2F5" w14:textId="77777777" w:rsidR="00CF6BFD" w:rsidRPr="00672EB3" w:rsidRDefault="00CF6BFD" w:rsidP="00F41C30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70F507F" w14:textId="26FDE365" w:rsidR="00F7648F" w:rsidRPr="00672EB3" w:rsidRDefault="001745C2" w:rsidP="00A6755D"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72EB3">
        <w:rPr>
          <w:rFonts w:ascii="Times New Roman" w:hAnsi="Times New Roman" w:cs="Times New Roman"/>
          <w:b/>
          <w:bCs/>
          <w:sz w:val="22"/>
          <w:szCs w:val="22"/>
        </w:rPr>
        <w:t>1.</w:t>
      </w:r>
      <w:r w:rsidR="00F33AE3" w:rsidRPr="00672EB3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EB7220" w:rsidRPr="00672EB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A6755D" w:rsidRPr="00672EB3">
        <w:rPr>
          <w:rFonts w:ascii="Times New Roman" w:hAnsi="Times New Roman" w:cs="Times New Roman"/>
          <w:b/>
          <w:bCs/>
          <w:sz w:val="22"/>
          <w:szCs w:val="22"/>
        </w:rPr>
        <w:t>Additional files</w:t>
      </w:r>
    </w:p>
    <w:tbl>
      <w:tblPr>
        <w:tblW w:w="10440" w:type="dxa"/>
        <w:tblInd w:w="108" w:type="dxa"/>
        <w:tblLook w:val="04A0" w:firstRow="1" w:lastRow="0" w:firstColumn="1" w:lastColumn="0" w:noHBand="0" w:noVBand="1"/>
      </w:tblPr>
      <w:tblGrid>
        <w:gridCol w:w="3772"/>
        <w:gridCol w:w="968"/>
        <w:gridCol w:w="2123"/>
        <w:gridCol w:w="2382"/>
        <w:gridCol w:w="1186"/>
        <w:gridCol w:w="9"/>
      </w:tblGrid>
      <w:tr w:rsidR="00F41C30" w:rsidRPr="00672EB3" w14:paraId="4B93E222" w14:textId="77777777" w:rsidTr="00F41C30">
        <w:trPr>
          <w:gridAfter w:val="1"/>
          <w:wAfter w:w="9" w:type="dxa"/>
          <w:trHeight w:val="501"/>
        </w:trPr>
        <w:tc>
          <w:tcPr>
            <w:tcW w:w="104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698EB0" w14:textId="62E53397" w:rsidR="00F41C30" w:rsidRPr="00672EB3" w:rsidRDefault="0008648A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</w:t>
            </w:r>
            <w:r w:rsidR="00F41C30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able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</w:t>
            </w:r>
            <w:r w:rsidR="00F41C30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 Multiple regression analyses of cerebellar volume and spinal cord area between different groups</w:t>
            </w:r>
          </w:p>
        </w:tc>
      </w:tr>
      <w:tr w:rsidR="00F41C30" w:rsidRPr="00672EB3" w14:paraId="7752E885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7174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F255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Beta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1842B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Coefficient, B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81E91" w14:textId="687EC341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95% CI for B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97C50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 w:rsidR="00F41C30" w:rsidRPr="00672EB3" w14:paraId="536D04DC" w14:textId="77777777" w:rsidTr="00F41C30">
        <w:trPr>
          <w:trHeight w:val="501"/>
        </w:trPr>
        <w:tc>
          <w:tcPr>
            <w:tcW w:w="104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200A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Cerebellar volume: SCA3 vs. HCs</w:t>
            </w:r>
          </w:p>
        </w:tc>
      </w:tr>
      <w:tr w:rsidR="00F41C30" w:rsidRPr="00672EB3" w14:paraId="7858CC89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54F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A142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0.096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41C8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2.950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8992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-1.913, 7.814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7FCD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0.232 </w:t>
            </w:r>
          </w:p>
        </w:tc>
      </w:tr>
      <w:tr w:rsidR="00F41C30" w:rsidRPr="00672EB3" w14:paraId="3BEF6960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A7A6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32CB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-0.316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6506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-0.420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6866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-0.571, -0.270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0D5D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F41C30" w:rsidRPr="00672EB3" w14:paraId="772D958F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5161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TIV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D75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0.415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3464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0.047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CFF8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0.030, 0.064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4FCF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F41C30" w:rsidRPr="00672EB3" w14:paraId="4C9089DA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753A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Between-group difference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09A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-0.416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7F32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-13.81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831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-17.62, -9.993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911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F41C30" w:rsidRPr="00672EB3" w14:paraId="4488FD5E" w14:textId="77777777" w:rsidTr="00F41C30">
        <w:trPr>
          <w:trHeight w:val="501"/>
        </w:trPr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4084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MUCCA: SCA3 vs. HCs</w:t>
            </w:r>
          </w:p>
        </w:tc>
      </w:tr>
      <w:tr w:rsidR="00F41C30" w:rsidRPr="00672EB3" w14:paraId="14F41DC9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CAD3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EC07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-0.013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872E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-0.281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EA38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-4.455, 3.893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3F95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0.894 </w:t>
            </w:r>
          </w:p>
        </w:tc>
      </w:tr>
      <w:tr w:rsidR="00F41C30" w:rsidRPr="00672EB3" w14:paraId="448BB118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55CC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72A4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-0.265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B70D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-0.248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2D6A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-0.377, -0.118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FE1E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F41C30" w:rsidRPr="00672EB3" w14:paraId="2D7BFE8C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CAA6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TIV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0F7B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0.223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BEF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0.018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0F68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0.003, 0.033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BE0F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0.021 </w:t>
            </w:r>
          </w:p>
        </w:tc>
      </w:tr>
      <w:tr w:rsidR="00F41C30" w:rsidRPr="00672EB3" w14:paraId="156432FA" w14:textId="77777777" w:rsidTr="00F41C30">
        <w:trPr>
          <w:trHeight w:val="501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0413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Between-group difference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5FDC2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-0.497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4BF70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-11.56 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0FBDC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-14.83, -8.283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0E67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F41C30" w:rsidRPr="00672EB3" w14:paraId="03A69C51" w14:textId="77777777" w:rsidTr="00F41C30">
        <w:trPr>
          <w:trHeight w:val="1020"/>
        </w:trPr>
        <w:tc>
          <w:tcPr>
            <w:tcW w:w="104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46515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Variables comparisons between different groups were done using multiple regression models. 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br/>
              <w:t>Abbreviations: HCs = healthy control individuals; MUCCA = mean upper cervical cord area; SCA3 = spinocerebellar ataxias type 3; TIV = total intracranial volume.</w:t>
            </w:r>
          </w:p>
        </w:tc>
      </w:tr>
    </w:tbl>
    <w:p w14:paraId="4C17F1A3" w14:textId="77777777" w:rsidR="00F7648F" w:rsidRDefault="00F7648F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ED763E3" w14:textId="77777777" w:rsidR="00CD2C2D" w:rsidRPr="00672EB3" w:rsidRDefault="00CD2C2D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W w:w="10488" w:type="dxa"/>
        <w:tblInd w:w="108" w:type="dxa"/>
        <w:tblLook w:val="04A0" w:firstRow="1" w:lastRow="0" w:firstColumn="1" w:lastColumn="0" w:noHBand="0" w:noVBand="1"/>
      </w:tblPr>
      <w:tblGrid>
        <w:gridCol w:w="3288"/>
        <w:gridCol w:w="2438"/>
        <w:gridCol w:w="2381"/>
        <w:gridCol w:w="2381"/>
      </w:tblGrid>
      <w:tr w:rsidR="00672EB3" w:rsidRPr="00FF22AF" w14:paraId="7C586A48" w14:textId="77777777" w:rsidTr="00430C51">
        <w:trPr>
          <w:trHeight w:val="501"/>
        </w:trPr>
        <w:tc>
          <w:tcPr>
            <w:tcW w:w="10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D4D39" w14:textId="191B9AB5" w:rsidR="00672EB3" w:rsidRPr="00FF22AF" w:rsidRDefault="0008648A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</w:t>
            </w:r>
            <w:r w:rsidR="00672EB3"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able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</w:t>
            </w:r>
            <w:r w:rsidR="00672EB3"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Volumetric MRI measures according to disease duration group in all SCA3 patients</w:t>
            </w:r>
          </w:p>
        </w:tc>
      </w:tr>
      <w:tr w:rsidR="00672EB3" w:rsidRPr="00FF22AF" w14:paraId="14F38D74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23F8B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CAD35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Presymptomatic SCA3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0DB1CE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Duration &lt; 10 years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6B06E0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Duration </w:t>
            </w:r>
            <w:r w:rsidRPr="00FF22AF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2"/>
              </w:rPr>
              <w:t>≥</w:t>
            </w:r>
            <w:r w:rsidRPr="00FF22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10 years</w:t>
            </w:r>
          </w:p>
        </w:tc>
      </w:tr>
      <w:tr w:rsidR="00672EB3" w:rsidRPr="00FF22AF" w14:paraId="5B10289C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58F4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8339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A01D7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570AC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672EB3" w:rsidRPr="00FF22AF" w14:paraId="6E26C16E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D65F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242021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242021"/>
                <w:kern w:val="0"/>
                <w:sz w:val="22"/>
              </w:rPr>
              <w:t>Female sex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6AAFE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(46.4)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A99C2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(50.0)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65E4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(38.5)</w:t>
            </w:r>
          </w:p>
        </w:tc>
      </w:tr>
      <w:tr w:rsidR="00672EB3" w:rsidRPr="00FF22AF" w14:paraId="13D910D5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7E7D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Age at examination, year 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C600B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 (15–47)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D6FA6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 (24–58)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0EB21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 (27–57)</w:t>
            </w:r>
          </w:p>
        </w:tc>
      </w:tr>
      <w:tr w:rsidR="00672EB3" w:rsidRPr="00FF22AF" w14:paraId="7FCA2DCF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7112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 at onset, year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9656A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7999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 (16–50)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9BBE6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 (17–43)</w:t>
            </w:r>
          </w:p>
        </w:tc>
      </w:tr>
      <w:tr w:rsidR="00672EB3" w:rsidRPr="00FF22AF" w14:paraId="00118E32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5471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Disease duration, year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01871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7306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(2–9)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7B46C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(10–20)</w:t>
            </w:r>
          </w:p>
        </w:tc>
      </w:tr>
      <w:tr w:rsidR="00672EB3" w:rsidRPr="00FF22AF" w14:paraId="1CC187B7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CA7D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Expanded CAG repeats 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CEB56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 (60–80)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D261F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 (70–80)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C51F9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75.5 (66–81)</w:t>
            </w:r>
          </w:p>
        </w:tc>
      </w:tr>
      <w:tr w:rsidR="00672EB3" w:rsidRPr="00FF22AF" w14:paraId="764279D2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2B2E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SARA scores, points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56A4A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(0–2)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B65E9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8.25 (4–23)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16AFE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 (3–28)</w:t>
            </w:r>
          </w:p>
        </w:tc>
      </w:tr>
      <w:tr w:rsidR="00672EB3" w:rsidRPr="00FF22AF" w14:paraId="2BA1E5D3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6E8A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ICARS scores, points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58AB6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(0–12)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73538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(6–58)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17BA9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 (4–70)</w:t>
            </w:r>
          </w:p>
        </w:tc>
      </w:tr>
      <w:tr w:rsidR="00672EB3" w:rsidRPr="00FF22AF" w14:paraId="2E20C678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AAE9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intracranial volume, mL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BB5FD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1412 (1145–1664)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182CE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1461 (1151–1739)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CEC8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1416 (1194–1752)</w:t>
            </w:r>
          </w:p>
        </w:tc>
      </w:tr>
      <w:tr w:rsidR="00672EB3" w:rsidRPr="00FF22AF" w14:paraId="0CB82D58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E27" w14:textId="77777777" w:rsidR="00672EB3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Cerebellar volume </w:t>
            </w:r>
          </w:p>
          <w:p w14:paraId="29A7EFBA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(ratio of TIV </w:t>
            </w:r>
            <w:r w:rsidRPr="00FF22AF">
              <w:rPr>
                <w:rFonts w:ascii="Segoe UI Symbol" w:eastAsia="宋体" w:hAnsi="Segoe UI Symbol" w:cs="Times New Roman"/>
                <w:color w:val="000000"/>
                <w:kern w:val="0"/>
                <w:sz w:val="22"/>
              </w:rPr>
              <w:t>✖</w:t>
            </w: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10</w:t>
            </w: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7914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8.50 (7.48–10.09)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5CB30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8.16 (6.15–9.65)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9885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7.93 (6.57–9.18)</w:t>
            </w:r>
          </w:p>
        </w:tc>
      </w:tr>
      <w:tr w:rsidR="00672EB3" w:rsidRPr="00FF22AF" w14:paraId="09643046" w14:textId="77777777" w:rsidTr="00430C51">
        <w:trPr>
          <w:trHeight w:val="501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0394D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MUCCA, mm2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2F884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74.3 (54.0–84.7)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4CCF9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62.3 (43.0–77.3)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8514F" w14:textId="77777777" w:rsidR="00672EB3" w:rsidRPr="00FF22AF" w:rsidRDefault="00672EB3" w:rsidP="00430C5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58.8 (41.0–77.3)</w:t>
            </w:r>
          </w:p>
        </w:tc>
      </w:tr>
      <w:tr w:rsidR="00672EB3" w:rsidRPr="00FF22AF" w14:paraId="0BFAE8C4" w14:textId="77777777" w:rsidTr="00430C51">
        <w:trPr>
          <w:trHeight w:val="1248"/>
        </w:trPr>
        <w:tc>
          <w:tcPr>
            <w:tcW w:w="10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CA88C" w14:textId="77777777" w:rsidR="00672EB3" w:rsidRPr="00FF22AF" w:rsidRDefault="00672EB3" w:rsidP="00430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Note: numbers are presented as median (range).</w:t>
            </w:r>
            <w:r w:rsidRPr="00FF22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Abbreviations: CAG = cytosine-adenine-guanine; ICARS = International Cooperative Ataxia Rating Scale; MUCCA = mean upper cervical cord area; NA = not applicable; SARA = Scale for the Assessment and Rating of Ataxia; SCA3 = spinocerebellar ataxias type 3; TIV = total intracranial volume.</w:t>
            </w:r>
          </w:p>
        </w:tc>
      </w:tr>
    </w:tbl>
    <w:p w14:paraId="4875FAC1" w14:textId="77777777" w:rsidR="00672EB3" w:rsidRDefault="00672EB3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BDBD9E7" w14:textId="77777777" w:rsidR="00CD2C2D" w:rsidRPr="00672EB3" w:rsidRDefault="00CD2C2D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W w:w="10432" w:type="dxa"/>
        <w:tblInd w:w="108" w:type="dxa"/>
        <w:tblLook w:val="04A0" w:firstRow="1" w:lastRow="0" w:firstColumn="1" w:lastColumn="0" w:noHBand="0" w:noVBand="1"/>
      </w:tblPr>
      <w:tblGrid>
        <w:gridCol w:w="3061"/>
        <w:gridCol w:w="1134"/>
        <w:gridCol w:w="2041"/>
        <w:gridCol w:w="2098"/>
        <w:gridCol w:w="2098"/>
      </w:tblGrid>
      <w:tr w:rsidR="00F41C30" w:rsidRPr="00672EB3" w14:paraId="47B87571" w14:textId="77777777" w:rsidTr="00F41C30">
        <w:trPr>
          <w:trHeight w:val="501"/>
        </w:trPr>
        <w:tc>
          <w:tcPr>
            <w:tcW w:w="1043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CE26EE" w14:textId="57807166" w:rsidR="00F41C30" w:rsidRPr="00672EB3" w:rsidRDefault="00852439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T</w:t>
            </w:r>
            <w:r w:rsidR="00F41C30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able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</w:t>
            </w:r>
            <w:r w:rsid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  <w:r w:rsidR="00F41C30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Comparison results (</w:t>
            </w:r>
            <w:r w:rsidR="00F41C30" w:rsidRPr="00672EB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="00F41C30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values) of MRI measures according to SCA3 disease stage group</w:t>
            </w:r>
          </w:p>
        </w:tc>
      </w:tr>
      <w:tr w:rsidR="00F41C30" w:rsidRPr="00672EB3" w14:paraId="0AB6AA36" w14:textId="77777777" w:rsidTr="00F41C30">
        <w:trPr>
          <w:trHeight w:val="999"/>
        </w:trPr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E48FF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3030E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All groups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58EE34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Presymptomatic 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br/>
              <w:t>vs. Duration &lt; 10 years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B70A9F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Presymptomatic 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br/>
              <w:t xml:space="preserve">vs. Duration </w:t>
            </w:r>
            <w:r w:rsidRPr="00672EB3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≥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10 years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F456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Duration &lt; 10 years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br/>
              <w:t xml:space="preserve">vs. Duration </w:t>
            </w:r>
            <w:r w:rsidRPr="00672EB3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≥</w:t>
            </w: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10 years</w:t>
            </w:r>
          </w:p>
        </w:tc>
      </w:tr>
      <w:tr w:rsidR="00F41C30" w:rsidRPr="00672EB3" w14:paraId="5CBE5D92" w14:textId="77777777" w:rsidTr="00F41C30">
        <w:trPr>
          <w:trHeight w:val="501"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7DA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Total intracranial volume, mL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7E09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0.846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D73E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0.638 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334C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0.966 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D948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0.510 </w:t>
            </w:r>
          </w:p>
        </w:tc>
      </w:tr>
      <w:tr w:rsidR="00F41C30" w:rsidRPr="00672EB3" w14:paraId="158F307D" w14:textId="77777777" w:rsidTr="00F41C30">
        <w:trPr>
          <w:trHeight w:val="501"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427E" w14:textId="1B4D9703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Cerebellar volume </w:t>
            </w:r>
          </w:p>
          <w:p w14:paraId="0E188FA5" w14:textId="1213070D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(ratio of TIV</w:t>
            </w:r>
            <w:r w:rsidR="00A73E84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* 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6C1B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265E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C6D5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9566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0.528 </w:t>
            </w:r>
          </w:p>
        </w:tc>
      </w:tr>
      <w:tr w:rsidR="00F41C30" w:rsidRPr="00672EB3" w14:paraId="69F5519A" w14:textId="77777777" w:rsidTr="00F41C30">
        <w:trPr>
          <w:trHeight w:val="501"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3FB5C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MUCCA, mm2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CAFF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528F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FB17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A4B3E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0.095 </w:t>
            </w:r>
          </w:p>
        </w:tc>
      </w:tr>
      <w:tr w:rsidR="00F41C30" w:rsidRPr="00672EB3" w14:paraId="0E0E31CF" w14:textId="77777777" w:rsidTr="00F41C30">
        <w:trPr>
          <w:trHeight w:val="804"/>
        </w:trPr>
        <w:tc>
          <w:tcPr>
            <w:tcW w:w="1043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771C" w14:textId="77777777" w:rsidR="00F41C30" w:rsidRPr="00672EB3" w:rsidRDefault="00F41C30" w:rsidP="00F41C3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Note: all values are </w:t>
            </w:r>
            <w:r w:rsidRPr="00672EB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values. Bonferroni correction for multiple comparison.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br/>
              <w:t>Abbreviations: MUCCA = mean upper cervical cord area; SCA3 = spinocerebellar ataxias type 3; TIV = total intracranial volume.</w:t>
            </w:r>
          </w:p>
        </w:tc>
      </w:tr>
    </w:tbl>
    <w:p w14:paraId="7E131006" w14:textId="77777777" w:rsidR="00A73E84" w:rsidRDefault="00A73E84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D601A96" w14:textId="77777777" w:rsidR="00CD2C2D" w:rsidRPr="00672EB3" w:rsidRDefault="00CD2C2D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W w:w="10205" w:type="dxa"/>
        <w:tblInd w:w="108" w:type="dxa"/>
        <w:tblLook w:val="04A0" w:firstRow="1" w:lastRow="0" w:firstColumn="1" w:lastColumn="0" w:noHBand="0" w:noVBand="1"/>
      </w:tblPr>
      <w:tblGrid>
        <w:gridCol w:w="3515"/>
        <w:gridCol w:w="2381"/>
        <w:gridCol w:w="2381"/>
        <w:gridCol w:w="1871"/>
        <w:gridCol w:w="57"/>
      </w:tblGrid>
      <w:tr w:rsidR="00A73E84" w:rsidRPr="00672EB3" w14:paraId="3EE1AC0E" w14:textId="77777777" w:rsidTr="00A73E84">
        <w:trPr>
          <w:gridAfter w:val="1"/>
          <w:wAfter w:w="57" w:type="dxa"/>
          <w:trHeight w:val="501"/>
        </w:trPr>
        <w:tc>
          <w:tcPr>
            <w:tcW w:w="101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8B81" w14:textId="033A130B" w:rsidR="00A73E84" w:rsidRPr="00672EB3" w:rsidRDefault="00852439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</w:t>
            </w:r>
            <w:r w:rsidR="00A73E84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able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</w:t>
            </w:r>
            <w:r w:rsid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  <w:r w:rsidR="00A73E84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Comparisons and standardized effect size between SCA3 patients with disease duration </w:t>
            </w:r>
            <w:r w:rsidR="00A73E84" w:rsidRPr="00672EB3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  <w:szCs w:val="22"/>
              </w:rPr>
              <w:t>≥</w:t>
            </w:r>
            <w:r w:rsidR="00A73E84"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7 years and &lt; 7 years</w:t>
            </w:r>
          </w:p>
        </w:tc>
      </w:tr>
      <w:tr w:rsidR="00A73E84" w:rsidRPr="00672EB3" w14:paraId="49B17E77" w14:textId="77777777" w:rsidTr="00A73E84">
        <w:trPr>
          <w:trHeight w:val="1056"/>
        </w:trPr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266E8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82B99B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SCA3 patients with disease duration &lt; 7 years (n = 46)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75BBB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SCA3 patients with disease duration ≥ 7 years (n = 46)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6E87B" w14:textId="77777777" w:rsidR="00A73E84" w:rsidRPr="00672EB3" w:rsidRDefault="00A73E84" w:rsidP="00A73E84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Standardized effect size |t|</w:t>
            </w:r>
          </w:p>
        </w:tc>
      </w:tr>
      <w:tr w:rsidR="00A73E84" w:rsidRPr="00672EB3" w14:paraId="15B30C7B" w14:textId="77777777" w:rsidTr="00A73E84">
        <w:trPr>
          <w:trHeight w:val="501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7585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Total ICARS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446F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10.70 ± 12.094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3D5A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28.92 ± 17.285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763E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1.055</w:t>
            </w:r>
          </w:p>
        </w:tc>
      </w:tr>
      <w:tr w:rsidR="00A73E84" w:rsidRPr="00672EB3" w14:paraId="4FF4B979" w14:textId="77777777" w:rsidTr="00A73E84">
        <w:trPr>
          <w:trHeight w:val="501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8A00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Right cerebellar lobule IV volume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E822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2.14 ± 0.391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3ACB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1.98 ± 0.348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3A71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0.447</w:t>
            </w:r>
          </w:p>
        </w:tc>
      </w:tr>
      <w:tr w:rsidR="00A73E84" w:rsidRPr="00672EB3" w14:paraId="2ADFE3B4" w14:textId="77777777" w:rsidTr="00A73E84">
        <w:trPr>
          <w:trHeight w:val="501"/>
        </w:trPr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C282D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MUCCA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E42A8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69.25 ± 9.240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FE7B3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60.06 ± 6.102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86824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1.506</w:t>
            </w:r>
          </w:p>
        </w:tc>
      </w:tr>
      <w:tr w:rsidR="00A73E84" w:rsidRPr="00672EB3" w14:paraId="2FE411C6" w14:textId="77777777" w:rsidTr="00A73E84">
        <w:trPr>
          <w:gridAfter w:val="1"/>
          <w:wAfter w:w="57" w:type="dxa"/>
          <w:trHeight w:val="1032"/>
        </w:trPr>
        <w:tc>
          <w:tcPr>
            <w:tcW w:w="1014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F33D3" w14:textId="77777777" w:rsidR="00A73E84" w:rsidRPr="00672EB3" w:rsidRDefault="00A73E84" w:rsidP="00A73E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Note: numbers are presented as mean (SD).</w:t>
            </w:r>
            <w:r w:rsidRPr="00672EB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br/>
              <w:t>Abbreviations: ICARS = International Cooperative Ataxia Rating Scale; MUCCA = mean upper cervical cord area; SCA3 = spinocerebellar ataxias type 3</w:t>
            </w:r>
          </w:p>
        </w:tc>
      </w:tr>
    </w:tbl>
    <w:p w14:paraId="0223C940" w14:textId="77777777" w:rsidR="00A73E84" w:rsidRPr="00672EB3" w:rsidRDefault="00A73E84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187C026" w14:textId="77777777" w:rsidR="000A761E" w:rsidRPr="00672EB3" w:rsidRDefault="000A761E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3765831" w14:textId="2EA6F5A7" w:rsidR="003F2C15" w:rsidRPr="00672EB3" w:rsidRDefault="00852439" w:rsidP="00A6755D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="003F2C15" w:rsidRPr="00672EB3">
        <w:rPr>
          <w:rFonts w:ascii="Times New Roman" w:hAnsi="Times New Roman" w:cs="Times New Roman"/>
          <w:b/>
          <w:bCs/>
          <w:sz w:val="22"/>
          <w:szCs w:val="22"/>
        </w:rPr>
        <w:t xml:space="preserve">igure </w:t>
      </w:r>
      <w:r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="003F2C15" w:rsidRPr="00672EB3">
        <w:rPr>
          <w:rFonts w:ascii="Times New Roman" w:hAnsi="Times New Roman" w:cs="Times New Roman"/>
          <w:b/>
          <w:bCs/>
          <w:sz w:val="22"/>
          <w:szCs w:val="22"/>
        </w:rPr>
        <w:t xml:space="preserve">1 Voxel-based correlation analysis between </w:t>
      </w:r>
      <w:r w:rsidR="003F2C15" w:rsidRPr="00672EB3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val="en-CA" w:eastAsia="en-US"/>
        </w:rPr>
        <w:t>expanded</w:t>
      </w:r>
      <w:r w:rsidR="003F2C15" w:rsidRPr="00672EB3">
        <w:rPr>
          <w:rFonts w:ascii="Times New Roman" w:hAnsi="Times New Roman" w:cs="Times New Roman"/>
          <w:b/>
          <w:bCs/>
          <w:sz w:val="22"/>
          <w:szCs w:val="22"/>
        </w:rPr>
        <w:t xml:space="preserve"> CAG repeat size and brain volume(s) in spinocerebellar ataxias type 3 (SCA3). </w:t>
      </w:r>
      <w:r w:rsidR="004F2969" w:rsidRPr="00672EB3">
        <w:rPr>
          <w:rFonts w:ascii="Times New Roman" w:hAnsi="Times New Roman" w:cs="Times New Roman"/>
          <w:sz w:val="22"/>
          <w:szCs w:val="22"/>
        </w:rPr>
        <w:t>Voxel-based morphometry analysis showed</w:t>
      </w:r>
      <w:r w:rsidR="004F2969" w:rsidRPr="00672EB3">
        <w:rPr>
          <w:rFonts w:ascii="Times New Roman" w:eastAsia="Calibri" w:hAnsi="Times New Roman" w:cs="Times New Roman"/>
          <w:kern w:val="0"/>
          <w:sz w:val="22"/>
          <w:szCs w:val="22"/>
          <w:lang w:val="en-CA" w:eastAsia="en-US"/>
        </w:rPr>
        <w:t xml:space="preserve"> that e</w:t>
      </w:r>
      <w:r w:rsidR="003F2C15" w:rsidRPr="00672EB3">
        <w:rPr>
          <w:rFonts w:ascii="Times New Roman" w:eastAsia="Calibri" w:hAnsi="Times New Roman" w:cs="Times New Roman"/>
          <w:kern w:val="0"/>
          <w:sz w:val="22"/>
          <w:szCs w:val="22"/>
          <w:lang w:val="en-CA" w:eastAsia="en-US"/>
        </w:rPr>
        <w:t>xpanded</w:t>
      </w:r>
      <w:r w:rsidR="003F2C15" w:rsidRPr="00672EB3">
        <w:rPr>
          <w:rFonts w:ascii="Times New Roman" w:eastAsia="宋体" w:hAnsi="Times New Roman" w:cs="Times New Roman"/>
          <w:kern w:val="0"/>
          <w:sz w:val="22"/>
          <w:szCs w:val="22"/>
          <w:lang w:val="en-CA"/>
        </w:rPr>
        <w:t xml:space="preserve"> </w:t>
      </w:r>
      <w:r w:rsidR="003F2C15" w:rsidRPr="00672EB3">
        <w:rPr>
          <w:rFonts w:ascii="Times New Roman" w:eastAsia="Calibri" w:hAnsi="Times New Roman" w:cs="Times New Roman"/>
          <w:kern w:val="0"/>
          <w:sz w:val="22"/>
          <w:szCs w:val="22"/>
          <w:lang w:val="en-CA" w:eastAsia="en-US"/>
        </w:rPr>
        <w:t xml:space="preserve">CAG repeat size was negatively associated with volume loss in the </w:t>
      </w:r>
      <w:r w:rsidR="003F2C15" w:rsidRPr="00672EB3">
        <w:rPr>
          <w:rFonts w:ascii="Times New Roman" w:hAnsi="Times New Roman" w:cs="Times New Roman"/>
          <w:sz w:val="22"/>
          <w:szCs w:val="22"/>
        </w:rPr>
        <w:t xml:space="preserve">right cerebellar lobule IV_V and right cerebellar lobule VI </w:t>
      </w:r>
      <w:bookmarkStart w:id="1" w:name="OLE_LINK10"/>
      <w:r w:rsidR="004F2969" w:rsidRPr="00672EB3">
        <w:rPr>
          <w:rFonts w:ascii="Times New Roman" w:hAnsi="Times New Roman" w:cs="Times New Roman"/>
          <w:sz w:val="22"/>
          <w:szCs w:val="22"/>
        </w:rPr>
        <w:t xml:space="preserve">using </w:t>
      </w:r>
      <w:bookmarkEnd w:id="1"/>
      <w:r w:rsidR="004F2969" w:rsidRPr="00672EB3">
        <w:rPr>
          <w:rFonts w:ascii="Times New Roman" w:hAnsi="Times New Roman" w:cs="Times New Roman"/>
          <w:sz w:val="22"/>
          <w:szCs w:val="22"/>
        </w:rPr>
        <w:t>multivariable-adjusted models</w:t>
      </w:r>
      <w:r w:rsidR="004F2969" w:rsidRPr="00672EB3">
        <w:rPr>
          <w:rFonts w:ascii="Times New Roman" w:eastAsia="宋体" w:hAnsi="Times New Roman" w:cs="Times New Roman"/>
          <w:kern w:val="0"/>
          <w:sz w:val="22"/>
          <w:szCs w:val="22"/>
          <w:lang w:val="en-CA"/>
        </w:rPr>
        <w:t>, controlling for potential effects of age, sex, and TIV</w:t>
      </w:r>
      <w:r w:rsidR="003F2C15" w:rsidRPr="00672EB3">
        <w:rPr>
          <w:rFonts w:ascii="Times New Roman" w:hAnsi="Times New Roman" w:cs="Times New Roman"/>
          <w:sz w:val="22"/>
          <w:szCs w:val="22"/>
        </w:rPr>
        <w:t>.</w:t>
      </w:r>
      <w:r w:rsidR="004F2969" w:rsidRPr="00672EB3">
        <w:rPr>
          <w:rFonts w:ascii="Times New Roman" w:hAnsi="Times New Roman" w:cs="Times New Roman"/>
          <w:sz w:val="22"/>
          <w:szCs w:val="22"/>
        </w:rPr>
        <w:t xml:space="preserve"> The results were displayed using the xjView toolbox. Color bar represents </w:t>
      </w:r>
      <w:r w:rsidR="004F2969" w:rsidRPr="00672EB3">
        <w:rPr>
          <w:rFonts w:ascii="Times New Roman" w:hAnsi="Times New Roman" w:cs="Times New Roman"/>
          <w:i/>
          <w:iCs/>
          <w:sz w:val="22"/>
          <w:szCs w:val="22"/>
        </w:rPr>
        <w:t>t</w:t>
      </w:r>
      <w:r w:rsidR="004F2969" w:rsidRPr="00672EB3">
        <w:rPr>
          <w:rFonts w:ascii="Times New Roman" w:hAnsi="Times New Roman" w:cs="Times New Roman"/>
          <w:sz w:val="22"/>
          <w:szCs w:val="22"/>
        </w:rPr>
        <w:t xml:space="preserve"> values. Statistical tests were evaluated at a significance level of </w:t>
      </w:r>
      <w:r w:rsidR="004F2969" w:rsidRPr="00672EB3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4F2969" w:rsidRPr="00672EB3">
        <w:rPr>
          <w:rFonts w:ascii="Times New Roman" w:hAnsi="Times New Roman" w:cs="Times New Roman"/>
          <w:sz w:val="22"/>
          <w:szCs w:val="22"/>
        </w:rPr>
        <w:t xml:space="preserve"> &lt; 0.05, the family-wise error corrected at the cluster level.</w:t>
      </w:r>
    </w:p>
    <w:p w14:paraId="5A0985D8" w14:textId="2F79DB46" w:rsidR="00F7648F" w:rsidRPr="00672EB3" w:rsidRDefault="00A73E84" w:rsidP="00A6755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672EB3">
        <w:rPr>
          <w:noProof/>
          <w:sz w:val="22"/>
          <w:szCs w:val="22"/>
        </w:rPr>
        <w:lastRenderedPageBreak/>
        <w:drawing>
          <wp:inline distT="0" distB="0" distL="0" distR="0" wp14:anchorId="747C6344" wp14:editId="7F023730">
            <wp:extent cx="6120765" cy="3303905"/>
            <wp:effectExtent l="0" t="0" r="0" b="0"/>
            <wp:docPr id="8776108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30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DDB87" w14:textId="6C5755DC" w:rsidR="00672EB3" w:rsidRPr="00CF6BFD" w:rsidRDefault="00672EB3" w:rsidP="00A6755D">
      <w:pPr>
        <w:spacing w:line="480" w:lineRule="auto"/>
        <w:rPr>
          <w:rFonts w:ascii="Times New Roman" w:hAnsi="Times New Roman" w:cs="Times New Roman"/>
          <w:sz w:val="22"/>
          <w:szCs w:val="22"/>
          <w:lang w:val="en-CA"/>
        </w:rPr>
      </w:pPr>
    </w:p>
    <w:sectPr w:rsidR="00672EB3" w:rsidRPr="00CF6BFD">
      <w:footerReference w:type="default" r:id="rId9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65ED18" w14:textId="77777777" w:rsidR="00474903" w:rsidRDefault="00474903" w:rsidP="00942A00">
      <w:r>
        <w:separator/>
      </w:r>
    </w:p>
  </w:endnote>
  <w:endnote w:type="continuationSeparator" w:id="0">
    <w:p w14:paraId="2BDA9A3E" w14:textId="77777777" w:rsidR="00474903" w:rsidRDefault="00474903" w:rsidP="00942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89075889"/>
      <w:docPartObj>
        <w:docPartGallery w:val="Page Numbers (Bottom of Page)"/>
        <w:docPartUnique/>
      </w:docPartObj>
    </w:sdtPr>
    <w:sdtContent>
      <w:p w14:paraId="6B9A0055" w14:textId="77777777" w:rsidR="001745C2" w:rsidRDefault="001745C2">
        <w:pPr>
          <w:pStyle w:val="a5"/>
          <w:jc w:val="center"/>
        </w:pPr>
      </w:p>
      <w:p w14:paraId="67DEF133" w14:textId="22C160EE" w:rsidR="001745C2" w:rsidRDefault="001745C2" w:rsidP="001745C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207C91" w14:textId="77777777" w:rsidR="00474903" w:rsidRDefault="00474903" w:rsidP="00942A00">
      <w:r>
        <w:separator/>
      </w:r>
    </w:p>
  </w:footnote>
  <w:footnote w:type="continuationSeparator" w:id="0">
    <w:p w14:paraId="271B0324" w14:textId="77777777" w:rsidR="00474903" w:rsidRDefault="00474903" w:rsidP="00942A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DE375E"/>
    <w:multiLevelType w:val="multilevel"/>
    <w:tmpl w:val="B1464B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7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20" w:hanging="1440"/>
      </w:pPr>
      <w:rPr>
        <w:rFonts w:hint="default"/>
      </w:rPr>
    </w:lvl>
  </w:abstractNum>
  <w:num w:numId="1" w16cid:durableId="972557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UwNzUzMDE3ZGU0N2Y2NGU2YTE2N2UwYzA1YWExZjkifQ=="/>
  </w:docVars>
  <w:rsids>
    <w:rsidRoot w:val="00F7648F"/>
    <w:rsid w:val="000649FE"/>
    <w:rsid w:val="000677D0"/>
    <w:rsid w:val="0008648A"/>
    <w:rsid w:val="00094EA2"/>
    <w:rsid w:val="000A761E"/>
    <w:rsid w:val="000E4936"/>
    <w:rsid w:val="001133AA"/>
    <w:rsid w:val="001745C2"/>
    <w:rsid w:val="0018095A"/>
    <w:rsid w:val="002D064F"/>
    <w:rsid w:val="002D4454"/>
    <w:rsid w:val="003F2C15"/>
    <w:rsid w:val="00432927"/>
    <w:rsid w:val="00474903"/>
    <w:rsid w:val="004F2969"/>
    <w:rsid w:val="00560B72"/>
    <w:rsid w:val="00672EB3"/>
    <w:rsid w:val="007D250E"/>
    <w:rsid w:val="0080637C"/>
    <w:rsid w:val="00852439"/>
    <w:rsid w:val="00854E7A"/>
    <w:rsid w:val="008F6393"/>
    <w:rsid w:val="00942A00"/>
    <w:rsid w:val="00953B1D"/>
    <w:rsid w:val="00A6755D"/>
    <w:rsid w:val="00A73E84"/>
    <w:rsid w:val="00AB6F85"/>
    <w:rsid w:val="00AC5A76"/>
    <w:rsid w:val="00AE1015"/>
    <w:rsid w:val="00C04789"/>
    <w:rsid w:val="00C13818"/>
    <w:rsid w:val="00CD2C2D"/>
    <w:rsid w:val="00CE39DE"/>
    <w:rsid w:val="00CF6BFD"/>
    <w:rsid w:val="00D4253C"/>
    <w:rsid w:val="00E93792"/>
    <w:rsid w:val="00EB7220"/>
    <w:rsid w:val="00F33AE3"/>
    <w:rsid w:val="00F41C30"/>
    <w:rsid w:val="00F7648F"/>
    <w:rsid w:val="2FD35498"/>
    <w:rsid w:val="3D1C02A4"/>
    <w:rsid w:val="512D7952"/>
    <w:rsid w:val="57EF1DE5"/>
    <w:rsid w:val="66AC1182"/>
    <w:rsid w:val="77681024"/>
    <w:rsid w:val="7A5D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5976B8"/>
  <w15:docId w15:val="{C64E9384-CA1E-493C-8B0A-4D7224A4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Calibri" w:hAnsi="Calibri" w:cs="Calibri" w:hint="default"/>
      <w:i/>
      <w:iCs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Calibri" w:hAnsi="Calibri" w:cs="Calibri" w:hint="default"/>
      <w:b/>
      <w:bCs/>
      <w:i/>
      <w:iCs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Calibri" w:hAnsi="Calibri" w:cs="Calibri" w:hint="default"/>
      <w:b/>
      <w:bCs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Calibri" w:hAnsi="Calibri" w:cs="Calibri" w:hint="default"/>
      <w:color w:val="000000"/>
      <w:sz w:val="22"/>
      <w:szCs w:val="22"/>
      <w:u w:val="none"/>
      <w:vertAlign w:val="superscript"/>
    </w:rPr>
  </w:style>
  <w:style w:type="character" w:customStyle="1" w:styleId="font71">
    <w:name w:val="font71"/>
    <w:basedOn w:val="a0"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Calibri" w:hAnsi="Calibri" w:cs="Calibri" w:hint="default"/>
      <w:color w:val="000000"/>
      <w:sz w:val="20"/>
      <w:szCs w:val="20"/>
      <w:u w:val="none"/>
      <w:vertAlign w:val="superscript"/>
    </w:rPr>
  </w:style>
  <w:style w:type="character" w:customStyle="1" w:styleId="font41">
    <w:name w:val="font41"/>
    <w:basedOn w:val="a0"/>
    <w:qFormat/>
    <w:rPr>
      <w:rFonts w:ascii="Calibri" w:hAnsi="Calibri" w:cs="Calibri" w:hint="default"/>
      <w:b/>
      <w:bCs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Calibri" w:hAnsi="Calibri" w:cs="Calibri" w:hint="default"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942A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42A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942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2A0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942A00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1745C2"/>
    <w:pPr>
      <w:ind w:firstLineChars="200" w:firstLine="420"/>
    </w:pPr>
  </w:style>
  <w:style w:type="character" w:styleId="a9">
    <w:name w:val="Unresolved Mention"/>
    <w:basedOn w:val="a0"/>
    <w:uiPriority w:val="99"/>
    <w:semiHidden/>
    <w:unhideWhenUsed/>
    <w:rsid w:val="00F33A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83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341AE-E914-4F7A-8906-918450D7F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758</Words>
  <Characters>4322</Characters>
  <Application>Microsoft Office Word</Application>
  <DocSecurity>0</DocSecurity>
  <Lines>36</Lines>
  <Paragraphs>10</Paragraphs>
  <ScaleCrop>false</ScaleCrop>
  <Company/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HUAWEI</cp:lastModifiedBy>
  <cp:revision>16</cp:revision>
  <dcterms:created xsi:type="dcterms:W3CDTF">2023-06-29T01:54:00Z</dcterms:created>
  <dcterms:modified xsi:type="dcterms:W3CDTF">2024-06-17T10:16:00Z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39DE9DE5D398480AA94E3191943E2D20_12</vt:lpwstr>
  </property>
</Properties>
</file>