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2C60000" w14:textId="6F92E5FB" w:rsidR="001D6603" w:rsidRPr="00873FF9" w:rsidRDefault="001D6603" w:rsidP="001D6603">
      <w:pPr>
        <w:spacing w:after="0" w:line="480" w:lineRule="auto"/>
        <w:jc w:val="left"/>
        <w:rPr>
          <w:rFonts w:ascii="Arial" w:hAnsi="Arial" w:cs="Arial"/>
          <w:sz w:val="28"/>
          <w:szCs w:val="32"/>
        </w:rPr>
      </w:pPr>
      <w:bookmarkStart w:id="0" w:name="_Hlk166858350"/>
      <w:r>
        <w:rPr>
          <w:rFonts w:ascii="Arial" w:hAnsi="Arial" w:cs="Arial" w:hint="eastAsia"/>
          <w:sz w:val="28"/>
          <w:szCs w:val="32"/>
        </w:rPr>
        <w:t xml:space="preserve">Expanding </w:t>
      </w:r>
      <w:r w:rsidRPr="00873FF9">
        <w:rPr>
          <w:rFonts w:ascii="Arial" w:hAnsi="Arial" w:cs="Arial" w:hint="eastAsia"/>
          <w:sz w:val="28"/>
          <w:szCs w:val="32"/>
        </w:rPr>
        <w:t>housekeeping gene</w:t>
      </w:r>
      <w:r>
        <w:rPr>
          <w:rFonts w:ascii="Arial" w:hAnsi="Arial" w:cs="Arial" w:hint="eastAsia"/>
          <w:sz w:val="28"/>
          <w:szCs w:val="32"/>
        </w:rPr>
        <w:t xml:space="preserve"> concepts: The role of retroelements in gene</w:t>
      </w:r>
      <w:r w:rsidRPr="00873FF9">
        <w:rPr>
          <w:rFonts w:ascii="Arial" w:hAnsi="Arial" w:cs="Arial" w:hint="eastAsia"/>
          <w:sz w:val="28"/>
          <w:szCs w:val="32"/>
        </w:rPr>
        <w:t xml:space="preserve"> expression</w:t>
      </w:r>
      <w:r>
        <w:rPr>
          <w:rFonts w:ascii="Arial" w:hAnsi="Arial" w:cs="Arial" w:hint="eastAsia"/>
          <w:sz w:val="28"/>
          <w:szCs w:val="32"/>
        </w:rPr>
        <w:t xml:space="preserve"> stability </w:t>
      </w:r>
      <w:r w:rsidR="00B168A6">
        <w:rPr>
          <w:rFonts w:ascii="Arial" w:hAnsi="Arial" w:cs="Arial" w:hint="eastAsia"/>
          <w:sz w:val="28"/>
          <w:szCs w:val="32"/>
        </w:rPr>
        <w:t>across tissues</w:t>
      </w:r>
    </w:p>
    <w:bookmarkEnd w:id="0"/>
    <w:p w14:paraId="74D757EE" w14:textId="77777777" w:rsidR="00AF3C33" w:rsidRPr="001D6603" w:rsidRDefault="00AF3C33" w:rsidP="008776BE">
      <w:pPr>
        <w:jc w:val="left"/>
        <w:rPr>
          <w:rFonts w:ascii="Arial" w:hAnsi="Arial" w:cs="Arial"/>
          <w:sz w:val="24"/>
          <w:szCs w:val="28"/>
        </w:rPr>
      </w:pPr>
    </w:p>
    <w:p w14:paraId="39DBB544" w14:textId="1C6496F4" w:rsidR="00555521" w:rsidRPr="00795FCD" w:rsidRDefault="001D6603" w:rsidP="008776BE">
      <w:pPr>
        <w:jc w:val="left"/>
        <w:rPr>
          <w:rFonts w:ascii="Arial" w:hAnsi="Arial" w:cs="Arial"/>
          <w:sz w:val="22"/>
        </w:rPr>
      </w:pPr>
      <w:r>
        <w:rPr>
          <w:rFonts w:ascii="Arial" w:hAnsi="Arial" w:cs="Arial" w:hint="eastAsia"/>
          <w:sz w:val="22"/>
        </w:rPr>
        <w:t xml:space="preserve">Additional </w:t>
      </w:r>
      <w:r>
        <w:rPr>
          <w:rFonts w:ascii="Arial" w:hAnsi="Arial" w:cs="Arial"/>
          <w:sz w:val="22"/>
        </w:rPr>
        <w:t>information</w:t>
      </w:r>
      <w:r>
        <w:rPr>
          <w:rFonts w:ascii="Arial" w:hAnsi="Arial" w:cs="Arial" w:hint="eastAsia"/>
          <w:sz w:val="22"/>
        </w:rPr>
        <w:t xml:space="preserve"> 2.</w:t>
      </w:r>
    </w:p>
    <w:p w14:paraId="37490B42" w14:textId="77777777" w:rsidR="00555521" w:rsidRPr="00795FCD" w:rsidRDefault="00555521" w:rsidP="008776BE">
      <w:pPr>
        <w:jc w:val="left"/>
        <w:rPr>
          <w:rFonts w:ascii="Arial" w:hAnsi="Arial" w:cs="Arial"/>
          <w:sz w:val="22"/>
        </w:rPr>
      </w:pPr>
    </w:p>
    <w:p w14:paraId="4522A2DC" w14:textId="3524C7E9" w:rsidR="00FC0DCE" w:rsidRPr="00795FCD" w:rsidRDefault="002535CD" w:rsidP="008776BE">
      <w:pPr>
        <w:widowControl/>
        <w:wordWrap/>
        <w:autoSpaceDE/>
        <w:autoSpaceDN/>
        <w:spacing w:line="480" w:lineRule="auto"/>
        <w:jc w:val="left"/>
        <w:rPr>
          <w:rFonts w:ascii="Arial" w:hAnsi="Arial" w:cs="Arial"/>
          <w:sz w:val="22"/>
        </w:rPr>
      </w:pPr>
      <w:r>
        <w:rPr>
          <w:rFonts w:ascii="Arial" w:hAnsi="Arial" w:cs="Arial"/>
          <w:noProof/>
          <w:sz w:val="22"/>
        </w:rPr>
        <w:drawing>
          <wp:inline distT="0" distB="0" distL="0" distR="0" wp14:anchorId="3EA4BCA2" wp14:editId="5F1618C6">
            <wp:extent cx="5721985" cy="3618230"/>
            <wp:effectExtent l="0" t="0" r="0" b="1270"/>
            <wp:docPr id="289566902" name="그림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21985" cy="3618230"/>
                    </a:xfrm>
                    <a:prstGeom prst="rect">
                      <a:avLst/>
                    </a:prstGeom>
                    <a:noFill/>
                    <a:ln>
                      <a:noFill/>
                    </a:ln>
                  </pic:spPr>
                </pic:pic>
              </a:graphicData>
            </a:graphic>
          </wp:inline>
        </w:drawing>
      </w:r>
    </w:p>
    <w:p w14:paraId="46FA8DFC" w14:textId="20D5D9D0" w:rsidR="00FC0DCE" w:rsidRPr="00795FCD" w:rsidRDefault="00FC0DCE" w:rsidP="008776BE">
      <w:pPr>
        <w:widowControl/>
        <w:wordWrap/>
        <w:autoSpaceDE/>
        <w:autoSpaceDN/>
        <w:spacing w:line="480" w:lineRule="auto"/>
        <w:jc w:val="left"/>
        <w:rPr>
          <w:rFonts w:ascii="Arial" w:hAnsi="Arial" w:cs="Arial"/>
          <w:sz w:val="22"/>
        </w:rPr>
      </w:pPr>
      <w:r w:rsidRPr="00795FCD">
        <w:rPr>
          <w:rFonts w:ascii="Arial" w:hAnsi="Arial" w:cs="Arial"/>
          <w:sz w:val="22"/>
        </w:rPr>
        <w:t>Fig</w:t>
      </w:r>
      <w:r w:rsidR="001D6603">
        <w:rPr>
          <w:rFonts w:ascii="Arial" w:hAnsi="Arial" w:cs="Arial" w:hint="eastAsia"/>
          <w:sz w:val="22"/>
        </w:rPr>
        <w:t>ure S</w:t>
      </w:r>
      <w:r w:rsidRPr="00795FCD">
        <w:rPr>
          <w:rFonts w:ascii="Arial" w:hAnsi="Arial" w:cs="Arial"/>
          <w:sz w:val="22"/>
        </w:rPr>
        <w:t xml:space="preserve">1. Comparison of genes classified based on the closest retroelements to the TSSs. Genes are distinguished by the type of retroelement (Alu, L1, LTR) located proximal to their TSSs in upstream and downstream regions, </w:t>
      </w:r>
      <w:r w:rsidR="006674DB" w:rsidRPr="00795FCD">
        <w:rPr>
          <w:rFonts w:ascii="Arial" w:hAnsi="Arial" w:cs="Arial"/>
          <w:sz w:val="22"/>
        </w:rPr>
        <w:t>analy</w:t>
      </w:r>
      <w:r w:rsidR="006674DB">
        <w:rPr>
          <w:rFonts w:ascii="Arial" w:hAnsi="Arial" w:cs="Arial" w:hint="eastAsia"/>
          <w:sz w:val="22"/>
        </w:rPr>
        <w:t>s</w:t>
      </w:r>
      <w:r w:rsidR="006674DB" w:rsidRPr="00795FCD">
        <w:rPr>
          <w:rFonts w:ascii="Arial" w:hAnsi="Arial" w:cs="Arial"/>
          <w:sz w:val="22"/>
        </w:rPr>
        <w:t xml:space="preserve">ed </w:t>
      </w:r>
      <w:r w:rsidRPr="00795FCD">
        <w:rPr>
          <w:rFonts w:ascii="Arial" w:hAnsi="Arial" w:cs="Arial"/>
          <w:sz w:val="22"/>
        </w:rPr>
        <w:t>separately for CpG-island genes and non-CpG island genes. The number of genes in each category (A) and the proportion of genes in each category (B) are shown.</w:t>
      </w:r>
      <w:r w:rsidR="0066573E" w:rsidRPr="00795FCD">
        <w:rPr>
          <w:rFonts w:ascii="Arial" w:hAnsi="Arial" w:cs="Arial"/>
          <w:sz w:val="22"/>
        </w:rPr>
        <w:t xml:space="preserve"> </w:t>
      </w:r>
    </w:p>
    <w:p w14:paraId="448B9849" w14:textId="7E7703C8" w:rsidR="00FC0DCE" w:rsidRPr="00795FCD" w:rsidRDefault="00FC0DCE" w:rsidP="008776BE">
      <w:pPr>
        <w:widowControl/>
        <w:wordWrap/>
        <w:autoSpaceDE/>
        <w:autoSpaceDN/>
        <w:jc w:val="left"/>
        <w:rPr>
          <w:rFonts w:ascii="Arial" w:hAnsi="Arial" w:cs="Arial"/>
          <w:sz w:val="22"/>
        </w:rPr>
      </w:pPr>
      <w:r w:rsidRPr="00795FCD">
        <w:rPr>
          <w:rFonts w:ascii="Arial" w:hAnsi="Arial" w:cs="Arial"/>
          <w:sz w:val="22"/>
        </w:rPr>
        <w:br w:type="page"/>
      </w:r>
    </w:p>
    <w:p w14:paraId="36D909B7" w14:textId="75EB3A3D" w:rsidR="00555521" w:rsidRPr="00795FCD" w:rsidRDefault="00C643BF" w:rsidP="008776BE">
      <w:pPr>
        <w:wordWrap/>
        <w:spacing w:after="0" w:line="480" w:lineRule="auto"/>
        <w:jc w:val="left"/>
        <w:rPr>
          <w:rFonts w:ascii="Arial" w:hAnsi="Arial" w:cs="Arial"/>
          <w:sz w:val="22"/>
        </w:rPr>
      </w:pPr>
      <w:r>
        <w:rPr>
          <w:rFonts w:ascii="Arial" w:hAnsi="Arial" w:cs="Arial"/>
          <w:noProof/>
          <w:sz w:val="22"/>
        </w:rPr>
        <w:lastRenderedPageBreak/>
        <w:drawing>
          <wp:inline distT="0" distB="0" distL="0" distR="0" wp14:anchorId="2677E0F4" wp14:editId="5C262E7E">
            <wp:extent cx="5721985" cy="3012440"/>
            <wp:effectExtent l="0" t="0" r="0" b="0"/>
            <wp:docPr id="847203562" name="그림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21985" cy="3012440"/>
                    </a:xfrm>
                    <a:prstGeom prst="rect">
                      <a:avLst/>
                    </a:prstGeom>
                    <a:noFill/>
                    <a:ln>
                      <a:noFill/>
                    </a:ln>
                  </pic:spPr>
                </pic:pic>
              </a:graphicData>
            </a:graphic>
          </wp:inline>
        </w:drawing>
      </w:r>
    </w:p>
    <w:p w14:paraId="75906171" w14:textId="4711C38C" w:rsidR="00FC0DCE" w:rsidRPr="00795FCD" w:rsidRDefault="001D6603" w:rsidP="008776BE">
      <w:pPr>
        <w:wordWrap/>
        <w:spacing w:after="0" w:line="480" w:lineRule="auto"/>
        <w:jc w:val="left"/>
        <w:rPr>
          <w:rFonts w:ascii="Arial" w:hAnsi="Arial" w:cs="Arial"/>
          <w:sz w:val="22"/>
        </w:rPr>
      </w:pPr>
      <w:r w:rsidRPr="00795FCD">
        <w:rPr>
          <w:rFonts w:ascii="Arial" w:hAnsi="Arial" w:cs="Arial"/>
          <w:sz w:val="22"/>
        </w:rPr>
        <w:t>Fig</w:t>
      </w:r>
      <w:r>
        <w:rPr>
          <w:rFonts w:ascii="Arial" w:hAnsi="Arial" w:cs="Arial" w:hint="eastAsia"/>
          <w:sz w:val="22"/>
        </w:rPr>
        <w:t>ure S</w:t>
      </w:r>
      <w:r w:rsidR="00FC0DCE" w:rsidRPr="00795FCD">
        <w:rPr>
          <w:rFonts w:ascii="Arial" w:hAnsi="Arial" w:cs="Arial"/>
          <w:sz w:val="22"/>
        </w:rPr>
        <w:t>2. Comparison of TSI and CV values among genes adjacent to Alu, L1 and LTR elements in upstream and downstream regions. Analysis is performed separately for CpG-island genes and non-CpG island genes. The Kruskal-Wallis test was used to identify significant differences in TSI and CV values among gene groups. Post-hoc analysis results are indicated by numbers to distinguish subgroups within the same gene category.</w:t>
      </w:r>
    </w:p>
    <w:p w14:paraId="75CC734A" w14:textId="7E05E6D9" w:rsidR="00FC0DCE" w:rsidRPr="00795FCD" w:rsidRDefault="00FC0DCE" w:rsidP="008776BE">
      <w:pPr>
        <w:widowControl/>
        <w:wordWrap/>
        <w:autoSpaceDE/>
        <w:autoSpaceDN/>
        <w:jc w:val="left"/>
        <w:rPr>
          <w:rFonts w:ascii="Arial" w:hAnsi="Arial" w:cs="Arial"/>
          <w:sz w:val="22"/>
        </w:rPr>
      </w:pPr>
      <w:r w:rsidRPr="00795FCD">
        <w:rPr>
          <w:rFonts w:ascii="Arial" w:hAnsi="Arial" w:cs="Arial"/>
          <w:sz w:val="22"/>
        </w:rPr>
        <w:br w:type="page"/>
      </w:r>
    </w:p>
    <w:p w14:paraId="2C11DDBF" w14:textId="435B7CCE" w:rsidR="00FC0DCE" w:rsidRPr="00795FCD" w:rsidRDefault="009A60F9" w:rsidP="008776BE">
      <w:pPr>
        <w:wordWrap/>
        <w:spacing w:line="480" w:lineRule="auto"/>
        <w:jc w:val="left"/>
        <w:rPr>
          <w:rFonts w:ascii="Arial" w:hAnsi="Arial" w:cs="Arial"/>
          <w:sz w:val="22"/>
        </w:rPr>
      </w:pPr>
      <w:bookmarkStart w:id="1" w:name="OLE_LINK4"/>
      <w:r>
        <w:rPr>
          <w:rFonts w:ascii="Arial" w:hAnsi="Arial" w:cs="Arial"/>
          <w:noProof/>
          <w:sz w:val="22"/>
        </w:rPr>
        <w:lastRenderedPageBreak/>
        <w:drawing>
          <wp:inline distT="0" distB="0" distL="0" distR="0" wp14:anchorId="40830AA6" wp14:editId="27CFC607">
            <wp:extent cx="5727700" cy="5093970"/>
            <wp:effectExtent l="0" t="0" r="6350" b="0"/>
            <wp:docPr id="1579082436" name="그림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27700" cy="5093970"/>
                    </a:xfrm>
                    <a:prstGeom prst="rect">
                      <a:avLst/>
                    </a:prstGeom>
                    <a:noFill/>
                    <a:ln>
                      <a:noFill/>
                    </a:ln>
                  </pic:spPr>
                </pic:pic>
              </a:graphicData>
            </a:graphic>
          </wp:inline>
        </w:drawing>
      </w:r>
    </w:p>
    <w:p w14:paraId="437618CE" w14:textId="0E0F6321" w:rsidR="00AE0D0C" w:rsidRPr="00795FCD" w:rsidRDefault="001D6603" w:rsidP="008776BE">
      <w:pPr>
        <w:wordWrap/>
        <w:spacing w:line="480" w:lineRule="auto"/>
        <w:jc w:val="left"/>
        <w:rPr>
          <w:rFonts w:ascii="Arial" w:hAnsi="Arial" w:cs="Arial"/>
          <w:sz w:val="22"/>
        </w:rPr>
      </w:pPr>
      <w:bookmarkStart w:id="2" w:name="OLE_LINK3"/>
      <w:r w:rsidRPr="00795FCD">
        <w:rPr>
          <w:rFonts w:ascii="Arial" w:hAnsi="Arial" w:cs="Arial"/>
          <w:sz w:val="22"/>
        </w:rPr>
        <w:t>Fig</w:t>
      </w:r>
      <w:r>
        <w:rPr>
          <w:rFonts w:ascii="Arial" w:hAnsi="Arial" w:cs="Arial" w:hint="eastAsia"/>
          <w:sz w:val="22"/>
        </w:rPr>
        <w:t>ure S</w:t>
      </w:r>
      <w:r w:rsidR="00FC0DCE" w:rsidRPr="00795FCD">
        <w:rPr>
          <w:rFonts w:ascii="Arial" w:hAnsi="Arial" w:cs="Arial"/>
          <w:sz w:val="22"/>
        </w:rPr>
        <w:t>3. Comparison of CV values among genes adjacent to Alu, L1, and LTR elements across 1</w:t>
      </w:r>
      <w:r w:rsidR="0075731E">
        <w:rPr>
          <w:rFonts w:ascii="Arial" w:hAnsi="Arial" w:cs="Arial" w:hint="eastAsia"/>
          <w:sz w:val="22"/>
        </w:rPr>
        <w:t>-</w:t>
      </w:r>
      <w:r w:rsidR="00FC0DCE" w:rsidRPr="00795FCD">
        <w:rPr>
          <w:rFonts w:ascii="Arial" w:hAnsi="Arial" w:cs="Arial"/>
          <w:sz w:val="22"/>
        </w:rPr>
        <w:t>kb intervals within 10</w:t>
      </w:r>
      <w:r w:rsidR="0075731E">
        <w:rPr>
          <w:rFonts w:ascii="Arial" w:hAnsi="Arial" w:cs="Arial" w:hint="eastAsia"/>
          <w:sz w:val="22"/>
        </w:rPr>
        <w:t xml:space="preserve"> </w:t>
      </w:r>
      <w:r w:rsidR="00FC0DCE" w:rsidRPr="00795FCD">
        <w:rPr>
          <w:rFonts w:ascii="Arial" w:hAnsi="Arial" w:cs="Arial"/>
          <w:sz w:val="22"/>
        </w:rPr>
        <w:t>k</w:t>
      </w:r>
      <w:r w:rsidR="0075731E">
        <w:rPr>
          <w:rFonts w:ascii="Arial" w:hAnsi="Arial" w:cs="Arial" w:hint="eastAsia"/>
          <w:sz w:val="22"/>
        </w:rPr>
        <w:t>b</w:t>
      </w:r>
      <w:r w:rsidR="00FC0DCE" w:rsidRPr="00795FCD">
        <w:rPr>
          <w:rFonts w:ascii="Arial" w:hAnsi="Arial" w:cs="Arial"/>
          <w:sz w:val="22"/>
        </w:rPr>
        <w:t xml:space="preserve"> upstream (A) and downstream (B) regions. Each dot represents the median CV value for each gene group</w:t>
      </w:r>
      <w:r w:rsidR="00882861" w:rsidRPr="00795FCD">
        <w:rPr>
          <w:rFonts w:ascii="Arial" w:hAnsi="Arial" w:cs="Arial"/>
          <w:sz w:val="22"/>
        </w:rPr>
        <w:t xml:space="preserve"> in CpG-island (closed dots) and non-CpG island genes (open dots)</w:t>
      </w:r>
      <w:r w:rsidR="00FC0DCE" w:rsidRPr="00795FCD">
        <w:rPr>
          <w:rFonts w:ascii="Arial" w:hAnsi="Arial" w:cs="Arial"/>
          <w:sz w:val="22"/>
        </w:rPr>
        <w:t>, with the upper and lower bars indicating the quartile values. The Kruskal-Wallis test was used to identify significant differences in CV values among gene groups. Post-hoc analysis results are denoted by numbers to distinguish</w:t>
      </w:r>
      <w:bookmarkEnd w:id="1"/>
      <w:r w:rsidR="00FC0DCE" w:rsidRPr="00795FCD">
        <w:rPr>
          <w:rFonts w:ascii="Arial" w:hAnsi="Arial" w:cs="Arial"/>
          <w:sz w:val="22"/>
        </w:rPr>
        <w:t xml:space="preserve"> </w:t>
      </w:r>
      <w:bookmarkEnd w:id="2"/>
      <w:r w:rsidR="00882861" w:rsidRPr="00795FCD">
        <w:rPr>
          <w:rFonts w:ascii="Arial" w:hAnsi="Arial" w:cs="Arial"/>
          <w:sz w:val="22"/>
        </w:rPr>
        <w:t>significant differences</w:t>
      </w:r>
      <w:r w:rsidR="00FC0DCE" w:rsidRPr="00795FCD">
        <w:rPr>
          <w:rFonts w:ascii="Arial" w:hAnsi="Arial" w:cs="Arial"/>
          <w:sz w:val="22"/>
        </w:rPr>
        <w:t>.</w:t>
      </w:r>
      <w:r w:rsidR="00423D61" w:rsidRPr="00795FCD">
        <w:rPr>
          <w:rFonts w:ascii="Arial" w:hAnsi="Arial" w:cs="Arial"/>
          <w:sz w:val="22"/>
        </w:rPr>
        <w:t xml:space="preserve"> </w:t>
      </w:r>
    </w:p>
    <w:p w14:paraId="0CB436E3" w14:textId="77777777" w:rsidR="00AE0D0C" w:rsidRPr="00795FCD" w:rsidRDefault="00AE0D0C" w:rsidP="008776BE">
      <w:pPr>
        <w:widowControl/>
        <w:wordWrap/>
        <w:autoSpaceDE/>
        <w:autoSpaceDN/>
        <w:jc w:val="left"/>
        <w:rPr>
          <w:rFonts w:ascii="Arial" w:hAnsi="Arial" w:cs="Arial"/>
          <w:sz w:val="22"/>
        </w:rPr>
      </w:pPr>
      <w:r w:rsidRPr="00795FCD">
        <w:rPr>
          <w:rFonts w:ascii="Arial" w:hAnsi="Arial" w:cs="Arial"/>
          <w:sz w:val="22"/>
        </w:rPr>
        <w:br w:type="page"/>
      </w:r>
    </w:p>
    <w:p w14:paraId="3BA540A2" w14:textId="0AC6C2E8" w:rsidR="00555521" w:rsidRPr="00795FCD" w:rsidRDefault="00307307" w:rsidP="008776BE">
      <w:pPr>
        <w:wordWrap/>
        <w:spacing w:line="480" w:lineRule="auto"/>
        <w:jc w:val="center"/>
        <w:rPr>
          <w:rFonts w:ascii="Arial" w:hAnsi="Arial" w:cs="Arial"/>
          <w:sz w:val="22"/>
        </w:rPr>
      </w:pPr>
      <w:r>
        <w:rPr>
          <w:rFonts w:ascii="Arial" w:hAnsi="Arial" w:cs="Arial"/>
          <w:noProof/>
          <w:sz w:val="22"/>
        </w:rPr>
        <w:lastRenderedPageBreak/>
        <w:drawing>
          <wp:inline distT="0" distB="0" distL="0" distR="0" wp14:anchorId="3E4310D3" wp14:editId="21EE67F3">
            <wp:extent cx="3960495" cy="4498975"/>
            <wp:effectExtent l="0" t="0" r="1905" b="0"/>
            <wp:docPr id="1902649214" name="그림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960495" cy="4498975"/>
                    </a:xfrm>
                    <a:prstGeom prst="rect">
                      <a:avLst/>
                    </a:prstGeom>
                    <a:noFill/>
                    <a:ln>
                      <a:noFill/>
                    </a:ln>
                  </pic:spPr>
                </pic:pic>
              </a:graphicData>
            </a:graphic>
          </wp:inline>
        </w:drawing>
      </w:r>
    </w:p>
    <w:p w14:paraId="27606275" w14:textId="152069C5" w:rsidR="00916B71" w:rsidRPr="00795FCD" w:rsidRDefault="001D6603" w:rsidP="00916B71">
      <w:pPr>
        <w:wordWrap/>
        <w:spacing w:line="480" w:lineRule="auto"/>
        <w:jc w:val="left"/>
        <w:rPr>
          <w:rFonts w:ascii="Arial" w:hAnsi="Arial" w:cs="Arial"/>
          <w:sz w:val="22"/>
        </w:rPr>
      </w:pPr>
      <w:r w:rsidRPr="00795FCD">
        <w:rPr>
          <w:rFonts w:ascii="Arial" w:hAnsi="Arial" w:cs="Arial"/>
          <w:sz w:val="22"/>
        </w:rPr>
        <w:t>Fig</w:t>
      </w:r>
      <w:r>
        <w:rPr>
          <w:rFonts w:ascii="Arial" w:hAnsi="Arial" w:cs="Arial" w:hint="eastAsia"/>
          <w:sz w:val="22"/>
        </w:rPr>
        <w:t>ure S</w:t>
      </w:r>
      <w:r w:rsidR="00AE0D0C" w:rsidRPr="00795FCD">
        <w:rPr>
          <w:rFonts w:ascii="Arial" w:hAnsi="Arial" w:cs="Arial"/>
          <w:sz w:val="22"/>
        </w:rPr>
        <w:t xml:space="preserve">4. </w:t>
      </w:r>
      <w:r w:rsidR="00916B71" w:rsidRPr="00795FCD">
        <w:rPr>
          <w:rFonts w:ascii="Arial" w:hAnsi="Arial" w:cs="Arial"/>
          <w:sz w:val="22"/>
        </w:rPr>
        <w:t xml:space="preserve">Comparative analysis of CV values based on combinations of retroelements near genes in upstream and downstream regions. Genes are </w:t>
      </w:r>
      <w:r w:rsidR="006674DB" w:rsidRPr="00795FCD">
        <w:rPr>
          <w:rFonts w:ascii="Arial" w:hAnsi="Arial" w:cs="Arial"/>
          <w:sz w:val="22"/>
        </w:rPr>
        <w:t>categori</w:t>
      </w:r>
      <w:r w:rsidR="006674DB">
        <w:rPr>
          <w:rFonts w:ascii="Arial" w:hAnsi="Arial" w:cs="Arial" w:hint="eastAsia"/>
          <w:sz w:val="22"/>
        </w:rPr>
        <w:t>s</w:t>
      </w:r>
      <w:r w:rsidR="006674DB" w:rsidRPr="00795FCD">
        <w:rPr>
          <w:rFonts w:ascii="Arial" w:hAnsi="Arial" w:cs="Arial"/>
          <w:sz w:val="22"/>
        </w:rPr>
        <w:t xml:space="preserve">ed </w:t>
      </w:r>
      <w:r w:rsidR="00916B71" w:rsidRPr="00795FCD">
        <w:rPr>
          <w:rFonts w:ascii="Arial" w:hAnsi="Arial" w:cs="Arial"/>
          <w:sz w:val="22"/>
        </w:rPr>
        <w:t xml:space="preserve">by nine combinations of Alu, L1 and LTR retroelements, </w:t>
      </w:r>
      <w:r w:rsidR="004C0216" w:rsidRPr="00795FCD">
        <w:rPr>
          <w:rFonts w:ascii="Arial" w:hAnsi="Arial" w:cs="Arial"/>
          <w:sz w:val="22"/>
        </w:rPr>
        <w:t>labe</w:t>
      </w:r>
      <w:r w:rsidR="004C0216">
        <w:rPr>
          <w:rFonts w:ascii="Arial" w:hAnsi="Arial" w:cs="Arial" w:hint="eastAsia"/>
          <w:sz w:val="22"/>
        </w:rPr>
        <w:t>ll</w:t>
      </w:r>
      <w:r w:rsidR="004C0216" w:rsidRPr="00795FCD">
        <w:rPr>
          <w:rFonts w:ascii="Arial" w:hAnsi="Arial" w:cs="Arial"/>
          <w:sz w:val="22"/>
        </w:rPr>
        <w:t xml:space="preserve">ed </w:t>
      </w:r>
      <w:r w:rsidR="00916B71" w:rsidRPr="00795FCD">
        <w:rPr>
          <w:rFonts w:ascii="Arial" w:hAnsi="Arial" w:cs="Arial"/>
          <w:sz w:val="22"/>
        </w:rPr>
        <w:t xml:space="preserve">according to their position relative to the gene (upstream-downstream order). Each dot represents the median CV value for each retroelement combination in CpG-island (closed dots) and non-CpG island genes (open dots), with bars showing interquartile ranges. Statistical differences were evaluated using the Kruskal-Wallis test and post-hoc tests, with significant subgroups denoted by numbers. The retroelement combinations are ordered by ascending median TSI values for CpG-island genes. </w:t>
      </w:r>
    </w:p>
    <w:p w14:paraId="16ED4442" w14:textId="77777777" w:rsidR="00916B71" w:rsidRPr="00795FCD" w:rsidRDefault="00916B71" w:rsidP="008776BE">
      <w:pPr>
        <w:wordWrap/>
        <w:spacing w:line="480" w:lineRule="auto"/>
        <w:jc w:val="left"/>
        <w:rPr>
          <w:rFonts w:ascii="Arial" w:hAnsi="Arial" w:cs="Arial"/>
          <w:sz w:val="22"/>
        </w:rPr>
      </w:pPr>
    </w:p>
    <w:p w14:paraId="68C030FC" w14:textId="7934E751" w:rsidR="00307307" w:rsidRDefault="00307307">
      <w:pPr>
        <w:widowControl/>
        <w:wordWrap/>
        <w:autoSpaceDE/>
        <w:autoSpaceDN/>
        <w:rPr>
          <w:rFonts w:ascii="Arial" w:hAnsi="Arial" w:cs="Arial"/>
          <w:noProof/>
          <w:sz w:val="22"/>
        </w:rPr>
      </w:pPr>
      <w:r>
        <w:rPr>
          <w:rFonts w:ascii="Arial" w:hAnsi="Arial" w:cs="Arial"/>
          <w:noProof/>
          <w:sz w:val="22"/>
        </w:rPr>
        <w:br w:type="page"/>
      </w:r>
    </w:p>
    <w:p w14:paraId="7D9B07E2" w14:textId="7D2BC3BB" w:rsidR="00AE0D0C" w:rsidRPr="00795FCD" w:rsidRDefault="00307307" w:rsidP="001216C3">
      <w:pPr>
        <w:wordWrap/>
        <w:spacing w:line="480" w:lineRule="auto"/>
        <w:jc w:val="center"/>
        <w:rPr>
          <w:rFonts w:ascii="Arial" w:hAnsi="Arial" w:cs="Arial"/>
          <w:sz w:val="22"/>
        </w:rPr>
      </w:pPr>
      <w:r>
        <w:rPr>
          <w:rFonts w:ascii="Arial" w:hAnsi="Arial" w:cs="Arial"/>
          <w:noProof/>
          <w:sz w:val="22"/>
        </w:rPr>
        <w:lastRenderedPageBreak/>
        <w:drawing>
          <wp:inline distT="0" distB="0" distL="0" distR="0" wp14:anchorId="75CCB9EA" wp14:editId="1300D4BF">
            <wp:extent cx="3601720" cy="5401945"/>
            <wp:effectExtent l="0" t="0" r="0" b="8255"/>
            <wp:docPr id="482783553" name="그림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601720" cy="5401945"/>
                    </a:xfrm>
                    <a:prstGeom prst="rect">
                      <a:avLst/>
                    </a:prstGeom>
                    <a:noFill/>
                    <a:ln>
                      <a:noFill/>
                    </a:ln>
                  </pic:spPr>
                </pic:pic>
              </a:graphicData>
            </a:graphic>
          </wp:inline>
        </w:drawing>
      </w:r>
    </w:p>
    <w:p w14:paraId="53F549AB" w14:textId="05CF1D33" w:rsidR="00C814E5" w:rsidRPr="00795FCD" w:rsidRDefault="001D6603" w:rsidP="008776BE">
      <w:pPr>
        <w:wordWrap/>
        <w:spacing w:line="480" w:lineRule="auto"/>
        <w:jc w:val="left"/>
        <w:rPr>
          <w:rFonts w:ascii="Arial" w:hAnsi="Arial" w:cs="Arial"/>
          <w:sz w:val="22"/>
        </w:rPr>
      </w:pPr>
      <w:r w:rsidRPr="00795FCD">
        <w:rPr>
          <w:rFonts w:ascii="Arial" w:hAnsi="Arial" w:cs="Arial"/>
          <w:sz w:val="22"/>
        </w:rPr>
        <w:t>Fig</w:t>
      </w:r>
      <w:r>
        <w:rPr>
          <w:rFonts w:ascii="Arial" w:hAnsi="Arial" w:cs="Arial" w:hint="eastAsia"/>
          <w:sz w:val="22"/>
        </w:rPr>
        <w:t>ure S</w:t>
      </w:r>
      <w:r w:rsidR="001216C3" w:rsidRPr="00795FCD">
        <w:rPr>
          <w:rFonts w:ascii="Arial" w:hAnsi="Arial" w:cs="Arial"/>
          <w:sz w:val="22"/>
        </w:rPr>
        <w:t xml:space="preserve">5. Heat map distribution of CV values based on combinations of retroelements near genes. Genes are </w:t>
      </w:r>
      <w:r w:rsidR="006674DB" w:rsidRPr="00795FCD">
        <w:rPr>
          <w:rFonts w:ascii="Arial" w:hAnsi="Arial" w:cs="Arial"/>
          <w:sz w:val="22"/>
        </w:rPr>
        <w:t>analy</w:t>
      </w:r>
      <w:r w:rsidR="006674DB">
        <w:rPr>
          <w:rFonts w:ascii="Arial" w:hAnsi="Arial" w:cs="Arial" w:hint="eastAsia"/>
          <w:sz w:val="22"/>
        </w:rPr>
        <w:t>s</w:t>
      </w:r>
      <w:r w:rsidR="006674DB" w:rsidRPr="00795FCD">
        <w:rPr>
          <w:rFonts w:ascii="Arial" w:hAnsi="Arial" w:cs="Arial"/>
          <w:sz w:val="22"/>
        </w:rPr>
        <w:t xml:space="preserve">ed </w:t>
      </w:r>
      <w:r w:rsidR="001216C3" w:rsidRPr="00795FCD">
        <w:rPr>
          <w:rFonts w:ascii="Arial" w:hAnsi="Arial" w:cs="Arial"/>
          <w:sz w:val="22"/>
        </w:rPr>
        <w:t xml:space="preserve">separately for CpG-island and non-CpG island genes and are </w:t>
      </w:r>
      <w:r w:rsidR="006674DB" w:rsidRPr="00795FCD">
        <w:rPr>
          <w:rFonts w:ascii="Arial" w:hAnsi="Arial" w:cs="Arial"/>
          <w:sz w:val="22"/>
        </w:rPr>
        <w:t>categori</w:t>
      </w:r>
      <w:r w:rsidR="006674DB">
        <w:rPr>
          <w:rFonts w:ascii="Arial" w:hAnsi="Arial" w:cs="Arial" w:hint="eastAsia"/>
          <w:sz w:val="22"/>
        </w:rPr>
        <w:t>s</w:t>
      </w:r>
      <w:r w:rsidR="006674DB" w:rsidRPr="00795FCD">
        <w:rPr>
          <w:rFonts w:ascii="Arial" w:hAnsi="Arial" w:cs="Arial"/>
          <w:sz w:val="22"/>
        </w:rPr>
        <w:t xml:space="preserve">ed </w:t>
      </w:r>
      <w:r w:rsidR="001216C3" w:rsidRPr="00795FCD">
        <w:rPr>
          <w:rFonts w:ascii="Arial" w:hAnsi="Arial" w:cs="Arial"/>
          <w:sz w:val="22"/>
        </w:rPr>
        <w:t>into groups based on the combination of retroelements (Alu, L1, LTR) arranged in upstream-downstream order: Alu-Alu, Alu mixed (Alu-L1, Alu-LTR, L1-Alu, LTR-Alu) and L1/LTR only (L1-L1, L1-LTR, LTR-L1, LTR-LTR).</w:t>
      </w:r>
      <w:r w:rsidR="00C814E5" w:rsidRPr="00795FCD">
        <w:rPr>
          <w:rFonts w:ascii="Arial" w:hAnsi="Arial" w:cs="Arial"/>
          <w:sz w:val="22"/>
        </w:rPr>
        <w:br/>
      </w:r>
    </w:p>
    <w:p w14:paraId="2661C008" w14:textId="77777777" w:rsidR="00C814E5" w:rsidRPr="00795FCD" w:rsidRDefault="00C814E5">
      <w:pPr>
        <w:widowControl/>
        <w:wordWrap/>
        <w:autoSpaceDE/>
        <w:autoSpaceDN/>
        <w:rPr>
          <w:rFonts w:ascii="Arial" w:hAnsi="Arial" w:cs="Arial"/>
          <w:sz w:val="22"/>
        </w:rPr>
      </w:pPr>
      <w:r w:rsidRPr="00795FCD">
        <w:rPr>
          <w:rFonts w:ascii="Arial" w:hAnsi="Arial" w:cs="Arial"/>
          <w:sz w:val="22"/>
        </w:rPr>
        <w:br w:type="page"/>
      </w:r>
    </w:p>
    <w:p w14:paraId="32AEEC24" w14:textId="486DFEE0" w:rsidR="001216C3" w:rsidRPr="00795FCD" w:rsidRDefault="0055754A" w:rsidP="008776BE">
      <w:pPr>
        <w:wordWrap/>
        <w:spacing w:line="480" w:lineRule="auto"/>
        <w:jc w:val="left"/>
        <w:rPr>
          <w:rFonts w:ascii="Arial" w:hAnsi="Arial" w:cs="Arial"/>
          <w:sz w:val="22"/>
        </w:rPr>
      </w:pPr>
      <w:r>
        <w:rPr>
          <w:rFonts w:ascii="Arial" w:hAnsi="Arial" w:cs="Arial"/>
          <w:noProof/>
          <w:sz w:val="22"/>
        </w:rPr>
        <w:lastRenderedPageBreak/>
        <w:drawing>
          <wp:inline distT="0" distB="0" distL="0" distR="0" wp14:anchorId="0637DE6D" wp14:editId="3ED7B20A">
            <wp:extent cx="5727700" cy="5093970"/>
            <wp:effectExtent l="0" t="0" r="6350" b="0"/>
            <wp:docPr id="793594582" name="그림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27700" cy="5093970"/>
                    </a:xfrm>
                    <a:prstGeom prst="rect">
                      <a:avLst/>
                    </a:prstGeom>
                    <a:noFill/>
                    <a:ln>
                      <a:noFill/>
                    </a:ln>
                  </pic:spPr>
                </pic:pic>
              </a:graphicData>
            </a:graphic>
          </wp:inline>
        </w:drawing>
      </w:r>
    </w:p>
    <w:p w14:paraId="586D6965" w14:textId="759FDB4E" w:rsidR="00603A23" w:rsidRPr="00795FCD" w:rsidRDefault="001D6603" w:rsidP="00603A23">
      <w:pPr>
        <w:wordWrap/>
        <w:spacing w:line="480" w:lineRule="auto"/>
        <w:jc w:val="left"/>
        <w:rPr>
          <w:rFonts w:ascii="Arial" w:hAnsi="Arial" w:cs="Arial"/>
          <w:sz w:val="22"/>
        </w:rPr>
      </w:pPr>
      <w:r w:rsidRPr="00795FCD">
        <w:rPr>
          <w:rFonts w:ascii="Arial" w:hAnsi="Arial" w:cs="Arial"/>
          <w:sz w:val="22"/>
        </w:rPr>
        <w:t>Fig</w:t>
      </w:r>
      <w:r>
        <w:rPr>
          <w:rFonts w:ascii="Arial" w:hAnsi="Arial" w:cs="Arial" w:hint="eastAsia"/>
          <w:sz w:val="22"/>
        </w:rPr>
        <w:t>ure S</w:t>
      </w:r>
      <w:r w:rsidR="00C814E5" w:rsidRPr="00795FCD">
        <w:rPr>
          <w:rFonts w:ascii="Arial" w:hAnsi="Arial" w:cs="Arial"/>
          <w:sz w:val="22"/>
        </w:rPr>
        <w:t xml:space="preserve">6. </w:t>
      </w:r>
      <w:r w:rsidR="00603A23" w:rsidRPr="00795FCD">
        <w:rPr>
          <w:rFonts w:ascii="Arial" w:hAnsi="Arial" w:cs="Arial"/>
          <w:sz w:val="22"/>
        </w:rPr>
        <w:t>Compar</w:t>
      </w:r>
      <w:r w:rsidR="0075731E">
        <w:rPr>
          <w:rFonts w:ascii="Arial" w:hAnsi="Arial" w:cs="Arial" w:hint="eastAsia"/>
          <w:sz w:val="22"/>
        </w:rPr>
        <w:t>i</w:t>
      </w:r>
      <w:r w:rsidR="00603A23" w:rsidRPr="00795FCD">
        <w:rPr>
          <w:rFonts w:ascii="Arial" w:hAnsi="Arial" w:cs="Arial"/>
          <w:sz w:val="22"/>
        </w:rPr>
        <w:t>son of TSI values among CpG-island genes grouped by proximity to gene-adjacent retroelements across 1</w:t>
      </w:r>
      <w:r w:rsidR="0075731E">
        <w:rPr>
          <w:rFonts w:ascii="Arial" w:hAnsi="Arial" w:cs="Arial" w:hint="eastAsia"/>
          <w:sz w:val="22"/>
        </w:rPr>
        <w:t>-</w:t>
      </w:r>
      <w:r w:rsidR="00603A23" w:rsidRPr="00795FCD">
        <w:rPr>
          <w:rFonts w:ascii="Arial" w:hAnsi="Arial" w:cs="Arial"/>
          <w:sz w:val="22"/>
        </w:rPr>
        <w:t>kb intervals within 10</w:t>
      </w:r>
      <w:r w:rsidR="00E43E88">
        <w:rPr>
          <w:rFonts w:ascii="Arial" w:hAnsi="Arial" w:cs="Arial" w:hint="eastAsia"/>
          <w:sz w:val="22"/>
        </w:rPr>
        <w:t xml:space="preserve"> </w:t>
      </w:r>
      <w:r w:rsidR="00603A23" w:rsidRPr="00795FCD">
        <w:rPr>
          <w:rFonts w:ascii="Arial" w:hAnsi="Arial" w:cs="Arial"/>
          <w:sz w:val="22"/>
        </w:rPr>
        <w:t>k</w:t>
      </w:r>
      <w:r w:rsidR="00E43E88">
        <w:rPr>
          <w:rFonts w:ascii="Arial" w:hAnsi="Arial" w:cs="Arial" w:hint="eastAsia"/>
          <w:sz w:val="22"/>
        </w:rPr>
        <w:t>b</w:t>
      </w:r>
      <w:r w:rsidR="00603A23" w:rsidRPr="00795FCD">
        <w:rPr>
          <w:rFonts w:ascii="Arial" w:hAnsi="Arial" w:cs="Arial"/>
          <w:sz w:val="22"/>
        </w:rPr>
        <w:t xml:space="preserve"> upstream (A) and downstream (B) regions. </w:t>
      </w:r>
      <w:r w:rsidR="00CF36EF" w:rsidRPr="00795FCD">
        <w:rPr>
          <w:rFonts w:ascii="Arial" w:hAnsi="Arial" w:cs="Arial"/>
          <w:sz w:val="22"/>
        </w:rPr>
        <w:t xml:space="preserve">The genes are classified into three distinct groups based on the type of retroelement combinations, as outlined in the manuscript: Alu-Alu, Alu mixed and L1/LTR only. </w:t>
      </w:r>
      <w:r w:rsidR="00603A23" w:rsidRPr="00795FCD">
        <w:rPr>
          <w:rFonts w:ascii="Arial" w:hAnsi="Arial" w:cs="Arial"/>
          <w:sz w:val="22"/>
        </w:rPr>
        <w:t xml:space="preserve">Each dot represents the median TSI value for each gene group, with the upper and lower bars indicating the quartile values. </w:t>
      </w:r>
      <w:r w:rsidR="00CF36EF" w:rsidRPr="00795FCD">
        <w:rPr>
          <w:rFonts w:ascii="Arial" w:hAnsi="Arial" w:cs="Arial"/>
          <w:sz w:val="22"/>
        </w:rPr>
        <w:t>Significant differences in TSI values among the gene groups were identified using t</w:t>
      </w:r>
      <w:r w:rsidR="00603A23" w:rsidRPr="00795FCD">
        <w:rPr>
          <w:rFonts w:ascii="Arial" w:hAnsi="Arial" w:cs="Arial"/>
          <w:sz w:val="22"/>
        </w:rPr>
        <w:t xml:space="preserve">he Kruskal-Wallis test. Post-hoc analysis results are </w:t>
      </w:r>
      <w:r w:rsidR="00CF36EF" w:rsidRPr="00795FCD">
        <w:rPr>
          <w:rFonts w:ascii="Arial" w:hAnsi="Arial" w:cs="Arial"/>
          <w:sz w:val="22"/>
        </w:rPr>
        <w:t xml:space="preserve">indicated by </w:t>
      </w:r>
      <w:r w:rsidR="00603A23" w:rsidRPr="00795FCD">
        <w:rPr>
          <w:rFonts w:ascii="Arial" w:hAnsi="Arial" w:cs="Arial"/>
          <w:sz w:val="22"/>
        </w:rPr>
        <w:t>numbers to distinguish subgroups within the same gene category</w:t>
      </w:r>
      <w:r w:rsidR="00CF36EF" w:rsidRPr="00795FCD">
        <w:rPr>
          <w:rFonts w:ascii="Arial" w:hAnsi="Arial" w:cs="Arial"/>
          <w:sz w:val="22"/>
        </w:rPr>
        <w:t xml:space="preserve"> based on their proximity to the TSSs</w:t>
      </w:r>
      <w:r w:rsidR="00603A23" w:rsidRPr="00795FCD">
        <w:rPr>
          <w:rFonts w:ascii="Arial" w:hAnsi="Arial" w:cs="Arial"/>
          <w:sz w:val="22"/>
        </w:rPr>
        <w:t>.</w:t>
      </w:r>
    </w:p>
    <w:p w14:paraId="10E22034" w14:textId="78713383" w:rsidR="00C814E5" w:rsidRPr="00795FCD" w:rsidRDefault="00C814E5" w:rsidP="008776BE">
      <w:pPr>
        <w:wordWrap/>
        <w:spacing w:line="480" w:lineRule="auto"/>
        <w:jc w:val="left"/>
        <w:rPr>
          <w:rFonts w:ascii="Arial" w:hAnsi="Arial" w:cs="Arial"/>
          <w:sz w:val="22"/>
        </w:rPr>
      </w:pPr>
    </w:p>
    <w:p w14:paraId="480FF00A" w14:textId="553BCEAA" w:rsidR="00C814E5" w:rsidRPr="00795FCD" w:rsidRDefault="001B460D" w:rsidP="00750B72">
      <w:pPr>
        <w:wordWrap/>
        <w:spacing w:line="480" w:lineRule="auto"/>
        <w:jc w:val="center"/>
        <w:rPr>
          <w:rFonts w:ascii="Arial" w:hAnsi="Arial" w:cs="Arial"/>
          <w:sz w:val="22"/>
        </w:rPr>
      </w:pPr>
      <w:r>
        <w:rPr>
          <w:rFonts w:ascii="Arial" w:hAnsi="Arial" w:cs="Arial"/>
          <w:noProof/>
          <w:sz w:val="22"/>
        </w:rPr>
        <w:lastRenderedPageBreak/>
        <w:drawing>
          <wp:inline distT="0" distB="0" distL="0" distR="0" wp14:anchorId="75F06D06" wp14:editId="27C0CA8F">
            <wp:extent cx="4737660" cy="5682743"/>
            <wp:effectExtent l="0" t="0" r="6350" b="0"/>
            <wp:docPr id="340668860" name="그림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748012" cy="5695160"/>
                    </a:xfrm>
                    <a:prstGeom prst="rect">
                      <a:avLst/>
                    </a:prstGeom>
                    <a:noFill/>
                    <a:ln>
                      <a:noFill/>
                    </a:ln>
                  </pic:spPr>
                </pic:pic>
              </a:graphicData>
            </a:graphic>
          </wp:inline>
        </w:drawing>
      </w:r>
    </w:p>
    <w:p w14:paraId="6CF2CF01" w14:textId="10AD3EDE" w:rsidR="00C814E5" w:rsidRPr="00795FCD" w:rsidRDefault="001D6603" w:rsidP="008776BE">
      <w:pPr>
        <w:wordWrap/>
        <w:spacing w:line="480" w:lineRule="auto"/>
        <w:jc w:val="left"/>
        <w:rPr>
          <w:rFonts w:ascii="Arial" w:hAnsi="Arial" w:cs="Arial"/>
          <w:sz w:val="22"/>
        </w:rPr>
      </w:pPr>
      <w:r w:rsidRPr="00795FCD">
        <w:rPr>
          <w:rFonts w:ascii="Arial" w:hAnsi="Arial" w:cs="Arial"/>
          <w:sz w:val="22"/>
        </w:rPr>
        <w:t>Fig</w:t>
      </w:r>
      <w:r>
        <w:rPr>
          <w:rFonts w:ascii="Arial" w:hAnsi="Arial" w:cs="Arial" w:hint="eastAsia"/>
          <w:sz w:val="22"/>
        </w:rPr>
        <w:t>ure S</w:t>
      </w:r>
      <w:r w:rsidR="00C814E5" w:rsidRPr="00795FCD">
        <w:rPr>
          <w:rFonts w:ascii="Arial" w:hAnsi="Arial" w:cs="Arial"/>
          <w:sz w:val="22"/>
        </w:rPr>
        <w:t xml:space="preserve">7. Distribution of gene expression across 56 tissues within gene groups defined by CpG islands and proximity to gene-adjacent retroelements. This figure shows the number of expressed genes and the cumulative gene transcripts across 56 tissues, as per the gene groups outlined in the manuscript. The left panel displays the number of expressed genes, while the right panel details the cumulative gene transcripts. Tissues are ordered from top to bottom by the descending proportion of CpG-island gene expression. Each bar represents a specific tissue and is subdivided into </w:t>
      </w:r>
      <w:r w:rsidR="004C0216" w:rsidRPr="00795FCD">
        <w:rPr>
          <w:rFonts w:ascii="Arial" w:hAnsi="Arial" w:cs="Arial"/>
          <w:sz w:val="22"/>
        </w:rPr>
        <w:t>col</w:t>
      </w:r>
      <w:r w:rsidR="004C0216">
        <w:rPr>
          <w:rFonts w:ascii="Arial" w:hAnsi="Arial" w:cs="Arial" w:hint="eastAsia"/>
          <w:sz w:val="22"/>
        </w:rPr>
        <w:t>ou</w:t>
      </w:r>
      <w:r w:rsidR="004C0216" w:rsidRPr="00795FCD">
        <w:rPr>
          <w:rFonts w:ascii="Arial" w:hAnsi="Arial" w:cs="Arial"/>
          <w:sz w:val="22"/>
        </w:rPr>
        <w:t xml:space="preserve">red </w:t>
      </w:r>
      <w:r w:rsidR="00C814E5" w:rsidRPr="00795FCD">
        <w:rPr>
          <w:rFonts w:ascii="Arial" w:hAnsi="Arial" w:cs="Arial"/>
          <w:sz w:val="22"/>
        </w:rPr>
        <w:t>segments corresponding to different gene groups.</w:t>
      </w:r>
    </w:p>
    <w:sectPr w:rsidR="00C814E5" w:rsidRPr="00795FCD">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A1DE16E" w14:textId="77777777" w:rsidR="0011449D" w:rsidRDefault="0011449D" w:rsidP="004E0561">
      <w:pPr>
        <w:spacing w:after="0" w:line="240" w:lineRule="auto"/>
      </w:pPr>
      <w:r>
        <w:separator/>
      </w:r>
    </w:p>
  </w:endnote>
  <w:endnote w:type="continuationSeparator" w:id="0">
    <w:p w14:paraId="110C5CBD" w14:textId="77777777" w:rsidR="0011449D" w:rsidRDefault="0011449D" w:rsidP="004E05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9EC9FD4" w14:textId="77777777" w:rsidR="0011449D" w:rsidRDefault="0011449D" w:rsidP="004E0561">
      <w:pPr>
        <w:spacing w:after="0" w:line="240" w:lineRule="auto"/>
      </w:pPr>
      <w:r>
        <w:separator/>
      </w:r>
    </w:p>
  </w:footnote>
  <w:footnote w:type="continuationSeparator" w:id="0">
    <w:p w14:paraId="2BB18A4E" w14:textId="77777777" w:rsidR="0011449D" w:rsidRDefault="0011449D" w:rsidP="004E056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4AFA"/>
    <w:rsid w:val="00074387"/>
    <w:rsid w:val="00092CB5"/>
    <w:rsid w:val="000A7670"/>
    <w:rsid w:val="000C40F9"/>
    <w:rsid w:val="00104E50"/>
    <w:rsid w:val="0011449D"/>
    <w:rsid w:val="001216C3"/>
    <w:rsid w:val="00122777"/>
    <w:rsid w:val="00140C43"/>
    <w:rsid w:val="00152CB9"/>
    <w:rsid w:val="00153158"/>
    <w:rsid w:val="00153D41"/>
    <w:rsid w:val="0016266A"/>
    <w:rsid w:val="001A63B9"/>
    <w:rsid w:val="001B460D"/>
    <w:rsid w:val="001C4085"/>
    <w:rsid w:val="001D6603"/>
    <w:rsid w:val="00200EBB"/>
    <w:rsid w:val="00224163"/>
    <w:rsid w:val="0024018D"/>
    <w:rsid w:val="002535CD"/>
    <w:rsid w:val="002576CB"/>
    <w:rsid w:val="00270007"/>
    <w:rsid w:val="00276E13"/>
    <w:rsid w:val="002C06B6"/>
    <w:rsid w:val="00307307"/>
    <w:rsid w:val="0033444B"/>
    <w:rsid w:val="00340EE9"/>
    <w:rsid w:val="00354E6B"/>
    <w:rsid w:val="003828A0"/>
    <w:rsid w:val="00397547"/>
    <w:rsid w:val="003A5BA2"/>
    <w:rsid w:val="003A6AD3"/>
    <w:rsid w:val="003B280F"/>
    <w:rsid w:val="003D36DA"/>
    <w:rsid w:val="003D5FD2"/>
    <w:rsid w:val="004157A1"/>
    <w:rsid w:val="00420B9E"/>
    <w:rsid w:val="00423D61"/>
    <w:rsid w:val="00431E2D"/>
    <w:rsid w:val="00450D2F"/>
    <w:rsid w:val="004655F6"/>
    <w:rsid w:val="00474AFA"/>
    <w:rsid w:val="004C0216"/>
    <w:rsid w:val="004E0561"/>
    <w:rsid w:val="00501C4A"/>
    <w:rsid w:val="00503B6C"/>
    <w:rsid w:val="00535717"/>
    <w:rsid w:val="00553827"/>
    <w:rsid w:val="00555521"/>
    <w:rsid w:val="0055754A"/>
    <w:rsid w:val="005A10BC"/>
    <w:rsid w:val="005B6845"/>
    <w:rsid w:val="00603A23"/>
    <w:rsid w:val="0064147C"/>
    <w:rsid w:val="0066573E"/>
    <w:rsid w:val="00665AD0"/>
    <w:rsid w:val="006674DB"/>
    <w:rsid w:val="0067123D"/>
    <w:rsid w:val="006945B6"/>
    <w:rsid w:val="006D1811"/>
    <w:rsid w:val="006F4DB2"/>
    <w:rsid w:val="00700CE2"/>
    <w:rsid w:val="00702CD9"/>
    <w:rsid w:val="00710B43"/>
    <w:rsid w:val="007122B1"/>
    <w:rsid w:val="00733E3C"/>
    <w:rsid w:val="007441CF"/>
    <w:rsid w:val="00747430"/>
    <w:rsid w:val="00750B72"/>
    <w:rsid w:val="0075731E"/>
    <w:rsid w:val="00785682"/>
    <w:rsid w:val="00795FCD"/>
    <w:rsid w:val="00796EB3"/>
    <w:rsid w:val="007B3F54"/>
    <w:rsid w:val="007C6CC1"/>
    <w:rsid w:val="007E1A0B"/>
    <w:rsid w:val="00831ED5"/>
    <w:rsid w:val="00832E17"/>
    <w:rsid w:val="00836962"/>
    <w:rsid w:val="00837651"/>
    <w:rsid w:val="00840DD8"/>
    <w:rsid w:val="008638A4"/>
    <w:rsid w:val="008776BE"/>
    <w:rsid w:val="00881D6F"/>
    <w:rsid w:val="008821C1"/>
    <w:rsid w:val="00882861"/>
    <w:rsid w:val="008A4166"/>
    <w:rsid w:val="008A6C87"/>
    <w:rsid w:val="008C68FB"/>
    <w:rsid w:val="008D1787"/>
    <w:rsid w:val="00913390"/>
    <w:rsid w:val="00916B71"/>
    <w:rsid w:val="00916E41"/>
    <w:rsid w:val="00947716"/>
    <w:rsid w:val="00955712"/>
    <w:rsid w:val="00981198"/>
    <w:rsid w:val="009A60F9"/>
    <w:rsid w:val="009D6700"/>
    <w:rsid w:val="009E462C"/>
    <w:rsid w:val="00A210E6"/>
    <w:rsid w:val="00A71BC9"/>
    <w:rsid w:val="00A94913"/>
    <w:rsid w:val="00AD2CDD"/>
    <w:rsid w:val="00AE01D9"/>
    <w:rsid w:val="00AE0D0C"/>
    <w:rsid w:val="00AE36E0"/>
    <w:rsid w:val="00AF130A"/>
    <w:rsid w:val="00AF1F3B"/>
    <w:rsid w:val="00AF2050"/>
    <w:rsid w:val="00AF3C33"/>
    <w:rsid w:val="00AF5A84"/>
    <w:rsid w:val="00AF7BD1"/>
    <w:rsid w:val="00B057F6"/>
    <w:rsid w:val="00B168A6"/>
    <w:rsid w:val="00B66F01"/>
    <w:rsid w:val="00B9119C"/>
    <w:rsid w:val="00BA5BF5"/>
    <w:rsid w:val="00BD514C"/>
    <w:rsid w:val="00BE7596"/>
    <w:rsid w:val="00C10BD0"/>
    <w:rsid w:val="00C41E43"/>
    <w:rsid w:val="00C54D44"/>
    <w:rsid w:val="00C6411C"/>
    <w:rsid w:val="00C643BF"/>
    <w:rsid w:val="00C814E5"/>
    <w:rsid w:val="00C82AF8"/>
    <w:rsid w:val="00C96C1C"/>
    <w:rsid w:val="00CA2108"/>
    <w:rsid w:val="00CB242D"/>
    <w:rsid w:val="00CC57C8"/>
    <w:rsid w:val="00CE6D72"/>
    <w:rsid w:val="00CF36EF"/>
    <w:rsid w:val="00D15E0F"/>
    <w:rsid w:val="00D24869"/>
    <w:rsid w:val="00D5023C"/>
    <w:rsid w:val="00D61C7C"/>
    <w:rsid w:val="00D814C8"/>
    <w:rsid w:val="00DD4821"/>
    <w:rsid w:val="00E03F21"/>
    <w:rsid w:val="00E43E88"/>
    <w:rsid w:val="00E5651E"/>
    <w:rsid w:val="00E96F14"/>
    <w:rsid w:val="00EA4BE1"/>
    <w:rsid w:val="00EB5475"/>
    <w:rsid w:val="00EC4FD4"/>
    <w:rsid w:val="00EC558F"/>
    <w:rsid w:val="00ED2383"/>
    <w:rsid w:val="00ED44B2"/>
    <w:rsid w:val="00ED4662"/>
    <w:rsid w:val="00F01F55"/>
    <w:rsid w:val="00F06C28"/>
    <w:rsid w:val="00F2535B"/>
    <w:rsid w:val="00F37717"/>
    <w:rsid w:val="00F9185A"/>
    <w:rsid w:val="00F9250F"/>
    <w:rsid w:val="00F96EA1"/>
    <w:rsid w:val="00FA5AAE"/>
    <w:rsid w:val="00FC0DCE"/>
    <w:rsid w:val="00FE44CC"/>
    <w:rsid w:val="00FF7F1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CE2140"/>
  <w15:chartTrackingRefBased/>
  <w15:docId w15:val="{D28488DB-7598-4D1B-9607-F18E42511D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Cs w:val="22"/>
        <w:lang w:val="en-US" w:eastAsia="ko-KR" w:bidi="ar-SA"/>
        <w14:ligatures w14:val="standardContextual"/>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55521"/>
    <w:pPr>
      <w:widowControl w:val="0"/>
      <w:wordWrap w:val="0"/>
      <w:autoSpaceDE w:val="0"/>
      <w:autoSpaceDN w:val="0"/>
    </w:pPr>
  </w:style>
  <w:style w:type="paragraph" w:styleId="1">
    <w:name w:val="heading 1"/>
    <w:basedOn w:val="a"/>
    <w:next w:val="a"/>
    <w:link w:val="1Char"/>
    <w:uiPriority w:val="9"/>
    <w:qFormat/>
    <w:rsid w:val="00474AFA"/>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Char"/>
    <w:uiPriority w:val="9"/>
    <w:semiHidden/>
    <w:unhideWhenUsed/>
    <w:qFormat/>
    <w:rsid w:val="00474AFA"/>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Char"/>
    <w:uiPriority w:val="9"/>
    <w:semiHidden/>
    <w:unhideWhenUsed/>
    <w:qFormat/>
    <w:rsid w:val="00474AFA"/>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Char"/>
    <w:uiPriority w:val="9"/>
    <w:semiHidden/>
    <w:unhideWhenUsed/>
    <w:qFormat/>
    <w:rsid w:val="00474AFA"/>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Char"/>
    <w:uiPriority w:val="9"/>
    <w:semiHidden/>
    <w:unhideWhenUsed/>
    <w:qFormat/>
    <w:rsid w:val="00474AFA"/>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Char"/>
    <w:uiPriority w:val="9"/>
    <w:semiHidden/>
    <w:unhideWhenUsed/>
    <w:qFormat/>
    <w:rsid w:val="00474AFA"/>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Char"/>
    <w:uiPriority w:val="9"/>
    <w:semiHidden/>
    <w:unhideWhenUsed/>
    <w:qFormat/>
    <w:rsid w:val="00474AFA"/>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Char"/>
    <w:uiPriority w:val="9"/>
    <w:semiHidden/>
    <w:unhideWhenUsed/>
    <w:qFormat/>
    <w:rsid w:val="00474AFA"/>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Char"/>
    <w:uiPriority w:val="9"/>
    <w:semiHidden/>
    <w:unhideWhenUsed/>
    <w:qFormat/>
    <w:rsid w:val="00474AFA"/>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uiPriority w:val="9"/>
    <w:rsid w:val="00474AFA"/>
    <w:rPr>
      <w:rFonts w:asciiTheme="majorHAnsi" w:eastAsiaTheme="majorEastAsia" w:hAnsiTheme="majorHAnsi" w:cstheme="majorBidi"/>
      <w:color w:val="000000" w:themeColor="text1"/>
      <w:sz w:val="32"/>
      <w:szCs w:val="32"/>
    </w:rPr>
  </w:style>
  <w:style w:type="character" w:customStyle="1" w:styleId="2Char">
    <w:name w:val="제목 2 Char"/>
    <w:basedOn w:val="a0"/>
    <w:link w:val="2"/>
    <w:uiPriority w:val="9"/>
    <w:semiHidden/>
    <w:rsid w:val="00474AFA"/>
    <w:rPr>
      <w:rFonts w:asciiTheme="majorHAnsi" w:eastAsiaTheme="majorEastAsia" w:hAnsiTheme="majorHAnsi" w:cstheme="majorBidi"/>
      <w:color w:val="000000" w:themeColor="text1"/>
      <w:sz w:val="28"/>
      <w:szCs w:val="28"/>
    </w:rPr>
  </w:style>
  <w:style w:type="character" w:customStyle="1" w:styleId="3Char">
    <w:name w:val="제목 3 Char"/>
    <w:basedOn w:val="a0"/>
    <w:link w:val="3"/>
    <w:uiPriority w:val="9"/>
    <w:semiHidden/>
    <w:rsid w:val="00474AFA"/>
    <w:rPr>
      <w:rFonts w:asciiTheme="majorHAnsi" w:eastAsiaTheme="majorEastAsia" w:hAnsiTheme="majorHAnsi" w:cstheme="majorBidi"/>
      <w:color w:val="000000" w:themeColor="text1"/>
      <w:sz w:val="24"/>
      <w:szCs w:val="24"/>
    </w:rPr>
  </w:style>
  <w:style w:type="character" w:customStyle="1" w:styleId="4Char">
    <w:name w:val="제목 4 Char"/>
    <w:basedOn w:val="a0"/>
    <w:link w:val="4"/>
    <w:uiPriority w:val="9"/>
    <w:semiHidden/>
    <w:rsid w:val="00474AFA"/>
    <w:rPr>
      <w:rFonts w:asciiTheme="majorHAnsi" w:eastAsiaTheme="majorEastAsia" w:hAnsiTheme="majorHAnsi" w:cstheme="majorBidi"/>
      <w:color w:val="000000" w:themeColor="text1"/>
    </w:rPr>
  </w:style>
  <w:style w:type="character" w:customStyle="1" w:styleId="5Char">
    <w:name w:val="제목 5 Char"/>
    <w:basedOn w:val="a0"/>
    <w:link w:val="5"/>
    <w:uiPriority w:val="9"/>
    <w:semiHidden/>
    <w:rsid w:val="00474AFA"/>
    <w:rPr>
      <w:rFonts w:asciiTheme="majorHAnsi" w:eastAsiaTheme="majorEastAsia" w:hAnsiTheme="majorHAnsi" w:cstheme="majorBidi"/>
      <w:color w:val="000000" w:themeColor="text1"/>
    </w:rPr>
  </w:style>
  <w:style w:type="character" w:customStyle="1" w:styleId="6Char">
    <w:name w:val="제목 6 Char"/>
    <w:basedOn w:val="a0"/>
    <w:link w:val="6"/>
    <w:uiPriority w:val="9"/>
    <w:semiHidden/>
    <w:rsid w:val="00474AFA"/>
    <w:rPr>
      <w:rFonts w:asciiTheme="majorHAnsi" w:eastAsiaTheme="majorEastAsia" w:hAnsiTheme="majorHAnsi" w:cstheme="majorBidi"/>
      <w:color w:val="000000" w:themeColor="text1"/>
    </w:rPr>
  </w:style>
  <w:style w:type="character" w:customStyle="1" w:styleId="7Char">
    <w:name w:val="제목 7 Char"/>
    <w:basedOn w:val="a0"/>
    <w:link w:val="7"/>
    <w:uiPriority w:val="9"/>
    <w:semiHidden/>
    <w:rsid w:val="00474AFA"/>
    <w:rPr>
      <w:rFonts w:asciiTheme="majorHAnsi" w:eastAsiaTheme="majorEastAsia" w:hAnsiTheme="majorHAnsi" w:cstheme="majorBidi"/>
      <w:color w:val="000000" w:themeColor="text1"/>
    </w:rPr>
  </w:style>
  <w:style w:type="character" w:customStyle="1" w:styleId="8Char">
    <w:name w:val="제목 8 Char"/>
    <w:basedOn w:val="a0"/>
    <w:link w:val="8"/>
    <w:uiPriority w:val="9"/>
    <w:semiHidden/>
    <w:rsid w:val="00474AFA"/>
    <w:rPr>
      <w:rFonts w:asciiTheme="majorHAnsi" w:eastAsiaTheme="majorEastAsia" w:hAnsiTheme="majorHAnsi" w:cstheme="majorBidi"/>
      <w:color w:val="000000" w:themeColor="text1"/>
    </w:rPr>
  </w:style>
  <w:style w:type="character" w:customStyle="1" w:styleId="9Char">
    <w:name w:val="제목 9 Char"/>
    <w:basedOn w:val="a0"/>
    <w:link w:val="9"/>
    <w:uiPriority w:val="9"/>
    <w:semiHidden/>
    <w:rsid w:val="00474AFA"/>
    <w:rPr>
      <w:rFonts w:asciiTheme="majorHAnsi" w:eastAsiaTheme="majorEastAsia" w:hAnsiTheme="majorHAnsi" w:cstheme="majorBidi"/>
      <w:color w:val="000000" w:themeColor="text1"/>
    </w:rPr>
  </w:style>
  <w:style w:type="paragraph" w:styleId="a3">
    <w:name w:val="Title"/>
    <w:basedOn w:val="a"/>
    <w:next w:val="a"/>
    <w:link w:val="Char"/>
    <w:uiPriority w:val="10"/>
    <w:qFormat/>
    <w:rsid w:val="00474AFA"/>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Char">
    <w:name w:val="제목 Char"/>
    <w:basedOn w:val="a0"/>
    <w:link w:val="a3"/>
    <w:uiPriority w:val="10"/>
    <w:rsid w:val="00474AFA"/>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474AFA"/>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Char0">
    <w:name w:val="부제 Char"/>
    <w:basedOn w:val="a0"/>
    <w:link w:val="a4"/>
    <w:uiPriority w:val="11"/>
    <w:rsid w:val="00474AFA"/>
    <w:rPr>
      <w:rFonts w:asciiTheme="majorHAnsi" w:eastAsiaTheme="majorEastAsia" w:hAnsiTheme="majorHAnsi" w:cstheme="majorBidi"/>
      <w:color w:val="595959" w:themeColor="text1" w:themeTint="A6"/>
      <w:spacing w:val="15"/>
      <w:sz w:val="28"/>
      <w:szCs w:val="28"/>
    </w:rPr>
  </w:style>
  <w:style w:type="paragraph" w:styleId="a5">
    <w:name w:val="Quote"/>
    <w:basedOn w:val="a"/>
    <w:next w:val="a"/>
    <w:link w:val="Char1"/>
    <w:uiPriority w:val="29"/>
    <w:qFormat/>
    <w:rsid w:val="00474AFA"/>
    <w:pPr>
      <w:spacing w:before="160"/>
      <w:jc w:val="center"/>
    </w:pPr>
    <w:rPr>
      <w:i/>
      <w:iCs/>
      <w:color w:val="404040" w:themeColor="text1" w:themeTint="BF"/>
    </w:rPr>
  </w:style>
  <w:style w:type="character" w:customStyle="1" w:styleId="Char1">
    <w:name w:val="인용 Char"/>
    <w:basedOn w:val="a0"/>
    <w:link w:val="a5"/>
    <w:uiPriority w:val="29"/>
    <w:rsid w:val="00474AFA"/>
    <w:rPr>
      <w:i/>
      <w:iCs/>
      <w:color w:val="404040" w:themeColor="text1" w:themeTint="BF"/>
    </w:rPr>
  </w:style>
  <w:style w:type="paragraph" w:styleId="a6">
    <w:name w:val="List Paragraph"/>
    <w:basedOn w:val="a"/>
    <w:uiPriority w:val="34"/>
    <w:qFormat/>
    <w:rsid w:val="00474AFA"/>
    <w:pPr>
      <w:ind w:left="720"/>
      <w:contextualSpacing/>
    </w:pPr>
  </w:style>
  <w:style w:type="character" w:styleId="a7">
    <w:name w:val="Intense Emphasis"/>
    <w:basedOn w:val="a0"/>
    <w:uiPriority w:val="21"/>
    <w:qFormat/>
    <w:rsid w:val="00474AFA"/>
    <w:rPr>
      <w:i/>
      <w:iCs/>
      <w:color w:val="0F4761" w:themeColor="accent1" w:themeShade="BF"/>
    </w:rPr>
  </w:style>
  <w:style w:type="paragraph" w:styleId="a8">
    <w:name w:val="Intense Quote"/>
    <w:basedOn w:val="a"/>
    <w:next w:val="a"/>
    <w:link w:val="Char2"/>
    <w:uiPriority w:val="30"/>
    <w:qFormat/>
    <w:rsid w:val="00474AF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2">
    <w:name w:val="강한 인용 Char"/>
    <w:basedOn w:val="a0"/>
    <w:link w:val="a8"/>
    <w:uiPriority w:val="30"/>
    <w:rsid w:val="00474AFA"/>
    <w:rPr>
      <w:i/>
      <w:iCs/>
      <w:color w:val="0F4761" w:themeColor="accent1" w:themeShade="BF"/>
    </w:rPr>
  </w:style>
  <w:style w:type="character" w:styleId="a9">
    <w:name w:val="Intense Reference"/>
    <w:basedOn w:val="a0"/>
    <w:uiPriority w:val="32"/>
    <w:qFormat/>
    <w:rsid w:val="00474AFA"/>
    <w:rPr>
      <w:b/>
      <w:bCs/>
      <w:smallCaps/>
      <w:color w:val="0F4761" w:themeColor="accent1" w:themeShade="BF"/>
      <w:spacing w:val="5"/>
    </w:rPr>
  </w:style>
  <w:style w:type="paragraph" w:styleId="aa">
    <w:name w:val="header"/>
    <w:basedOn w:val="a"/>
    <w:link w:val="Char3"/>
    <w:uiPriority w:val="99"/>
    <w:unhideWhenUsed/>
    <w:rsid w:val="00555521"/>
    <w:pPr>
      <w:tabs>
        <w:tab w:val="center" w:pos="4513"/>
        <w:tab w:val="right" w:pos="9026"/>
      </w:tabs>
      <w:snapToGrid w:val="0"/>
    </w:pPr>
  </w:style>
  <w:style w:type="character" w:customStyle="1" w:styleId="Char3">
    <w:name w:val="머리글 Char"/>
    <w:basedOn w:val="a0"/>
    <w:link w:val="aa"/>
    <w:uiPriority w:val="99"/>
    <w:rsid w:val="00555521"/>
  </w:style>
  <w:style w:type="paragraph" w:styleId="ab">
    <w:name w:val="footer"/>
    <w:basedOn w:val="a"/>
    <w:link w:val="Char4"/>
    <w:uiPriority w:val="99"/>
    <w:unhideWhenUsed/>
    <w:rsid w:val="00555521"/>
    <w:pPr>
      <w:tabs>
        <w:tab w:val="center" w:pos="4513"/>
        <w:tab w:val="right" w:pos="9026"/>
      </w:tabs>
      <w:snapToGrid w:val="0"/>
    </w:pPr>
  </w:style>
  <w:style w:type="character" w:customStyle="1" w:styleId="Char4">
    <w:name w:val="바닥글 Char"/>
    <w:basedOn w:val="a0"/>
    <w:link w:val="ab"/>
    <w:uiPriority w:val="99"/>
    <w:rsid w:val="00555521"/>
  </w:style>
  <w:style w:type="paragraph" w:styleId="ac">
    <w:name w:val="Revision"/>
    <w:hidden/>
    <w:uiPriority w:val="99"/>
    <w:semiHidden/>
    <w:rsid w:val="006674DB"/>
    <w:pPr>
      <w:spacing w:after="0" w:line="240" w:lineRule="auto"/>
      <w:jc w:val="lef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C19C5B-E10D-46E0-B9C9-4BF80DE8B3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596</Words>
  <Characters>3398</Characters>
  <Application>Microsoft Office Word</Application>
  <DocSecurity>0</DocSecurity>
  <Lines>28</Lines>
  <Paragraphs>7</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3987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홍승진</dc:creator>
  <cp:keywords/>
  <dc:description/>
  <cp:lastModifiedBy>홍승진</cp:lastModifiedBy>
  <cp:revision>3</cp:revision>
  <dcterms:created xsi:type="dcterms:W3CDTF">2024-06-17T04:11:00Z</dcterms:created>
  <dcterms:modified xsi:type="dcterms:W3CDTF">2024-06-17T04:12:00Z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FDRClass">
    <vt:lpwstr>0</vt:lpwstr>
  </property>
  <property fmtid="{D5CDD505-2E9C-101B-9397-08002B2CF9AE}" pid="3" name="FDRSet">
    <vt:lpwstr>manual</vt:lpwstr>
  </property>
</Properties>
</file>