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D08DB" w14:textId="166E617C" w:rsidR="00C01148" w:rsidRPr="009B313B" w:rsidRDefault="00C01148" w:rsidP="00D3536F">
      <w:pPr>
        <w:spacing w:line="480" w:lineRule="auto"/>
        <w:jc w:val="both"/>
        <w:rPr>
          <w:rFonts w:ascii="Times New Roman" w:eastAsiaTheme="minorEastAsia" w:hAnsi="Times New Roman" w:cs="Times New Roman"/>
          <w:iCs/>
          <w:sz w:val="24"/>
          <w:szCs w:val="24"/>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5"/>
        <w:gridCol w:w="1526"/>
        <w:gridCol w:w="1750"/>
        <w:gridCol w:w="4323"/>
      </w:tblGrid>
      <w:tr w:rsidR="002C7806" w:rsidRPr="00D3536F" w14:paraId="09679F0A" w14:textId="77777777" w:rsidTr="00034A14">
        <w:tc>
          <w:tcPr>
            <w:tcW w:w="9054" w:type="dxa"/>
            <w:gridSpan w:val="4"/>
            <w:tcBorders>
              <w:bottom w:val="single" w:sz="4" w:space="0" w:color="auto"/>
            </w:tcBorders>
          </w:tcPr>
          <w:p w14:paraId="1C411FA4" w14:textId="009FABDD" w:rsidR="002C7806" w:rsidRPr="00D3536F" w:rsidRDefault="002C7806" w:rsidP="00D3536F">
            <w:pPr>
              <w:spacing w:line="480" w:lineRule="auto"/>
              <w:jc w:val="both"/>
              <w:rPr>
                <w:rFonts w:ascii="Times New Roman" w:eastAsiaTheme="minorEastAsia" w:hAnsi="Times New Roman" w:cs="Times New Roman"/>
                <w:sz w:val="24"/>
                <w:szCs w:val="24"/>
                <w:lang w:val="en-US"/>
              </w:rPr>
            </w:pPr>
            <w:r w:rsidRPr="00D3536F">
              <w:rPr>
                <w:rFonts w:ascii="Times New Roman" w:eastAsiaTheme="minorEastAsia" w:hAnsi="Times New Roman" w:cs="Times New Roman"/>
                <w:b/>
                <w:bCs/>
                <w:sz w:val="24"/>
                <w:szCs w:val="24"/>
                <w:lang w:val="en-US"/>
              </w:rPr>
              <w:t>Table S2.</w:t>
            </w:r>
            <w:r w:rsidRPr="00D3536F">
              <w:rPr>
                <w:rFonts w:ascii="Times New Roman" w:eastAsiaTheme="minorEastAsia" w:hAnsi="Times New Roman" w:cs="Times New Roman"/>
                <w:sz w:val="24"/>
                <w:szCs w:val="24"/>
                <w:lang w:val="en-US"/>
              </w:rPr>
              <w:t xml:space="preserve"> Parameters for the model. Fitted parameters were inferred based on the function </w:t>
            </w:r>
            <w:r w:rsidRPr="00D3536F">
              <w:rPr>
                <w:rFonts w:ascii="Times New Roman" w:eastAsiaTheme="minorEastAsia" w:hAnsi="Times New Roman" w:cs="Times New Roman"/>
                <w:i/>
                <w:iCs/>
                <w:sz w:val="24"/>
                <w:szCs w:val="24"/>
                <w:lang w:val="en-US"/>
              </w:rPr>
              <w:t xml:space="preserve">NonlinearModelFit </w:t>
            </w:r>
            <w:r w:rsidRPr="00D3536F">
              <w:rPr>
                <w:rFonts w:ascii="Times New Roman" w:eastAsiaTheme="minorEastAsia" w:hAnsi="Times New Roman" w:cs="Times New Roman"/>
                <w:sz w:val="24"/>
                <w:szCs w:val="24"/>
                <w:lang w:val="en-US"/>
              </w:rPr>
              <w:t xml:space="preserve">in the </w:t>
            </w:r>
            <w:r w:rsidRPr="00D3536F">
              <w:rPr>
                <w:rFonts w:ascii="Times New Roman" w:eastAsiaTheme="minorEastAsia" w:hAnsi="Times New Roman" w:cs="Times New Roman"/>
                <w:iCs/>
                <w:sz w:val="24"/>
                <w:szCs w:val="24"/>
                <w:lang w:val="en-US"/>
              </w:rPr>
              <w:t xml:space="preserve">Wolfram Mathematica (version 12.0) </w:t>
            </w:r>
            <w:r w:rsidRPr="00D3536F">
              <w:rPr>
                <w:rFonts w:ascii="Times New Roman" w:eastAsiaTheme="minorEastAsia" w:hAnsi="Times New Roman" w:cs="Times New Roman"/>
                <w:sz w:val="24"/>
                <w:szCs w:val="24"/>
                <w:lang w:val="en-US"/>
              </w:rPr>
              <w:t>programming language.</w:t>
            </w:r>
            <w:r w:rsidR="00C6532A" w:rsidRPr="00D3536F">
              <w:rPr>
                <w:rFonts w:ascii="Times New Roman" w:eastAsiaTheme="minorEastAsia" w:hAnsi="Times New Roman" w:cs="Times New Roman"/>
                <w:sz w:val="24"/>
                <w:szCs w:val="24"/>
                <w:lang w:val="en-US"/>
              </w:rPr>
              <w:t xml:space="preserve"> </w:t>
            </w:r>
            <w:r w:rsidRPr="00D3536F">
              <w:rPr>
                <w:rFonts w:ascii="Times New Roman" w:eastAsiaTheme="minorEastAsia" w:hAnsi="Times New Roman" w:cs="Times New Roman"/>
                <w:sz w:val="24"/>
                <w:szCs w:val="24"/>
                <w:lang w:val="en-US"/>
              </w:rPr>
              <w:t xml:space="preserve">*Note that the PC and ionotropic currents are in </w:t>
            </w:r>
            <m:oMath>
              <m:r>
                <w:rPr>
                  <w:rFonts w:ascii="Cambria Math" w:eastAsiaTheme="minorEastAsia" w:hAnsi="Cambria Math" w:cs="Times New Roman"/>
                  <w:sz w:val="24"/>
                  <w:szCs w:val="24"/>
                  <w:lang w:val="en-US"/>
                </w:rPr>
                <m:t>ms</m:t>
              </m:r>
            </m:oMath>
            <w:r w:rsidR="00C6532A" w:rsidRPr="00D3536F">
              <w:rPr>
                <w:rFonts w:ascii="Times New Roman" w:eastAsiaTheme="minorEastAsia" w:hAnsi="Times New Roman" w:cs="Times New Roman"/>
                <w:sz w:val="24"/>
                <w:szCs w:val="24"/>
                <w:lang w:val="en-US"/>
              </w:rPr>
              <w:t xml:space="preserve"> </w:t>
            </w:r>
            <w:r w:rsidRPr="00D3536F">
              <w:rPr>
                <w:rFonts w:ascii="Times New Roman" w:eastAsiaTheme="minorEastAsia" w:hAnsi="Times New Roman" w:cs="Times New Roman"/>
                <w:sz w:val="24"/>
                <w:szCs w:val="24"/>
                <w:lang w:val="en-US"/>
              </w:rPr>
              <w:t xml:space="preserve">and metabotropic currents in </w:t>
            </w:r>
            <m:oMath>
              <m:r>
                <w:rPr>
                  <w:rFonts w:ascii="Cambria Math" w:eastAsiaTheme="minorEastAsia" w:hAnsi="Cambria Math" w:cs="Times New Roman"/>
                  <w:sz w:val="24"/>
                  <w:szCs w:val="24"/>
                  <w:lang w:val="en-US"/>
                </w:rPr>
                <m:t>s</m:t>
              </m:r>
            </m:oMath>
            <w:r w:rsidRPr="00D3536F">
              <w:rPr>
                <w:rFonts w:ascii="Times New Roman" w:eastAsiaTheme="minorEastAsia" w:hAnsi="Times New Roman" w:cs="Times New Roman"/>
                <w:sz w:val="24"/>
                <w:szCs w:val="24"/>
                <w:lang w:val="en-US"/>
              </w:rPr>
              <w:t>, so the system is in the second’s scale; and to gain proper understanding of the neural activity, the parameters marker by * were multiple by a factor of (1</w:t>
            </w:r>
            <w:r w:rsidR="00C6532A" w:rsidRPr="00D3536F">
              <w:rPr>
                <w:rFonts w:ascii="Times New Roman" w:eastAsiaTheme="minorEastAsia" w:hAnsi="Times New Roman" w:cs="Times New Roman"/>
                <w:sz w:val="24"/>
                <w:szCs w:val="24"/>
                <w:lang w:val="en-US"/>
              </w:rPr>
              <w:t>s</w:t>
            </w:r>
            <w:r w:rsidRPr="00D3536F">
              <w:rPr>
                <w:rFonts w:ascii="Times New Roman" w:eastAsiaTheme="minorEastAsia" w:hAnsi="Times New Roman" w:cs="Times New Roman"/>
                <w:sz w:val="24"/>
                <w:szCs w:val="24"/>
                <w:lang w:val="en-US"/>
              </w:rPr>
              <w:t xml:space="preserve"> / 3600h) to perform simulations in seconds instead hours. Then, the figures presented in this work are in seconds, but are interpreted as hours.</w:t>
            </w:r>
          </w:p>
        </w:tc>
      </w:tr>
      <w:tr w:rsidR="00C01148" w:rsidRPr="00D3536F" w14:paraId="33D6C8A2" w14:textId="77777777" w:rsidTr="00034A14">
        <w:tc>
          <w:tcPr>
            <w:tcW w:w="1455" w:type="dxa"/>
            <w:tcBorders>
              <w:top w:val="single" w:sz="4" w:space="0" w:color="auto"/>
              <w:bottom w:val="single" w:sz="4" w:space="0" w:color="auto"/>
            </w:tcBorders>
            <w:vAlign w:val="center"/>
          </w:tcPr>
          <w:p w14:paraId="2339ABE7" w14:textId="77777777" w:rsidR="00C01148" w:rsidRPr="00D3536F" w:rsidRDefault="00C01148" w:rsidP="00D3536F">
            <w:pPr>
              <w:spacing w:line="480" w:lineRule="auto"/>
              <w:jc w:val="center"/>
              <w:rPr>
                <w:rFonts w:ascii="Times New Roman" w:eastAsiaTheme="minorEastAsia" w:hAnsi="Times New Roman" w:cs="Times New Roman"/>
                <w:b/>
                <w:bCs/>
                <w:iCs/>
                <w:sz w:val="24"/>
                <w:szCs w:val="24"/>
                <w:lang w:val="en-US"/>
              </w:rPr>
            </w:pPr>
            <w:r w:rsidRPr="00D3536F">
              <w:rPr>
                <w:rFonts w:ascii="Times New Roman" w:eastAsiaTheme="minorEastAsia" w:hAnsi="Times New Roman" w:cs="Times New Roman"/>
                <w:b/>
                <w:bCs/>
                <w:iCs/>
                <w:sz w:val="24"/>
                <w:szCs w:val="24"/>
                <w:lang w:val="en-US"/>
              </w:rPr>
              <w:t>Parameter</w:t>
            </w:r>
          </w:p>
        </w:tc>
        <w:tc>
          <w:tcPr>
            <w:tcW w:w="1526" w:type="dxa"/>
            <w:tcBorders>
              <w:top w:val="single" w:sz="4" w:space="0" w:color="auto"/>
              <w:bottom w:val="single" w:sz="4" w:space="0" w:color="auto"/>
            </w:tcBorders>
            <w:vAlign w:val="center"/>
          </w:tcPr>
          <w:p w14:paraId="7684776F" w14:textId="77777777" w:rsidR="00C01148" w:rsidRPr="00D3536F" w:rsidRDefault="00C01148" w:rsidP="00D3536F">
            <w:pPr>
              <w:spacing w:line="480" w:lineRule="auto"/>
              <w:jc w:val="center"/>
              <w:rPr>
                <w:rFonts w:ascii="Times New Roman" w:eastAsiaTheme="minorEastAsia" w:hAnsi="Times New Roman" w:cs="Times New Roman"/>
                <w:b/>
                <w:bCs/>
                <w:iCs/>
                <w:sz w:val="24"/>
                <w:szCs w:val="24"/>
                <w:lang w:val="en-US"/>
              </w:rPr>
            </w:pPr>
            <w:r w:rsidRPr="00D3536F">
              <w:rPr>
                <w:rFonts w:ascii="Times New Roman" w:eastAsiaTheme="minorEastAsia" w:hAnsi="Times New Roman" w:cs="Times New Roman"/>
                <w:b/>
                <w:bCs/>
                <w:iCs/>
                <w:sz w:val="24"/>
                <w:szCs w:val="24"/>
                <w:lang w:val="en-US"/>
              </w:rPr>
              <w:t>Value</w:t>
            </w:r>
          </w:p>
        </w:tc>
        <w:tc>
          <w:tcPr>
            <w:tcW w:w="1750" w:type="dxa"/>
            <w:tcBorders>
              <w:top w:val="single" w:sz="4" w:space="0" w:color="auto"/>
              <w:bottom w:val="single" w:sz="4" w:space="0" w:color="auto"/>
            </w:tcBorders>
            <w:vAlign w:val="center"/>
          </w:tcPr>
          <w:p w14:paraId="52E6D835" w14:textId="77777777" w:rsidR="00C01148" w:rsidRPr="00D3536F" w:rsidRDefault="00C01148" w:rsidP="00D3536F">
            <w:pPr>
              <w:spacing w:line="480" w:lineRule="auto"/>
              <w:jc w:val="center"/>
              <w:rPr>
                <w:rFonts w:ascii="Times New Roman" w:eastAsiaTheme="minorEastAsia" w:hAnsi="Times New Roman" w:cs="Times New Roman"/>
                <w:b/>
                <w:bCs/>
                <w:iCs/>
                <w:sz w:val="24"/>
                <w:szCs w:val="24"/>
                <w:lang w:val="en-US"/>
              </w:rPr>
            </w:pPr>
            <w:r w:rsidRPr="00D3536F">
              <w:rPr>
                <w:rFonts w:ascii="Times New Roman" w:eastAsiaTheme="minorEastAsia" w:hAnsi="Times New Roman" w:cs="Times New Roman"/>
                <w:b/>
                <w:bCs/>
                <w:iCs/>
                <w:sz w:val="24"/>
                <w:szCs w:val="24"/>
                <w:lang w:val="en-US"/>
              </w:rPr>
              <w:t>Units</w:t>
            </w:r>
          </w:p>
        </w:tc>
        <w:tc>
          <w:tcPr>
            <w:tcW w:w="4323" w:type="dxa"/>
            <w:tcBorders>
              <w:top w:val="single" w:sz="4" w:space="0" w:color="auto"/>
              <w:bottom w:val="single" w:sz="4" w:space="0" w:color="auto"/>
            </w:tcBorders>
            <w:vAlign w:val="center"/>
          </w:tcPr>
          <w:p w14:paraId="7D013EE5" w14:textId="77777777" w:rsidR="00C01148" w:rsidRPr="00D3536F" w:rsidRDefault="00C01148" w:rsidP="00D3536F">
            <w:pPr>
              <w:spacing w:line="480" w:lineRule="auto"/>
              <w:jc w:val="center"/>
              <w:rPr>
                <w:rFonts w:ascii="Times New Roman" w:eastAsiaTheme="minorEastAsia" w:hAnsi="Times New Roman" w:cs="Times New Roman"/>
                <w:b/>
                <w:bCs/>
                <w:iCs/>
                <w:sz w:val="24"/>
                <w:szCs w:val="24"/>
                <w:lang w:val="en-US"/>
              </w:rPr>
            </w:pPr>
            <w:r w:rsidRPr="00D3536F">
              <w:rPr>
                <w:rFonts w:ascii="Times New Roman" w:eastAsiaTheme="minorEastAsia" w:hAnsi="Times New Roman" w:cs="Times New Roman"/>
                <w:b/>
                <w:bCs/>
                <w:iCs/>
                <w:sz w:val="24"/>
                <w:szCs w:val="24"/>
                <w:lang w:val="en-US"/>
              </w:rPr>
              <w:t>Reference</w:t>
            </w:r>
          </w:p>
        </w:tc>
      </w:tr>
      <w:tr w:rsidR="00C01148" w:rsidRPr="00D3536F" w14:paraId="03A89B8D" w14:textId="77777777" w:rsidTr="00034A14">
        <w:trPr>
          <w:trHeight w:val="328"/>
        </w:trPr>
        <w:tc>
          <w:tcPr>
            <w:tcW w:w="1455" w:type="dxa"/>
            <w:tcBorders>
              <w:top w:val="single" w:sz="4" w:space="0" w:color="auto"/>
            </w:tcBorders>
          </w:tcPr>
          <w:p w14:paraId="51DBC8FD"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i/>
                        <w:iCs/>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i</m:t>
                    </m:r>
                  </m:sub>
                </m:sSub>
              </m:oMath>
            </m:oMathPara>
          </w:p>
        </w:tc>
        <w:tc>
          <w:tcPr>
            <w:tcW w:w="1526" w:type="dxa"/>
            <w:tcBorders>
              <w:top w:val="single" w:sz="4" w:space="0" w:color="auto"/>
            </w:tcBorders>
          </w:tcPr>
          <w:p w14:paraId="77BA7F74"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1</w:t>
            </w:r>
          </w:p>
        </w:tc>
        <w:tc>
          <w:tcPr>
            <w:tcW w:w="1750" w:type="dxa"/>
            <w:tcBorders>
              <w:top w:val="single" w:sz="4" w:space="0" w:color="auto"/>
            </w:tcBorders>
          </w:tcPr>
          <w:p w14:paraId="48B87469"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µF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tcBorders>
              <w:top w:val="single" w:sz="4" w:space="0" w:color="auto"/>
            </w:tcBorders>
          </w:tcPr>
          <w:p w14:paraId="6756AFF1" w14:textId="539FB33C"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1A0710D0" w14:textId="77777777" w:rsidTr="00034A14">
        <w:tc>
          <w:tcPr>
            <w:tcW w:w="1455" w:type="dxa"/>
            <w:vAlign w:val="center"/>
          </w:tcPr>
          <w:p w14:paraId="76643262"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sz w:val="24"/>
                        <w:szCs w:val="24"/>
                        <w:lang w:val="en-US"/>
                      </w:rPr>
                    </m:ctrlPr>
                  </m:sSubPr>
                  <m:e>
                    <m:r>
                      <m:rPr>
                        <m:sty m:val="bi"/>
                      </m:rPr>
                      <w:rPr>
                        <w:rFonts w:ascii="Cambria Math" w:hAnsi="Cambria Math" w:cs="Times New Roman"/>
                        <w:sz w:val="24"/>
                        <w:szCs w:val="24"/>
                        <w:lang w:val="en-US"/>
                      </w:rPr>
                      <m:t>g</m:t>
                    </m:r>
                  </m:e>
                  <m:sub>
                    <m:sSub>
                      <m:sSubPr>
                        <m:ctrlPr>
                          <w:rPr>
                            <w:rFonts w:ascii="Cambria Math" w:hAnsi="Cambria Math" w:cs="Times New Roman"/>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i</m:t>
                        </m:r>
                      </m:sub>
                    </m:sSub>
                  </m:sub>
                </m:sSub>
              </m:oMath>
            </m:oMathPara>
          </w:p>
        </w:tc>
        <w:tc>
          <w:tcPr>
            <w:tcW w:w="1526" w:type="dxa"/>
            <w:vAlign w:val="center"/>
          </w:tcPr>
          <w:p w14:paraId="7CEDC259"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0.1</w:t>
            </w:r>
          </w:p>
        </w:tc>
        <w:tc>
          <w:tcPr>
            <w:tcW w:w="1750" w:type="dxa"/>
            <w:vAlign w:val="center"/>
          </w:tcPr>
          <w:p w14:paraId="4845CE23"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3901EDA8" w14:textId="7B6991DE"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21A3B243" w14:textId="77777777" w:rsidTr="00034A14">
        <w:tc>
          <w:tcPr>
            <w:tcW w:w="1455" w:type="dxa"/>
            <w:vAlign w:val="center"/>
          </w:tcPr>
          <w:p w14:paraId="1C1CB9AE"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m:rPr>
                        <m:sty m:val="bi"/>
                      </m:rPr>
                      <w:rPr>
                        <w:rFonts w:ascii="Cambria Math" w:hAnsi="Cambria Math" w:cs="Times New Roman"/>
                        <w:sz w:val="24"/>
                        <w:szCs w:val="24"/>
                        <w:lang w:val="en-US"/>
                      </w:rPr>
                      <m:t>g</m:t>
                    </m:r>
                  </m:e>
                  <m:sub>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Na</m:t>
                        </m:r>
                      </m:e>
                      <m:sub>
                        <m:r>
                          <w:rPr>
                            <w:rFonts w:ascii="Cambria Math" w:hAnsi="Cambria Math" w:cs="Times New Roman"/>
                            <w:sz w:val="24"/>
                            <w:szCs w:val="24"/>
                            <w:lang w:val="en-US"/>
                          </w:rPr>
                          <m:t>i</m:t>
                        </m:r>
                      </m:sub>
                    </m:sSub>
                  </m:sub>
                </m:sSub>
              </m:oMath>
            </m:oMathPara>
          </w:p>
        </w:tc>
        <w:tc>
          <w:tcPr>
            <w:tcW w:w="1526" w:type="dxa"/>
            <w:vAlign w:val="center"/>
          </w:tcPr>
          <w:p w14:paraId="150C11F1"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3</w:t>
            </w:r>
          </w:p>
        </w:tc>
        <w:tc>
          <w:tcPr>
            <w:tcW w:w="1750" w:type="dxa"/>
            <w:vAlign w:val="center"/>
          </w:tcPr>
          <w:p w14:paraId="0B191A34"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5D0EF396" w14:textId="7D2F2479"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5AE72811" w14:textId="77777777" w:rsidTr="00034A14">
        <w:tc>
          <w:tcPr>
            <w:tcW w:w="1455" w:type="dxa"/>
            <w:vAlign w:val="center"/>
          </w:tcPr>
          <w:p w14:paraId="1FFA75FB"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m:rPr>
                        <m:sty m:val="bi"/>
                      </m:rPr>
                      <w:rPr>
                        <w:rFonts w:ascii="Cambria Math" w:hAnsi="Cambria Math" w:cs="Times New Roman"/>
                        <w:sz w:val="24"/>
                        <w:szCs w:val="24"/>
                        <w:lang w:val="en-US"/>
                      </w:rPr>
                      <m:t>g</m:t>
                    </m:r>
                  </m:e>
                  <m:sub>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i</m:t>
                        </m:r>
                      </m:sub>
                    </m:sSub>
                  </m:sub>
                </m:sSub>
              </m:oMath>
            </m:oMathPara>
          </w:p>
        </w:tc>
        <w:tc>
          <w:tcPr>
            <w:tcW w:w="1526" w:type="dxa"/>
            <w:vAlign w:val="center"/>
          </w:tcPr>
          <w:p w14:paraId="668CD627"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4</w:t>
            </w:r>
          </w:p>
        </w:tc>
        <w:tc>
          <w:tcPr>
            <w:tcW w:w="1750" w:type="dxa"/>
            <w:vAlign w:val="center"/>
          </w:tcPr>
          <w:p w14:paraId="44008A4F"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63C6C101" w14:textId="018F931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2A94E75D" w14:textId="77777777" w:rsidTr="00034A14">
        <w:tc>
          <w:tcPr>
            <w:tcW w:w="1455" w:type="dxa"/>
            <w:vAlign w:val="center"/>
          </w:tcPr>
          <w:p w14:paraId="70F8F2CF"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l</m:t>
                    </m:r>
                  </m:sub>
                </m:sSub>
              </m:oMath>
            </m:oMathPara>
          </w:p>
        </w:tc>
        <w:tc>
          <w:tcPr>
            <w:tcW w:w="1526" w:type="dxa"/>
            <w:vAlign w:val="center"/>
          </w:tcPr>
          <w:p w14:paraId="1987D8DA"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-60</w:t>
            </w:r>
          </w:p>
        </w:tc>
        <w:tc>
          <w:tcPr>
            <w:tcW w:w="1750" w:type="dxa"/>
            <w:vAlign w:val="center"/>
          </w:tcPr>
          <w:p w14:paraId="0B96DB2C"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3562CE66" w14:textId="7004D913"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533B64E7" w14:textId="77777777" w:rsidTr="00034A14">
        <w:tc>
          <w:tcPr>
            <w:tcW w:w="1455" w:type="dxa"/>
            <w:vAlign w:val="center"/>
          </w:tcPr>
          <w:p w14:paraId="2D7C9921"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m:rPr>
                        <m:sty m:val="p"/>
                      </m:rPr>
                      <w:rPr>
                        <w:rFonts w:ascii="Cambria Math" w:hAnsi="Cambria Math" w:cs="Times New Roman"/>
                        <w:sz w:val="24"/>
                        <w:szCs w:val="24"/>
                        <w:lang w:val="en-US"/>
                      </w:rPr>
                      <m:t>Na</m:t>
                    </m:r>
                  </m:sub>
                </m:sSub>
              </m:oMath>
            </m:oMathPara>
          </w:p>
        </w:tc>
        <w:tc>
          <w:tcPr>
            <w:tcW w:w="1526" w:type="dxa"/>
            <w:vAlign w:val="center"/>
          </w:tcPr>
          <w:p w14:paraId="200B3F43"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50</w:t>
            </w:r>
          </w:p>
        </w:tc>
        <w:tc>
          <w:tcPr>
            <w:tcW w:w="1750" w:type="dxa"/>
            <w:vAlign w:val="center"/>
          </w:tcPr>
          <w:p w14:paraId="6A86B0A0"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4C32C84F" w14:textId="0BBD6D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62076453" w14:textId="77777777" w:rsidTr="00034A14">
        <w:tc>
          <w:tcPr>
            <w:tcW w:w="1455" w:type="dxa"/>
            <w:vAlign w:val="center"/>
          </w:tcPr>
          <w:p w14:paraId="289AC278"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K</m:t>
                    </m:r>
                  </m:sub>
                </m:sSub>
              </m:oMath>
            </m:oMathPara>
          </w:p>
        </w:tc>
        <w:tc>
          <w:tcPr>
            <w:tcW w:w="1526" w:type="dxa"/>
            <w:vAlign w:val="center"/>
          </w:tcPr>
          <w:p w14:paraId="5423332F"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-90</w:t>
            </w:r>
          </w:p>
        </w:tc>
        <w:tc>
          <w:tcPr>
            <w:tcW w:w="1750" w:type="dxa"/>
            <w:vAlign w:val="center"/>
          </w:tcPr>
          <w:p w14:paraId="656F77C0"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0051ED40" w14:textId="76E5523C"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4A4A1E62" w14:textId="77777777" w:rsidTr="00034A14">
        <w:tc>
          <w:tcPr>
            <w:tcW w:w="1455" w:type="dxa"/>
            <w:vAlign w:val="center"/>
          </w:tcPr>
          <w:p w14:paraId="50A0A735" w14:textId="77777777" w:rsidR="00C01148" w:rsidRPr="00D3536F" w:rsidRDefault="00000000" w:rsidP="00D3536F">
            <w:pPr>
              <w:spacing w:line="480" w:lineRule="auto"/>
              <w:jc w:val="center"/>
              <w:rPr>
                <w:rFonts w:ascii="Times New Roman" w:eastAsiaTheme="minorEastAsia" w:hAnsi="Times New Roman" w:cs="Times New Roman"/>
                <w:iCs/>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K</m:t>
                    </m:r>
                  </m:sub>
                </m:sSub>
              </m:oMath>
            </m:oMathPara>
          </w:p>
        </w:tc>
        <w:tc>
          <w:tcPr>
            <w:tcW w:w="1526" w:type="dxa"/>
            <w:vAlign w:val="center"/>
          </w:tcPr>
          <w:p w14:paraId="3E3B896D"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2</w:t>
            </w:r>
          </w:p>
        </w:tc>
        <w:tc>
          <w:tcPr>
            <w:tcW w:w="1750" w:type="dxa"/>
            <w:vAlign w:val="center"/>
          </w:tcPr>
          <w:p w14:paraId="0D13E707"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4F92B582" w14:textId="18DC95E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410EC13B" w14:textId="77777777" w:rsidTr="00034A14">
        <w:tc>
          <w:tcPr>
            <w:tcW w:w="1455" w:type="dxa"/>
            <w:vAlign w:val="center"/>
          </w:tcPr>
          <w:p w14:paraId="187C6D7F"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S</m:t>
                    </m:r>
                  </m:e>
                  <m:sub>
                    <m:r>
                      <m:rPr>
                        <m:sty m:val="p"/>
                      </m:rPr>
                      <w:rPr>
                        <w:rFonts w:ascii="Cambria Math" w:hAnsi="Cambria Math" w:cs="Times New Roman"/>
                        <w:sz w:val="24"/>
                        <w:szCs w:val="24"/>
                        <w:lang w:val="en-US"/>
                      </w:rPr>
                      <m:t>Na</m:t>
                    </m:r>
                  </m:sub>
                </m:sSub>
              </m:oMath>
            </m:oMathPara>
          </w:p>
        </w:tc>
        <w:tc>
          <w:tcPr>
            <w:tcW w:w="1526" w:type="dxa"/>
            <w:vAlign w:val="center"/>
          </w:tcPr>
          <w:p w14:paraId="78815715"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0.25</w:t>
            </w:r>
          </w:p>
        </w:tc>
        <w:tc>
          <w:tcPr>
            <w:tcW w:w="1750" w:type="dxa"/>
            <w:vAlign w:val="center"/>
          </w:tcPr>
          <w:p w14:paraId="14F6B87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imes New Roman" w:hAnsi="Cambria Math" w:cs="Times New Roman"/>
                        <w:i/>
                        <w:iCs/>
                        <w:sz w:val="24"/>
                        <w:szCs w:val="24"/>
                        <w:lang w:val="en-US"/>
                      </w:rPr>
                    </m:ctrlPr>
                  </m:sSupPr>
                  <m:e>
                    <m:r>
                      <w:rPr>
                        <w:rFonts w:ascii="Cambria Math" w:eastAsiaTheme="minorEastAsia" w:hAnsi="Cambria Math" w:cs="Times New Roman"/>
                        <w:sz w:val="24"/>
                        <w:szCs w:val="24"/>
                        <w:lang w:val="en-US"/>
                      </w:rPr>
                      <m:t>mV</m:t>
                    </m:r>
                  </m:e>
                  <m:sup>
                    <m:r>
                      <w:rPr>
                        <w:rFonts w:ascii="Cambria Math" w:eastAsia="Times New Roman" w:hAnsi="Cambria Math" w:cs="Times New Roman"/>
                        <w:sz w:val="24"/>
                        <w:szCs w:val="24"/>
                        <w:lang w:val="en-US"/>
                      </w:rPr>
                      <m:t>-1</m:t>
                    </m:r>
                  </m:sup>
                </m:sSup>
              </m:oMath>
            </m:oMathPara>
          </w:p>
        </w:tc>
        <w:tc>
          <w:tcPr>
            <w:tcW w:w="4323" w:type="dxa"/>
            <w:vAlign w:val="center"/>
          </w:tcPr>
          <w:p w14:paraId="580E8B9C" w14:textId="70C0EE55"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6368D2CB" w14:textId="77777777" w:rsidTr="00034A14">
        <w:tc>
          <w:tcPr>
            <w:tcW w:w="1455" w:type="dxa"/>
            <w:vAlign w:val="center"/>
          </w:tcPr>
          <w:p w14:paraId="6E17BAF0"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S</m:t>
                    </m:r>
                  </m:e>
                  <m:sub>
                    <m:r>
                      <m:rPr>
                        <m:sty m:val="p"/>
                      </m:rPr>
                      <w:rPr>
                        <w:rFonts w:ascii="Cambria Math" w:hAnsi="Cambria Math" w:cs="Times New Roman"/>
                        <w:sz w:val="24"/>
                        <w:szCs w:val="24"/>
                        <w:lang w:val="en-US"/>
                      </w:rPr>
                      <m:t>Na</m:t>
                    </m:r>
                  </m:sub>
                </m:sSub>
              </m:oMath>
            </m:oMathPara>
          </w:p>
        </w:tc>
        <w:tc>
          <w:tcPr>
            <w:tcW w:w="1526" w:type="dxa"/>
            <w:vAlign w:val="center"/>
          </w:tcPr>
          <w:p w14:paraId="1F6B8678"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0.25</w:t>
            </w:r>
          </w:p>
        </w:tc>
        <w:tc>
          <w:tcPr>
            <w:tcW w:w="1750" w:type="dxa"/>
            <w:vAlign w:val="center"/>
          </w:tcPr>
          <w:p w14:paraId="7B12780A"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imes New Roman" w:hAnsi="Cambria Math" w:cs="Times New Roman"/>
                        <w:i/>
                        <w:iCs/>
                        <w:sz w:val="24"/>
                        <w:szCs w:val="24"/>
                        <w:lang w:val="en-US"/>
                      </w:rPr>
                    </m:ctrlPr>
                  </m:sSupPr>
                  <m:e>
                    <m:r>
                      <w:rPr>
                        <w:rFonts w:ascii="Cambria Math" w:eastAsiaTheme="minorEastAsia" w:hAnsi="Cambria Math" w:cs="Times New Roman"/>
                        <w:sz w:val="24"/>
                        <w:szCs w:val="24"/>
                        <w:lang w:val="en-US"/>
                      </w:rPr>
                      <m:t>mV</m:t>
                    </m:r>
                  </m:e>
                  <m:sup>
                    <m:r>
                      <w:rPr>
                        <w:rFonts w:ascii="Cambria Math" w:eastAsia="Times New Roman" w:hAnsi="Cambria Math" w:cs="Times New Roman"/>
                        <w:sz w:val="24"/>
                        <w:szCs w:val="24"/>
                        <w:lang w:val="en-US"/>
                      </w:rPr>
                      <m:t>-1</m:t>
                    </m:r>
                  </m:sup>
                </m:sSup>
              </m:oMath>
            </m:oMathPara>
          </w:p>
        </w:tc>
        <w:tc>
          <w:tcPr>
            <w:tcW w:w="4323" w:type="dxa"/>
            <w:vAlign w:val="center"/>
          </w:tcPr>
          <w:p w14:paraId="0E941EA8" w14:textId="2110752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27021017" w14:textId="77777777" w:rsidTr="00034A14">
        <w:tc>
          <w:tcPr>
            <w:tcW w:w="1455" w:type="dxa"/>
            <w:vAlign w:val="center"/>
          </w:tcPr>
          <w:p w14:paraId="476BA5B0"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0</m:t>
                    </m:r>
                    <m:r>
                      <m:rPr>
                        <m:sty m:val="p"/>
                      </m:rPr>
                      <w:rPr>
                        <w:rFonts w:ascii="Cambria Math" w:hAnsi="Cambria Math" w:cs="Times New Roman"/>
                        <w:sz w:val="24"/>
                        <w:szCs w:val="24"/>
                        <w:lang w:val="en-US"/>
                      </w:rPr>
                      <m:t>Na</m:t>
                    </m:r>
                  </m:sub>
                </m:sSub>
              </m:oMath>
            </m:oMathPara>
          </w:p>
        </w:tc>
        <w:tc>
          <w:tcPr>
            <w:tcW w:w="1526" w:type="dxa"/>
            <w:vAlign w:val="center"/>
          </w:tcPr>
          <w:p w14:paraId="07C03904"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-25</w:t>
            </w:r>
          </w:p>
        </w:tc>
        <w:tc>
          <w:tcPr>
            <w:tcW w:w="1750" w:type="dxa"/>
            <w:vAlign w:val="center"/>
          </w:tcPr>
          <w:p w14:paraId="74580D6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7106A558" w14:textId="2412EA66"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4E291B4F" w14:textId="77777777" w:rsidTr="00034A14">
        <w:tc>
          <w:tcPr>
            <w:tcW w:w="1455" w:type="dxa"/>
            <w:vAlign w:val="center"/>
          </w:tcPr>
          <w:p w14:paraId="15300438"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0K</m:t>
                    </m:r>
                  </m:sub>
                </m:sSub>
              </m:oMath>
            </m:oMathPara>
          </w:p>
        </w:tc>
        <w:tc>
          <w:tcPr>
            <w:tcW w:w="1526" w:type="dxa"/>
            <w:vAlign w:val="center"/>
          </w:tcPr>
          <w:p w14:paraId="6E1EA538"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-25</w:t>
            </w:r>
          </w:p>
        </w:tc>
        <w:tc>
          <w:tcPr>
            <w:tcW w:w="1750" w:type="dxa"/>
            <w:vAlign w:val="center"/>
          </w:tcPr>
          <w:p w14:paraId="28B53D1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4BF697C4" w14:textId="5BF334B0"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3D57D0FC" w14:textId="77777777" w:rsidTr="00034A14">
        <w:tc>
          <w:tcPr>
            <w:tcW w:w="1455" w:type="dxa"/>
            <w:vAlign w:val="center"/>
          </w:tcPr>
          <w:p w14:paraId="1A098F20"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m:rPr>
                        <m:sty m:val="bi"/>
                      </m:rPr>
                      <w:rPr>
                        <w:rFonts w:ascii="Cambria Math" w:hAnsi="Cambria Math" w:cs="Times New Roman"/>
                        <w:sz w:val="24"/>
                        <w:szCs w:val="24"/>
                        <w:lang w:val="en-US"/>
                      </w:rPr>
                      <m:t>g</m:t>
                    </m:r>
                  </m:e>
                  <m:sub>
                    <m:r>
                      <w:rPr>
                        <w:rFonts w:ascii="Cambria Math" w:hAnsi="Cambria Math" w:cs="Times New Roman"/>
                        <w:sz w:val="24"/>
                        <w:szCs w:val="24"/>
                        <w:lang w:val="en-US"/>
                      </w:rPr>
                      <m:t>GLU</m:t>
                    </m:r>
                  </m:sub>
                </m:sSub>
              </m:oMath>
            </m:oMathPara>
          </w:p>
        </w:tc>
        <w:tc>
          <w:tcPr>
            <w:tcW w:w="1526" w:type="dxa"/>
            <w:vAlign w:val="center"/>
          </w:tcPr>
          <w:p w14:paraId="7BC487E7"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0.1</w:t>
            </w:r>
          </w:p>
        </w:tc>
        <w:tc>
          <w:tcPr>
            <w:tcW w:w="1750" w:type="dxa"/>
            <w:vAlign w:val="center"/>
          </w:tcPr>
          <w:p w14:paraId="3D9E9B7C"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08BFB38D" w14:textId="6F8CE07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5F2141E1" w14:textId="77777777" w:rsidTr="00034A14">
        <w:tc>
          <w:tcPr>
            <w:tcW w:w="1455" w:type="dxa"/>
            <w:vAlign w:val="center"/>
          </w:tcPr>
          <w:p w14:paraId="6CF92631"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m:rPr>
                        <m:sty m:val="bi"/>
                      </m:rPr>
                      <w:rPr>
                        <w:rFonts w:ascii="Cambria Math" w:hAnsi="Cambria Math" w:cs="Times New Roman"/>
                        <w:sz w:val="24"/>
                        <w:szCs w:val="24"/>
                        <w:lang w:val="en-US"/>
                      </w:rPr>
                      <m:t>g</m:t>
                    </m:r>
                  </m:e>
                  <m:sub>
                    <m:r>
                      <w:rPr>
                        <w:rFonts w:ascii="Cambria Math" w:hAnsi="Cambria Math" w:cs="Times New Roman"/>
                        <w:sz w:val="24"/>
                        <w:szCs w:val="24"/>
                        <w:lang w:val="en-US"/>
                      </w:rPr>
                      <m:t>GABA</m:t>
                    </m:r>
                  </m:sub>
                </m:sSub>
              </m:oMath>
            </m:oMathPara>
          </w:p>
        </w:tc>
        <w:tc>
          <w:tcPr>
            <w:tcW w:w="1526" w:type="dxa"/>
            <w:vAlign w:val="center"/>
          </w:tcPr>
          <w:p w14:paraId="2D3B0D0E"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0.1</w:t>
            </w:r>
          </w:p>
        </w:tc>
        <w:tc>
          <w:tcPr>
            <w:tcW w:w="1750" w:type="dxa"/>
            <w:vAlign w:val="center"/>
          </w:tcPr>
          <w:p w14:paraId="4D709140"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728122CF" w14:textId="673C8DE2" w:rsidR="00C01148" w:rsidRPr="00D3536F" w:rsidRDefault="004A58AD"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Present study</w:t>
            </w:r>
          </w:p>
        </w:tc>
      </w:tr>
      <w:tr w:rsidR="00C01148" w:rsidRPr="00D3536F" w14:paraId="0990C998" w14:textId="77777777" w:rsidTr="00034A14">
        <w:tc>
          <w:tcPr>
            <w:tcW w:w="1455" w:type="dxa"/>
            <w:vAlign w:val="center"/>
          </w:tcPr>
          <w:p w14:paraId="19E9371F"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E</m:t>
                    </m:r>
                  </m:e>
                  <m:sub>
                    <m:r>
                      <m:rPr>
                        <m:sty m:val="p"/>
                      </m:rPr>
                      <w:rPr>
                        <w:rFonts w:ascii="Cambria Math" w:hAnsi="Cambria Math" w:cs="Times New Roman"/>
                        <w:sz w:val="24"/>
                        <w:szCs w:val="24"/>
                        <w:lang w:val="en-US"/>
                      </w:rPr>
                      <m:t>GLU</m:t>
                    </m:r>
                  </m:sub>
                </m:sSub>
              </m:oMath>
            </m:oMathPara>
          </w:p>
        </w:tc>
        <w:tc>
          <w:tcPr>
            <w:tcW w:w="1526" w:type="dxa"/>
            <w:vAlign w:val="center"/>
          </w:tcPr>
          <w:p w14:paraId="22F466B2"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50</w:t>
            </w:r>
          </w:p>
        </w:tc>
        <w:tc>
          <w:tcPr>
            <w:tcW w:w="1750" w:type="dxa"/>
            <w:vAlign w:val="center"/>
          </w:tcPr>
          <w:p w14:paraId="15148A9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50167B9B" w14:textId="51F1017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23DF0124" w14:textId="77777777" w:rsidTr="00034A14">
        <w:tc>
          <w:tcPr>
            <w:tcW w:w="1455" w:type="dxa"/>
            <w:vAlign w:val="center"/>
          </w:tcPr>
          <w:p w14:paraId="12928F5C"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GABA</m:t>
                    </m:r>
                  </m:sub>
                </m:sSub>
              </m:oMath>
            </m:oMathPara>
          </w:p>
        </w:tc>
        <w:tc>
          <w:tcPr>
            <w:tcW w:w="1526" w:type="dxa"/>
            <w:vAlign w:val="center"/>
          </w:tcPr>
          <w:p w14:paraId="1B92664F"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-65</w:t>
            </w:r>
          </w:p>
        </w:tc>
        <w:tc>
          <w:tcPr>
            <w:tcW w:w="1750" w:type="dxa"/>
            <w:vAlign w:val="center"/>
          </w:tcPr>
          <w:p w14:paraId="5A6BACC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6FD04474" w14:textId="609C66F9" w:rsidR="00C01148" w:rsidRPr="00D3536F" w:rsidRDefault="004A58AD"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Present study</w:t>
            </w:r>
          </w:p>
        </w:tc>
      </w:tr>
      <w:tr w:rsidR="00C01148" w:rsidRPr="00D3536F" w14:paraId="66104DF3" w14:textId="77777777" w:rsidTr="00034A14">
        <w:tc>
          <w:tcPr>
            <w:tcW w:w="1455" w:type="dxa"/>
            <w:vAlign w:val="center"/>
          </w:tcPr>
          <w:p w14:paraId="3D3B843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GLU</m:t>
                    </m:r>
                  </m:sub>
                </m:sSub>
              </m:oMath>
            </m:oMathPara>
          </w:p>
        </w:tc>
        <w:tc>
          <w:tcPr>
            <w:tcW w:w="1526" w:type="dxa"/>
            <w:vAlign w:val="center"/>
          </w:tcPr>
          <w:p w14:paraId="2F4D00E9"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30</w:t>
            </w:r>
          </w:p>
        </w:tc>
        <w:tc>
          <w:tcPr>
            <w:tcW w:w="1750" w:type="dxa"/>
            <w:vAlign w:val="center"/>
          </w:tcPr>
          <w:p w14:paraId="3828C1F0"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0EA4DF1E" w14:textId="326962B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2BD59832" w14:textId="77777777" w:rsidTr="00034A14">
        <w:tc>
          <w:tcPr>
            <w:tcW w:w="1455" w:type="dxa"/>
            <w:vAlign w:val="center"/>
          </w:tcPr>
          <w:p w14:paraId="1A8B4B21"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GABA</m:t>
                    </m:r>
                  </m:sub>
                </m:sSub>
              </m:oMath>
            </m:oMathPara>
          </w:p>
        </w:tc>
        <w:tc>
          <w:tcPr>
            <w:tcW w:w="1526" w:type="dxa"/>
            <w:vAlign w:val="center"/>
          </w:tcPr>
          <w:p w14:paraId="6CCE0162"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30</w:t>
            </w:r>
          </w:p>
        </w:tc>
        <w:tc>
          <w:tcPr>
            <w:tcW w:w="1750" w:type="dxa"/>
            <w:vAlign w:val="center"/>
          </w:tcPr>
          <w:p w14:paraId="361808FC"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531D731A" w14:textId="5DB56A1A" w:rsidR="00C01148" w:rsidRPr="00D3536F" w:rsidRDefault="004A58AD"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Present study</w:t>
            </w:r>
          </w:p>
        </w:tc>
      </w:tr>
      <w:tr w:rsidR="00C01148" w:rsidRPr="00D3536F" w14:paraId="26C03919" w14:textId="77777777" w:rsidTr="00034A14">
        <w:tc>
          <w:tcPr>
            <w:tcW w:w="1455" w:type="dxa"/>
            <w:vAlign w:val="center"/>
          </w:tcPr>
          <w:p w14:paraId="3C3C7148"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S</m:t>
                    </m:r>
                  </m:e>
                  <m:sub>
                    <m:r>
                      <m:rPr>
                        <m:sty m:val="p"/>
                      </m:rPr>
                      <w:rPr>
                        <w:rFonts w:ascii="Cambria Math" w:hAnsi="Cambria Math" w:cs="Times New Roman"/>
                        <w:sz w:val="24"/>
                        <w:szCs w:val="24"/>
                        <w:lang w:val="en-US"/>
                      </w:rPr>
                      <m:t>syn</m:t>
                    </m:r>
                  </m:sub>
                </m:sSub>
              </m:oMath>
            </m:oMathPara>
          </w:p>
        </w:tc>
        <w:tc>
          <w:tcPr>
            <w:tcW w:w="1526" w:type="dxa"/>
            <w:vAlign w:val="center"/>
          </w:tcPr>
          <w:p w14:paraId="75D2BD0E"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1</w:t>
            </w:r>
          </w:p>
        </w:tc>
        <w:tc>
          <w:tcPr>
            <w:tcW w:w="1750" w:type="dxa"/>
            <w:vAlign w:val="center"/>
          </w:tcPr>
          <w:p w14:paraId="30ABC37D"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imes New Roman" w:hAnsi="Cambria Math" w:cs="Times New Roman"/>
                        <w:i/>
                        <w:iCs/>
                        <w:sz w:val="24"/>
                        <w:szCs w:val="24"/>
                        <w:lang w:val="en-US"/>
                      </w:rPr>
                    </m:ctrlPr>
                  </m:sSupPr>
                  <m:e>
                    <m:r>
                      <w:rPr>
                        <w:rFonts w:ascii="Cambria Math" w:eastAsiaTheme="minorEastAsia" w:hAnsi="Cambria Math" w:cs="Times New Roman"/>
                        <w:sz w:val="24"/>
                        <w:szCs w:val="24"/>
                        <w:lang w:val="en-US"/>
                      </w:rPr>
                      <m:t>mV</m:t>
                    </m:r>
                  </m:e>
                  <m:sup>
                    <m:r>
                      <w:rPr>
                        <w:rFonts w:ascii="Cambria Math" w:eastAsia="Times New Roman" w:hAnsi="Cambria Math" w:cs="Times New Roman"/>
                        <w:sz w:val="24"/>
                        <w:szCs w:val="24"/>
                        <w:lang w:val="en-US"/>
                      </w:rPr>
                      <m:t>-1</m:t>
                    </m:r>
                  </m:sup>
                </m:sSup>
              </m:oMath>
            </m:oMathPara>
          </w:p>
        </w:tc>
        <w:tc>
          <w:tcPr>
            <w:tcW w:w="4323" w:type="dxa"/>
            <w:vAlign w:val="center"/>
          </w:tcPr>
          <w:p w14:paraId="4877608F" w14:textId="4380C243"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040B828E" w14:textId="77777777" w:rsidTr="00034A14">
        <w:tc>
          <w:tcPr>
            <w:tcW w:w="1455" w:type="dxa"/>
            <w:vAlign w:val="center"/>
          </w:tcPr>
          <w:p w14:paraId="375B442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V</m:t>
                    </m:r>
                  </m:e>
                  <m:sub>
                    <m:r>
                      <m:rPr>
                        <m:sty m:val="p"/>
                      </m:rPr>
                      <w:rPr>
                        <w:rFonts w:ascii="Cambria Math" w:hAnsi="Cambria Math" w:cs="Times New Roman"/>
                        <w:sz w:val="24"/>
                        <w:szCs w:val="24"/>
                        <w:lang w:val="en-US"/>
                      </w:rPr>
                      <m:t>Spike</m:t>
                    </m:r>
                  </m:sub>
                </m:sSub>
              </m:oMath>
            </m:oMathPara>
          </w:p>
        </w:tc>
        <w:tc>
          <w:tcPr>
            <w:tcW w:w="1526" w:type="dxa"/>
            <w:vAlign w:val="center"/>
          </w:tcPr>
          <w:p w14:paraId="43537938"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-20</w:t>
            </w:r>
          </w:p>
        </w:tc>
        <w:tc>
          <w:tcPr>
            <w:tcW w:w="1750" w:type="dxa"/>
            <w:vAlign w:val="center"/>
          </w:tcPr>
          <w:p w14:paraId="745E316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5C9966D9" w14:textId="7156647D"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1D4A30EC" w14:textId="77777777" w:rsidTr="00034A14">
        <w:tc>
          <w:tcPr>
            <w:tcW w:w="1455" w:type="dxa"/>
            <w:vAlign w:val="center"/>
          </w:tcPr>
          <w:p w14:paraId="489C2E65"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
                        <w:sz w:val="24"/>
                        <w:szCs w:val="24"/>
                        <w:lang w:val="en-US"/>
                      </w:rPr>
                    </m:ctrlPr>
                  </m:sSubPr>
                  <m:e>
                    <m:r>
                      <m:rPr>
                        <m:sty m:val="bi"/>
                      </m:rPr>
                      <w:rPr>
                        <w:rFonts w:ascii="Cambria Math" w:hAnsi="Cambria Math" w:cs="Times New Roman"/>
                        <w:sz w:val="24"/>
                        <w:szCs w:val="24"/>
                        <w:lang w:val="en-US"/>
                      </w:rPr>
                      <m:t>g</m:t>
                    </m:r>
                  </m:e>
                  <m:sub>
                    <m:r>
                      <w:rPr>
                        <w:rFonts w:ascii="Cambria Math" w:hAnsi="Cambria Math" w:cs="Times New Roman"/>
                        <w:sz w:val="24"/>
                        <w:szCs w:val="24"/>
                        <w:lang w:val="en-US"/>
                      </w:rPr>
                      <m:t>OREXIN</m:t>
                    </m:r>
                  </m:sub>
                </m:sSub>
              </m:oMath>
            </m:oMathPara>
          </w:p>
        </w:tc>
        <w:tc>
          <w:tcPr>
            <w:tcW w:w="1526" w:type="dxa"/>
            <w:vAlign w:val="center"/>
          </w:tcPr>
          <w:p w14:paraId="2AACA3FF"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0.2</w:t>
            </w:r>
          </w:p>
        </w:tc>
        <w:tc>
          <w:tcPr>
            <w:tcW w:w="1750" w:type="dxa"/>
            <w:vAlign w:val="center"/>
          </w:tcPr>
          <w:p w14:paraId="3C1C362B"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2156E2DE" w14:textId="721265D5"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0E2BA72F" w14:textId="77777777" w:rsidTr="00034A14">
        <w:tc>
          <w:tcPr>
            <w:tcW w:w="1455" w:type="dxa"/>
            <w:vAlign w:val="center"/>
          </w:tcPr>
          <w:p w14:paraId="42439225"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E</m:t>
                    </m:r>
                  </m:e>
                  <m:sub>
                    <m:r>
                      <m:rPr>
                        <m:sty m:val="p"/>
                      </m:rPr>
                      <w:rPr>
                        <w:rFonts w:ascii="Cambria Math" w:hAnsi="Cambria Math" w:cs="Times New Roman"/>
                        <w:sz w:val="24"/>
                        <w:szCs w:val="24"/>
                        <w:lang w:val="en-US"/>
                      </w:rPr>
                      <m:t>OREXIN</m:t>
                    </m:r>
                  </m:sub>
                </m:sSub>
              </m:oMath>
            </m:oMathPara>
          </w:p>
        </w:tc>
        <w:tc>
          <w:tcPr>
            <w:tcW w:w="1526" w:type="dxa"/>
            <w:vAlign w:val="center"/>
          </w:tcPr>
          <w:p w14:paraId="354A6910"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50</w:t>
            </w:r>
          </w:p>
        </w:tc>
        <w:tc>
          <w:tcPr>
            <w:tcW w:w="1750" w:type="dxa"/>
            <w:vAlign w:val="center"/>
          </w:tcPr>
          <w:p w14:paraId="02AD5991"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4F51BF7B" w14:textId="2D45291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348B45C5" w14:textId="77777777" w:rsidTr="00034A14">
        <w:tc>
          <w:tcPr>
            <w:tcW w:w="1455" w:type="dxa"/>
            <w:vAlign w:val="center"/>
          </w:tcPr>
          <w:p w14:paraId="3BB963DB"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OREXIN</m:t>
                    </m:r>
                  </m:sub>
                </m:sSub>
              </m:oMath>
            </m:oMathPara>
          </w:p>
        </w:tc>
        <w:tc>
          <w:tcPr>
            <w:tcW w:w="1526" w:type="dxa"/>
            <w:vAlign w:val="center"/>
          </w:tcPr>
          <w:p w14:paraId="5238A1B9"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300</w:t>
            </w:r>
          </w:p>
        </w:tc>
        <w:tc>
          <w:tcPr>
            <w:tcW w:w="1750" w:type="dxa"/>
            <w:vAlign w:val="center"/>
          </w:tcPr>
          <w:p w14:paraId="61A115E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7BD1A3F1" w14:textId="67E0F2BD"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6781B9C2" w14:textId="77777777" w:rsidTr="00034A14">
        <w:tc>
          <w:tcPr>
            <w:tcW w:w="1455" w:type="dxa"/>
            <w:vAlign w:val="center"/>
          </w:tcPr>
          <w:p w14:paraId="5E005BB9"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r>
                      <m:rPr>
                        <m:sty m:val="p"/>
                      </m:rPr>
                      <w:rPr>
                        <w:rFonts w:ascii="Cambria Math" w:hAnsi="Cambria Math" w:cs="Times New Roman"/>
                        <w:sz w:val="24"/>
                        <w:szCs w:val="24"/>
                        <w:lang w:val="en-US"/>
                      </w:rPr>
                      <m:t>Increase</m:t>
                    </m:r>
                  </m:sub>
                </m:sSub>
              </m:oMath>
            </m:oMathPara>
          </w:p>
        </w:tc>
        <w:tc>
          <w:tcPr>
            <w:tcW w:w="1526" w:type="dxa"/>
            <w:vAlign w:val="center"/>
          </w:tcPr>
          <w:p w14:paraId="4ECBBB25" w14:textId="7777777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m:oMathPara>
              <m:oMath>
                <m:r>
                  <w:rPr>
                    <w:rFonts w:ascii="Cambria Math" w:eastAsiaTheme="minorEastAsia" w:hAnsi="Cambria Math" w:cs="Times New Roman"/>
                    <w:sz w:val="24"/>
                    <w:szCs w:val="24"/>
                    <w:lang w:val="en-US"/>
                  </w:rPr>
                  <m:t>27000</m:t>
                </m:r>
              </m:oMath>
            </m:oMathPara>
          </w:p>
        </w:tc>
        <w:tc>
          <w:tcPr>
            <w:tcW w:w="1750" w:type="dxa"/>
            <w:vAlign w:val="center"/>
          </w:tcPr>
          <w:p w14:paraId="78D76CB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s</m:t>
                </m:r>
              </m:oMath>
            </m:oMathPara>
          </w:p>
        </w:tc>
        <w:tc>
          <w:tcPr>
            <w:tcW w:w="4323" w:type="dxa"/>
            <w:vAlign w:val="center"/>
          </w:tcPr>
          <w:p w14:paraId="7B7235AA" w14:textId="4629C812"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5BC02F65" w14:textId="77777777" w:rsidTr="00034A14">
        <w:tc>
          <w:tcPr>
            <w:tcW w:w="1455" w:type="dxa"/>
            <w:vAlign w:val="center"/>
          </w:tcPr>
          <w:p w14:paraId="76C0432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r>
                      <m:rPr>
                        <m:sty m:val="p"/>
                      </m:rPr>
                      <w:rPr>
                        <w:rFonts w:ascii="Cambria Math" w:hAnsi="Cambria Math" w:cs="Times New Roman"/>
                        <w:sz w:val="24"/>
                        <w:szCs w:val="24"/>
                        <w:lang w:val="en-US"/>
                      </w:rPr>
                      <m:t>Decrese</m:t>
                    </m:r>
                  </m:sub>
                </m:sSub>
              </m:oMath>
            </m:oMathPara>
          </w:p>
        </w:tc>
        <w:tc>
          <w:tcPr>
            <w:tcW w:w="1526" w:type="dxa"/>
            <w:vAlign w:val="center"/>
          </w:tcPr>
          <w:p w14:paraId="48DE37A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920</m:t>
                </m:r>
              </m:oMath>
            </m:oMathPara>
          </w:p>
        </w:tc>
        <w:tc>
          <w:tcPr>
            <w:tcW w:w="1750" w:type="dxa"/>
            <w:vAlign w:val="center"/>
          </w:tcPr>
          <w:p w14:paraId="1009793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s</m:t>
                </m:r>
              </m:oMath>
            </m:oMathPara>
          </w:p>
        </w:tc>
        <w:tc>
          <w:tcPr>
            <w:tcW w:w="4323" w:type="dxa"/>
            <w:vAlign w:val="center"/>
          </w:tcPr>
          <w:p w14:paraId="567B8593" w14:textId="7C1D553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066C7BDA" w14:textId="77777777" w:rsidTr="00034A14">
        <w:tc>
          <w:tcPr>
            <w:tcW w:w="1455" w:type="dxa"/>
            <w:vAlign w:val="center"/>
          </w:tcPr>
          <w:p w14:paraId="76E70B1B"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M</m:t>
                    </m:r>
                  </m:e>
                  <m:sub>
                    <m:r>
                      <m:rPr>
                        <m:sty m:val="p"/>
                      </m:rPr>
                      <w:rPr>
                        <w:rFonts w:ascii="Cambria Math" w:hAnsi="Cambria Math" w:cs="Times New Roman"/>
                        <w:sz w:val="24"/>
                        <w:szCs w:val="24"/>
                        <w:lang w:val="en-US"/>
                      </w:rPr>
                      <m:t>Max</m:t>
                    </m:r>
                  </m:sub>
                </m:sSub>
              </m:oMath>
            </m:oMathPara>
          </w:p>
        </w:tc>
        <w:tc>
          <w:tcPr>
            <w:tcW w:w="1526" w:type="dxa"/>
            <w:vAlign w:val="center"/>
          </w:tcPr>
          <w:p w14:paraId="18A20DB6"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w:t>
            </w:r>
          </w:p>
        </w:tc>
        <w:tc>
          <w:tcPr>
            <w:tcW w:w="1750" w:type="dxa"/>
            <w:vAlign w:val="center"/>
          </w:tcPr>
          <w:p w14:paraId="1BF4BF2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17572D2B" w14:textId="29B57A6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{"citationItems":[{"id":"ITEM-1","itemData":{"DOI":"10.1177/0748730409346655","ISSN":"0748-7304","abstract":"We introduce a physiology-based mathematical model of sleep-wake cycles, suggesting a novel mechanism of homeostatic regulation of sleep. In this model, the homeostatic process is determined by the neuropeptide hypocretin/ orexin, which is a cotransmitter of the lateral hypothalamus. Hypocretin/ orexin neurons are silent during sleep and active during wakefulness. Firing of these neurons is sustained by reciprocal excitatory synaptic connections with local glutamate interneurons. This feedback loop has been simulated with a minimal but physiologically plausible model. It includes 2 simplified Hodgkin-Huxley type neurons that are connected via glutamate synapses, one of which additionally contains hypocretin/orexin as the functionally relevant cotransmitter. During the active state (wakefulness), the synaptic efficacy of hypocretin/orexin declines as a result of the ongoing firing. It recovers during the silent (sleep) state. We demonstrate that these homeostatic changes can account for typical alterations of sleep-wake transitions, for example, introduced by napping, sleep deprivation, or alarm clock. In combination with a circadian input, the model mimics the transitions between silent and firing states in agreement with sleep-wake cycles. These simulation results support the concept of state-dependent alterations of hypocretin/orexin effects as an important homeostatic process in sleep-wake regulation, although additional mechanisms can be involved.","author":[{"dropping-particle":"","family":"Postnova","given":"Svetlana","non-dropping-particle":"","parse-names":false,"suffix":""},{"dropping-particle":"","family":"Voigt","given":"Karlheinz","non-dropping-particle":"","parse-names":false,"suffix":""},{"dropping-particle":"","family":"Braun","given":"Hans Albert","non-dropping-particle":"","parse-names":false,"suffix":""}],"container-title":"Journal of Biological Rhythms","id":"ITEM-1","issue":"6","issued":{"date-parts":[["2009","12","19"]]},"page":"523-535","title":"A Mathematical Model of Homeostatic Regulation of Sleep-Wake Cycles by Hypocretin/Orexin","type":"article-journal","volume":"24"},"uris":["http://www.mendeley.com/documents/?uuid=5ba5247e-c2bf-48b7-9935-e78f4d04ff4d"]}],"mendeley":{"formattedCitation":"(Postnova et al., 2009)","plainTextFormattedCitation":"(Postnova et al., 2009)","previouslyFormattedCitation":"(Postnova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(Postnova et al., 2009)</w:t>
            </w:r>
            <w:r w:rsidRPr="00D3536F">
              <w:rPr>
                <w:rFonts w:ascii="Times New Roman" w:eastAsiaTheme="minorEastAsia" w:hAnsi="Times New Roman" w:cs="Times New Roman"/>
                <w:iCs/>
                <w:sz w:val="24"/>
                <w:szCs w:val="24"/>
                <w:lang w:val="en-US"/>
              </w:rPr>
              <w:fldChar w:fldCharType="end"/>
            </w:r>
          </w:p>
        </w:tc>
      </w:tr>
      <w:tr w:rsidR="00C01148" w:rsidRPr="00D3536F" w14:paraId="0E693709" w14:textId="77777777" w:rsidTr="00034A14">
        <w:tc>
          <w:tcPr>
            <w:tcW w:w="1455" w:type="dxa"/>
            <w:vAlign w:val="center"/>
          </w:tcPr>
          <w:p w14:paraId="0AD81AA3"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m:rPr>
                        <m:sty m:val="bi"/>
                      </m:rPr>
                      <w:rPr>
                        <w:rFonts w:ascii="Cambria Math" w:hAnsi="Cambria Math" w:cs="Times New Roman"/>
                        <w:sz w:val="24"/>
                        <w:szCs w:val="24"/>
                        <w:lang w:val="en-US"/>
                      </w:rPr>
                      <m:t>g</m:t>
                    </m:r>
                  </m:e>
                  <m:sub>
                    <m:r>
                      <m:rPr>
                        <m:sty m:val="p"/>
                      </m:rPr>
                      <w:rPr>
                        <w:rFonts w:ascii="Cambria Math" w:hAnsi="Cambria Math" w:cs="Times New Roman"/>
                        <w:sz w:val="24"/>
                        <w:szCs w:val="24"/>
                        <w:lang w:val="en-US"/>
                      </w:rPr>
                      <m:t>MC4R</m:t>
                    </m:r>
                  </m:sub>
                </m:sSub>
              </m:oMath>
            </m:oMathPara>
          </w:p>
        </w:tc>
        <w:tc>
          <w:tcPr>
            <w:tcW w:w="1526" w:type="dxa"/>
            <w:vAlign w:val="center"/>
          </w:tcPr>
          <w:p w14:paraId="1F829AC9"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0.1</w:t>
            </w:r>
          </w:p>
        </w:tc>
        <w:tc>
          <w:tcPr>
            <w:tcW w:w="1750" w:type="dxa"/>
            <w:vAlign w:val="center"/>
          </w:tcPr>
          <w:p w14:paraId="7078D40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666A1309" w14:textId="0DBDE1A4" w:rsidR="00C01148" w:rsidRPr="00D3536F" w:rsidRDefault="007F4C06"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5754FCB4" w14:textId="77777777" w:rsidTr="00034A14">
        <w:tc>
          <w:tcPr>
            <w:tcW w:w="1455" w:type="dxa"/>
            <w:vAlign w:val="center"/>
          </w:tcPr>
          <w:p w14:paraId="757103EC"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E</m:t>
                    </m:r>
                  </m:e>
                  <m:sub>
                    <m:r>
                      <m:rPr>
                        <m:sty m:val="p"/>
                      </m:rPr>
                      <w:rPr>
                        <w:rFonts w:ascii="Cambria Math" w:hAnsi="Cambria Math" w:cs="Times New Roman"/>
                        <w:sz w:val="24"/>
                        <w:szCs w:val="24"/>
                        <w:lang w:val="en-US"/>
                      </w:rPr>
                      <m:t>MC4R</m:t>
                    </m:r>
                  </m:sub>
                </m:sSub>
              </m:oMath>
            </m:oMathPara>
          </w:p>
        </w:tc>
        <w:tc>
          <w:tcPr>
            <w:tcW w:w="1526" w:type="dxa"/>
            <w:vAlign w:val="center"/>
          </w:tcPr>
          <w:p w14:paraId="0BB062A8"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-38</w:t>
            </w:r>
          </w:p>
        </w:tc>
        <w:tc>
          <w:tcPr>
            <w:tcW w:w="1750" w:type="dxa"/>
            <w:vAlign w:val="center"/>
          </w:tcPr>
          <w:p w14:paraId="08C58C7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1DAB7FDD" w14:textId="019FC505"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62E9DF81" w14:textId="77777777" w:rsidTr="00034A14">
        <w:tc>
          <w:tcPr>
            <w:tcW w:w="1455" w:type="dxa"/>
            <w:vAlign w:val="center"/>
          </w:tcPr>
          <w:p w14:paraId="726F60CD" w14:textId="3128C56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r>
                      <m:rPr>
                        <m:sty m:val="p"/>
                      </m:rPr>
                      <w:rPr>
                        <w:rFonts w:ascii="Cambria Math" w:hAnsi="Cambria Math" w:cs="Times New Roman"/>
                        <w:sz w:val="24"/>
                        <w:szCs w:val="24"/>
                        <w:lang w:val="en-US"/>
                      </w:rPr>
                      <m:t>act</m:t>
                    </m:r>
                  </m:sub>
                </m:sSub>
              </m:oMath>
            </m:oMathPara>
          </w:p>
        </w:tc>
        <w:tc>
          <w:tcPr>
            <w:tcW w:w="1526" w:type="dxa"/>
            <w:vAlign w:val="center"/>
          </w:tcPr>
          <w:p w14:paraId="35E1896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734.4</m:t>
                </m:r>
              </m:oMath>
            </m:oMathPara>
          </w:p>
        </w:tc>
        <w:tc>
          <w:tcPr>
            <w:tcW w:w="1750" w:type="dxa"/>
            <w:vAlign w:val="center"/>
          </w:tcPr>
          <w:p w14:paraId="286090FB"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s</m:t>
                </m:r>
              </m:oMath>
            </m:oMathPara>
          </w:p>
        </w:tc>
        <w:tc>
          <w:tcPr>
            <w:tcW w:w="4323" w:type="dxa"/>
            <w:vAlign w:val="center"/>
          </w:tcPr>
          <w:p w14:paraId="1BA6A3E2" w14:textId="7D1DD5DA"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11F10F23" w14:textId="77777777" w:rsidTr="00034A14">
        <w:tc>
          <w:tcPr>
            <w:tcW w:w="1455" w:type="dxa"/>
            <w:vAlign w:val="center"/>
          </w:tcPr>
          <w:p w14:paraId="41303FDD" w14:textId="4C17E3A2"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r>
                      <m:rPr>
                        <m:sty m:val="p"/>
                      </m:rPr>
                      <w:rPr>
                        <w:rFonts w:ascii="Cambria Math" w:hAnsi="Cambria Math" w:cs="Times New Roman"/>
                        <w:sz w:val="24"/>
                        <w:szCs w:val="24"/>
                        <w:lang w:val="en-US"/>
                      </w:rPr>
                      <m:t>inact</m:t>
                    </m:r>
                  </m:sub>
                </m:sSub>
              </m:oMath>
            </m:oMathPara>
          </w:p>
        </w:tc>
        <w:tc>
          <w:tcPr>
            <w:tcW w:w="1526" w:type="dxa"/>
            <w:vAlign w:val="center"/>
          </w:tcPr>
          <w:p w14:paraId="730EDF9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2030.4</m:t>
                </m:r>
              </m:oMath>
            </m:oMathPara>
          </w:p>
        </w:tc>
        <w:tc>
          <w:tcPr>
            <w:tcW w:w="1750" w:type="dxa"/>
            <w:vAlign w:val="center"/>
          </w:tcPr>
          <w:p w14:paraId="1CA5A48A"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s</m:t>
                </m:r>
              </m:oMath>
            </m:oMathPara>
          </w:p>
        </w:tc>
        <w:tc>
          <w:tcPr>
            <w:tcW w:w="4323" w:type="dxa"/>
            <w:vAlign w:val="center"/>
          </w:tcPr>
          <w:p w14:paraId="19A60A97" w14:textId="45B9A8FD"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0D54EFBB" w14:textId="77777777" w:rsidTr="00034A14">
        <w:tc>
          <w:tcPr>
            <w:tcW w:w="1455" w:type="dxa"/>
            <w:vAlign w:val="center"/>
          </w:tcPr>
          <w:p w14:paraId="67DE61B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T</m:t>
                    </m:r>
                  </m:e>
                  <m:sub>
                    <m:r>
                      <w:rPr>
                        <w:rFonts w:ascii="Cambria Math" w:hAnsi="Cambria Math" w:cs="Times New Roman"/>
                        <w:sz w:val="24"/>
                        <w:szCs w:val="24"/>
                        <w:lang w:val="en-US"/>
                      </w:rPr>
                      <m:t>A</m:t>
                    </m:r>
                  </m:sub>
                </m:sSub>
              </m:oMath>
            </m:oMathPara>
          </w:p>
        </w:tc>
        <w:tc>
          <w:tcPr>
            <w:tcW w:w="1526" w:type="dxa"/>
            <w:vAlign w:val="center"/>
          </w:tcPr>
          <w:p w14:paraId="5958A06C"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1.8×</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-8</m:t>
                    </m:r>
                  </m:sup>
                </m:sSup>
              </m:oMath>
            </m:oMathPara>
          </w:p>
        </w:tc>
        <w:tc>
          <w:tcPr>
            <w:tcW w:w="1750" w:type="dxa"/>
            <w:vAlign w:val="center"/>
          </w:tcPr>
          <w:p w14:paraId="380F2660"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3840143B" w14:textId="0506F469"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 xml:space="preserve">EC50 from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272717CF" w14:textId="77777777" w:rsidTr="00034A14">
        <w:tc>
          <w:tcPr>
            <w:tcW w:w="1455" w:type="dxa"/>
            <w:vAlign w:val="center"/>
          </w:tcPr>
          <w:p w14:paraId="0E7D99AD"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T</m:t>
                    </m:r>
                  </m:e>
                  <m:sub>
                    <m:r>
                      <w:rPr>
                        <w:rFonts w:ascii="Cambria Math" w:eastAsiaTheme="minorEastAsia" w:hAnsi="Cambria Math" w:cs="Times New Roman"/>
                        <w:sz w:val="24"/>
                        <w:szCs w:val="24"/>
                        <w:lang w:val="en-US"/>
                      </w:rPr>
                      <m:t>α</m:t>
                    </m:r>
                  </m:sub>
                </m:sSub>
              </m:oMath>
            </m:oMathPara>
          </w:p>
        </w:tc>
        <w:tc>
          <w:tcPr>
            <w:tcW w:w="1526" w:type="dxa"/>
            <w:vAlign w:val="center"/>
          </w:tcPr>
          <w:p w14:paraId="037D32E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8.9×</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-11</m:t>
                    </m:r>
                  </m:sup>
                </m:sSup>
              </m:oMath>
            </m:oMathPara>
          </w:p>
        </w:tc>
        <w:tc>
          <w:tcPr>
            <w:tcW w:w="1750" w:type="dxa"/>
            <w:vAlign w:val="center"/>
          </w:tcPr>
          <w:p w14:paraId="751786F6"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22A1758B" w14:textId="251BD6D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 xml:space="preserve">EC50 from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186BDF01" w14:textId="77777777" w:rsidTr="00034A14">
        <w:tc>
          <w:tcPr>
            <w:tcW w:w="1455" w:type="dxa"/>
            <w:vAlign w:val="center"/>
          </w:tcPr>
          <w:p w14:paraId="21C93086"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sz w:val="24"/>
                        <w:szCs w:val="24"/>
                        <w:lang w:val="en-US"/>
                      </w:rPr>
                    </m:ctrlPr>
                  </m:sSubPr>
                  <m:e>
                    <m:r>
                      <w:rPr>
                        <w:rFonts w:ascii="Cambria Math" w:eastAsiaTheme="minorEastAsia" w:hAnsi="Cambria Math" w:cs="Times New Roman"/>
                        <w:sz w:val="24"/>
                        <w:szCs w:val="24"/>
                        <w:lang w:val="en-US"/>
                      </w:rPr>
                      <m:t>Z</m:t>
                    </m:r>
                  </m:e>
                  <m:sub>
                    <m:r>
                      <w:rPr>
                        <w:rFonts w:ascii="Cambria Math" w:eastAsiaTheme="minorEastAsia" w:hAnsi="Cambria Math" w:cs="Times New Roman"/>
                        <w:sz w:val="24"/>
                        <w:szCs w:val="24"/>
                        <w:lang w:val="en-US"/>
                      </w:rPr>
                      <m:t>A</m:t>
                    </m:r>
                  </m:sub>
                </m:sSub>
              </m:oMath>
            </m:oMathPara>
          </w:p>
        </w:tc>
        <w:tc>
          <w:tcPr>
            <w:tcW w:w="1526" w:type="dxa"/>
            <w:vAlign w:val="center"/>
          </w:tcPr>
          <w:p w14:paraId="3E5753BB"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2.0×</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-9</m:t>
                    </m:r>
                  </m:sup>
                </m:sSup>
              </m:oMath>
            </m:oMathPara>
          </w:p>
        </w:tc>
        <w:tc>
          <w:tcPr>
            <w:tcW w:w="1750" w:type="dxa"/>
            <w:vAlign w:val="center"/>
          </w:tcPr>
          <w:p w14:paraId="3733F89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5FD5640B" w14:textId="5D5E7274"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 xml:space="preserve">EC50 from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7A45FEF6" w14:textId="77777777" w:rsidTr="00034A14">
        <w:tc>
          <w:tcPr>
            <w:tcW w:w="1455" w:type="dxa"/>
            <w:vAlign w:val="center"/>
          </w:tcPr>
          <w:p w14:paraId="7D56D724"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sz w:val="24"/>
                        <w:szCs w:val="24"/>
                        <w:lang w:val="en-US"/>
                      </w:rPr>
                    </m:ctrlPr>
                  </m:sSubPr>
                  <m:e>
                    <m:r>
                      <w:rPr>
                        <w:rFonts w:ascii="Cambria Math" w:eastAsiaTheme="minorEastAsia" w:hAnsi="Cambria Math" w:cs="Times New Roman"/>
                        <w:sz w:val="24"/>
                        <w:szCs w:val="24"/>
                        <w:lang w:val="en-US"/>
                      </w:rPr>
                      <m:t>Z</m:t>
                    </m:r>
                  </m:e>
                  <m:sub>
                    <m:r>
                      <w:rPr>
                        <w:rFonts w:ascii="Cambria Math" w:eastAsiaTheme="minorEastAsia" w:hAnsi="Cambria Math" w:cs="Times New Roman"/>
                        <w:sz w:val="24"/>
                        <w:szCs w:val="24"/>
                        <w:lang w:val="en-US"/>
                      </w:rPr>
                      <m:t>α</m:t>
                    </m:r>
                  </m:sub>
                </m:sSub>
              </m:oMath>
            </m:oMathPara>
          </w:p>
        </w:tc>
        <w:tc>
          <w:tcPr>
            <w:tcW w:w="1526" w:type="dxa"/>
            <w:vAlign w:val="center"/>
          </w:tcPr>
          <w:p w14:paraId="07887F9C"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8.0×</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-10</m:t>
                    </m:r>
                  </m:sup>
                </m:sSup>
              </m:oMath>
            </m:oMathPara>
          </w:p>
        </w:tc>
        <w:tc>
          <w:tcPr>
            <w:tcW w:w="1750" w:type="dxa"/>
            <w:vAlign w:val="center"/>
          </w:tcPr>
          <w:p w14:paraId="1A943D25"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43FA7421" w14:textId="3BF024AD"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 xml:space="preserve">EC50 from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{"citationItems":[{"id":"ITEM-1","itemData":{"DOI":"10.1038/nature14051","ISSN":"0028-0836","abstract":"The regulated release of anorexigenic α-melanocyte stimulating hormone (α-MSH) and orexigenic Agouti-related protein (AgRP) from discrete hypothalamic arcuate neurons onto common target sites in the central nervous system has a fundamental role in the regulation of energy homeostasis. Both peptides bind with high affinity to the melanocortin-4 receptor (MC4R); existing data show that α-MSH is an agonist that couples the receptor to the Gα s signalling pathway, while AgRP binds competitively to block α-MSH binding and blocks the constitutive activity mediated by the ligand-mimetic amino-terminal domain of the receptor. Here we show that, in mice, regulation of firing activity of neurons from the paraventricular nucleus of the hypothalamus (PVN) by α-MSH and AgRP can be mediated independently of Gα s signalling by ligand-induced coupling of MC4R to closure of inwardly rectifying potassium channel, Kir7.1. Furthermore, AgRP is a biased agonist that hyperpolarizes neurons by binding to MC4R and opening Kir7.1, independently of its inhibition of α-MSH binding. Consequently, Kir7.1 signalling appears to be central to melanocortin-mediated regulation of energy homeostasis within the PVN. Coupling of MC4R to Kir7.1 may explain unusual aspects of the control of energy homeostasis by melanocortin signalling, including the gene dosage effect of MC4R and the sustained effects of AgRP on food intake.","author":[{"dropping-particle":"","family":"Ghamari-Langroudi","given":"Masoud","non-dropping-particle":"","parse-names":false,"suffix":""},{"dropping-particle":"","family":"Digby","given":"Gregory J.","non-dropping-particle":"","parse-names":false,"suffix":""},{"dropping-particle":"","family":"Sebag","given":"Julien A.","non-dropping-particle":"","parse-names":false,"suffix":""},{"dropping-particle":"","family":"Millhauser","given":"Glenn L.","non-dropping-particle":"","parse-names":false,"suffix":""},{"dropping-particle":"","family":"Palomino","given":"Rafael","non-dropping-particle":"","parse-names":false,"suffix":""},{"dropping-particle":"","family":"Matthews","given":"Robert","non-dropping-particle":"","parse-names":false,"suffix":""},{"dropping-particle":"","family":"Gillyard","given":"Taneisha","non-dropping-particle":"","parse-names":false,"suffix":""},{"dropping-particle":"","family":"Panaro","given":"Brandon L.","non-dropping-particle":"","parse-names":false,"suffix":""},{"dropping-particle":"","family":"Tough","given":"Iain R.","non-dropping-particle":"","parse-names":false,"suffix":""},{"dropping-particle":"","family":"Cox","given":"Helen M.","non-dropping-particle":"","parse-names":false,"suffix":""},{"dropping-particle":"","family":"Denton","given":"Jerod S.","non-dropping-particle":"","parse-names":false,"suffix":""},{"dropping-particle":"","family":"Cone","given":"Roger D.","non-dropping-particle":"","parse-names":false,"suffix":""}],"container-title":"Nature","id":"ITEM-1","issue":"7545","issued":{"date-parts":[["2015","4","2"]]},"page":"94-98","publisher":"Nature Publishing Group","title":"G-protein-independent coupling of MC4R to Kir7.1 in hypothalamic neurons","type":"article-journal","volume":"520"},"uris":["http://www.mendeley.com/documents/?uuid=02a29cd7-ed3f-4adb-b30d-61dd2a4b04ad"]}],"mendeley":{"formattedCitation":"(Ghamari-Langroudi et al., 2015)","plainTextFormattedCitation":"(Ghamari-Langroudi et al., 2015)","previouslyFormattedCitation":"(Ghamari-Langroudi et al., 2015)"},"properties":{"noteIndex":0},"schema":"https://github.com/citation-style-language/schema/raw/master/csl-citation.json"}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(Ghamari-Langroudi et al., 2015)</w:t>
            </w:r>
            <w:r w:rsidRPr="00D3536F">
              <w:rPr>
                <w:rFonts w:ascii="Times New Roman" w:eastAsiaTheme="minorEastAsia" w:hAnsi="Times New Roman" w:cs="Times New Roman"/>
                <w:iCs/>
                <w:sz w:val="24"/>
                <w:szCs w:val="24"/>
                <w:lang w:val="en-US"/>
              </w:rPr>
              <w:fldChar w:fldCharType="end"/>
            </w:r>
          </w:p>
        </w:tc>
      </w:tr>
      <w:tr w:rsidR="00C01148" w:rsidRPr="00D3536F" w14:paraId="6303775F" w14:textId="77777777" w:rsidTr="00034A14">
        <w:tc>
          <w:tcPr>
            <w:tcW w:w="1455" w:type="dxa"/>
            <w:vAlign w:val="center"/>
          </w:tcPr>
          <w:p w14:paraId="6A530F90" w14:textId="79C256BE"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Max</m:t>
                    </m:r>
                  </m:e>
                  <m:sub>
                    <m:r>
                      <w:rPr>
                        <w:rFonts w:ascii="Cambria Math" w:eastAsiaTheme="minorEastAsia" w:hAnsi="Cambria Math" w:cs="Times New Roman"/>
                        <w:sz w:val="24"/>
                        <w:szCs w:val="24"/>
                        <w:lang w:val="en-US"/>
                      </w:rPr>
                      <m:t>α</m:t>
                    </m:r>
                    <m:r>
                      <w:rPr>
                        <w:rFonts w:ascii="Cambria Math" w:hAnsi="Cambria Math" w:cs="Times New Roman"/>
                        <w:sz w:val="24"/>
                        <w:szCs w:val="24"/>
                        <w:lang w:val="en-US"/>
                      </w:rPr>
                      <m:t>MSH</m:t>
                    </m:r>
                  </m:sub>
                </m:sSub>
              </m:oMath>
            </m:oMathPara>
          </w:p>
        </w:tc>
        <w:tc>
          <w:tcPr>
            <w:tcW w:w="1526" w:type="dxa"/>
            <w:vAlign w:val="center"/>
          </w:tcPr>
          <w:p w14:paraId="0F88EC3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1.0×</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-9</m:t>
                    </m:r>
                  </m:sup>
                </m:sSup>
              </m:oMath>
            </m:oMathPara>
          </w:p>
        </w:tc>
        <w:tc>
          <w:tcPr>
            <w:tcW w:w="1750" w:type="dxa"/>
            <w:vAlign w:val="center"/>
          </w:tcPr>
          <w:p w14:paraId="12DBD3B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M</w:t>
            </w:r>
          </w:p>
        </w:tc>
        <w:tc>
          <w:tcPr>
            <w:tcW w:w="4323" w:type="dxa"/>
            <w:vAlign w:val="center"/>
          </w:tcPr>
          <w:p w14:paraId="16555751" w14:textId="28381A44"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465D2008" w14:textId="77777777" w:rsidTr="00034A14">
        <w:tc>
          <w:tcPr>
            <w:tcW w:w="1455" w:type="dxa"/>
            <w:vAlign w:val="center"/>
          </w:tcPr>
          <w:p w14:paraId="17075327"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Max</m:t>
                    </m:r>
                  </m:e>
                  <m:sub>
                    <m:r>
                      <w:rPr>
                        <w:rFonts w:ascii="Cambria Math" w:hAnsi="Cambria Math" w:cs="Times New Roman"/>
                        <w:sz w:val="24"/>
                        <w:szCs w:val="24"/>
                        <w:lang w:val="en-US"/>
                      </w:rPr>
                      <m:t>AgRP</m:t>
                    </m:r>
                  </m:sub>
                </m:sSub>
              </m:oMath>
            </m:oMathPara>
          </w:p>
        </w:tc>
        <w:tc>
          <w:tcPr>
            <w:tcW w:w="1526" w:type="dxa"/>
            <w:vAlign w:val="center"/>
          </w:tcPr>
          <w:p w14:paraId="0F0DB84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1.0×</m:t>
                </m:r>
                <m:sSup>
                  <m:sSupPr>
                    <m:ctrlPr>
                      <w:rPr>
                        <w:rFonts w:ascii="Cambria Math" w:eastAsia="Times New Roman" w:hAnsi="Cambria Math" w:cs="Times New Roman"/>
                        <w:iCs/>
                        <w:sz w:val="24"/>
                        <w:szCs w:val="24"/>
                        <w:lang w:val="en-US"/>
                      </w:rPr>
                    </m:ctrlPr>
                  </m:sSupPr>
                  <m:e>
                    <m:r>
                      <w:rPr>
                        <w:rFonts w:ascii="Cambria Math" w:eastAsia="Times New Roman" w:hAnsi="Cambria Math" w:cs="Times New Roman"/>
                        <w:sz w:val="24"/>
                        <w:szCs w:val="24"/>
                        <w:lang w:val="en-US"/>
                      </w:rPr>
                      <m:t>10</m:t>
                    </m:r>
                  </m:e>
                  <m:sup>
                    <m:r>
                      <w:rPr>
                        <w:rFonts w:ascii="Cambria Math" w:eastAsia="Times New Roman" w:hAnsi="Cambria Math" w:cs="Times New Roman"/>
                        <w:sz w:val="24"/>
                        <w:szCs w:val="24"/>
                        <w:lang w:val="en-US"/>
                      </w:rPr>
                      <m:t>-8</m:t>
                    </m:r>
                  </m:sup>
                </m:sSup>
              </m:oMath>
            </m:oMathPara>
          </w:p>
        </w:tc>
        <w:tc>
          <w:tcPr>
            <w:tcW w:w="1750" w:type="dxa"/>
            <w:vAlign w:val="center"/>
          </w:tcPr>
          <w:p w14:paraId="1C62CBEB"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M</w:t>
            </w:r>
          </w:p>
        </w:tc>
        <w:tc>
          <w:tcPr>
            <w:tcW w:w="4323" w:type="dxa"/>
            <w:vAlign w:val="center"/>
          </w:tcPr>
          <w:p w14:paraId="1535A73A" w14:textId="0B3017AF"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1C3E12ED" w14:textId="77777777" w:rsidTr="00034A14">
        <w:tc>
          <w:tcPr>
            <w:tcW w:w="1455" w:type="dxa"/>
            <w:vAlign w:val="center"/>
          </w:tcPr>
          <w:p w14:paraId="7DA2A313" w14:textId="731C71FA"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accum</m:t>
                        </m:r>
                      </m:e>
                      <m:sub>
                        <m:r>
                          <m:rPr>
                            <m:sty m:val="p"/>
                          </m:rPr>
                          <w:rPr>
                            <w:rFonts w:ascii="Cambria Math" w:eastAsiaTheme="minorEastAsia" w:hAnsi="Cambria Math" w:cs="Times New Roman"/>
                            <w:sz w:val="24"/>
                            <w:szCs w:val="24"/>
                            <w:lang w:val="en-US"/>
                          </w:rPr>
                          <m:t xml:space="preserve"> </m:t>
                        </m:r>
                        <m:r>
                          <w:rPr>
                            <w:rFonts w:ascii="Cambria Math" w:eastAsiaTheme="minorEastAsia" w:hAnsi="Cambria Math" w:cs="Times New Roman"/>
                            <w:sz w:val="24"/>
                            <w:szCs w:val="24"/>
                            <w:lang w:val="en-US"/>
                          </w:rPr>
                          <m:t>α</m:t>
                        </m:r>
                        <m:r>
                          <m:rPr>
                            <m:sty m:val="p"/>
                          </m:rPr>
                          <w:rPr>
                            <w:rFonts w:ascii="Cambria Math" w:eastAsiaTheme="minorEastAsia" w:hAnsi="Cambria Math" w:cs="Times New Roman"/>
                            <w:sz w:val="24"/>
                            <w:szCs w:val="24"/>
                            <w:lang w:val="en-US"/>
                          </w:rPr>
                          <m:t>MSH</m:t>
                        </m:r>
                      </m:sub>
                    </m:sSub>
                  </m:sub>
                </m:sSub>
              </m:oMath>
            </m:oMathPara>
          </w:p>
        </w:tc>
        <w:tc>
          <w:tcPr>
            <w:tcW w:w="1526" w:type="dxa"/>
            <w:vAlign w:val="center"/>
          </w:tcPr>
          <w:p w14:paraId="63571DB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400</w:t>
            </w:r>
          </w:p>
        </w:tc>
        <w:tc>
          <w:tcPr>
            <w:tcW w:w="1750" w:type="dxa"/>
            <w:vAlign w:val="center"/>
          </w:tcPr>
          <w:p w14:paraId="201CD605"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0D4B490C" w14:textId="47958CCF"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58E0B988" w14:textId="77777777" w:rsidTr="00034A14">
        <w:tc>
          <w:tcPr>
            <w:tcW w:w="1455" w:type="dxa"/>
            <w:vAlign w:val="center"/>
          </w:tcPr>
          <w:p w14:paraId="1468BF1B" w14:textId="0E72A776"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accum</m:t>
                        </m:r>
                      </m:e>
                      <m:sub>
                        <m:r>
                          <m:rPr>
                            <m:sty m:val="p"/>
                          </m:rPr>
                          <w:rPr>
                            <w:rFonts w:ascii="Cambria Math" w:eastAsiaTheme="minorEastAsia" w:hAnsi="Cambria Math" w:cs="Times New Roman"/>
                            <w:sz w:val="24"/>
                            <w:szCs w:val="24"/>
                            <w:lang w:val="en-US"/>
                          </w:rPr>
                          <m:t xml:space="preserve"> AgRP</m:t>
                        </m:r>
                      </m:sub>
                    </m:sSub>
                  </m:sub>
                </m:sSub>
              </m:oMath>
            </m:oMathPara>
          </w:p>
        </w:tc>
        <w:tc>
          <w:tcPr>
            <w:tcW w:w="1526" w:type="dxa"/>
            <w:vAlign w:val="center"/>
          </w:tcPr>
          <w:p w14:paraId="11781A58"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300</w:t>
            </w:r>
          </w:p>
        </w:tc>
        <w:tc>
          <w:tcPr>
            <w:tcW w:w="1750" w:type="dxa"/>
            <w:vAlign w:val="center"/>
          </w:tcPr>
          <w:p w14:paraId="479769E6"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16C684C8" w14:textId="7B946F8C"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736FC5C4" w14:textId="77777777" w:rsidTr="00034A14">
        <w:tc>
          <w:tcPr>
            <w:tcW w:w="1455" w:type="dxa"/>
            <w:vAlign w:val="center"/>
          </w:tcPr>
          <w:p w14:paraId="403A7E2F" w14:textId="56396118"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elim</m:t>
                        </m:r>
                      </m:e>
                      <m:sub>
                        <m:r>
                          <m:rPr>
                            <m:sty m:val="p"/>
                          </m:rPr>
                          <w:rPr>
                            <w:rFonts w:ascii="Cambria Math" w:eastAsiaTheme="minorEastAsia" w:hAnsi="Cambria Math" w:cs="Times New Roman"/>
                            <w:sz w:val="24"/>
                            <w:szCs w:val="24"/>
                            <w:lang w:val="en-US"/>
                          </w:rPr>
                          <m:t xml:space="preserve"> </m:t>
                        </m:r>
                        <m:r>
                          <w:rPr>
                            <w:rFonts w:ascii="Cambria Math" w:eastAsiaTheme="minorEastAsia" w:hAnsi="Cambria Math" w:cs="Times New Roman"/>
                            <w:sz w:val="24"/>
                            <w:szCs w:val="24"/>
                            <w:lang w:val="en-US"/>
                          </w:rPr>
                          <m:t>α</m:t>
                        </m:r>
                        <m:r>
                          <m:rPr>
                            <m:sty m:val="p"/>
                          </m:rPr>
                          <w:rPr>
                            <w:rFonts w:ascii="Cambria Math" w:eastAsiaTheme="minorEastAsia" w:hAnsi="Cambria Math" w:cs="Times New Roman"/>
                            <w:sz w:val="24"/>
                            <w:szCs w:val="24"/>
                            <w:lang w:val="en-US"/>
                          </w:rPr>
                          <m:t>MSH</m:t>
                        </m:r>
                      </m:sub>
                    </m:sSub>
                  </m:sub>
                </m:sSub>
              </m:oMath>
            </m:oMathPara>
          </w:p>
        </w:tc>
        <w:tc>
          <w:tcPr>
            <w:tcW w:w="1526" w:type="dxa"/>
            <w:vAlign w:val="center"/>
          </w:tcPr>
          <w:p w14:paraId="1F079A8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300</w:t>
            </w:r>
          </w:p>
        </w:tc>
        <w:tc>
          <w:tcPr>
            <w:tcW w:w="1750" w:type="dxa"/>
            <w:vAlign w:val="center"/>
          </w:tcPr>
          <w:p w14:paraId="01BF210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1C61EA8C" w14:textId="185E5DBC"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4A22B259" w14:textId="77777777" w:rsidTr="00034A14">
        <w:tc>
          <w:tcPr>
            <w:tcW w:w="1455" w:type="dxa"/>
            <w:vAlign w:val="center"/>
          </w:tcPr>
          <w:p w14:paraId="2202D6EF" w14:textId="5E5E390C"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τ</m:t>
                    </m:r>
                  </m:e>
                  <m:sub>
                    <m:sSub>
                      <m:sSubPr>
                        <m:ctrlPr>
                          <w:rPr>
                            <w:rFonts w:ascii="Cambria Math" w:hAnsi="Cambria Math" w:cs="Times New Roman"/>
                            <w:iCs/>
                            <w:sz w:val="24"/>
                            <w:szCs w:val="24"/>
                            <w:lang w:val="en-US"/>
                          </w:rPr>
                        </m:ctrlPr>
                      </m:sSubPr>
                      <m:e>
                        <m:r>
                          <m:rPr>
                            <m:sty m:val="p"/>
                          </m:rPr>
                          <w:rPr>
                            <w:rFonts w:ascii="Cambria Math" w:hAnsi="Cambria Math" w:cs="Times New Roman"/>
                            <w:sz w:val="24"/>
                            <w:szCs w:val="24"/>
                            <w:lang w:val="en-US"/>
                          </w:rPr>
                          <m:t>elim</m:t>
                        </m:r>
                      </m:e>
                      <m:sub>
                        <m:r>
                          <m:rPr>
                            <m:sty m:val="p"/>
                          </m:rPr>
                          <w:rPr>
                            <w:rFonts w:ascii="Cambria Math" w:eastAsiaTheme="minorEastAsia" w:hAnsi="Cambria Math" w:cs="Times New Roman"/>
                            <w:sz w:val="24"/>
                            <w:szCs w:val="24"/>
                            <w:lang w:val="en-US"/>
                          </w:rPr>
                          <m:t xml:space="preserve"> AgRP</m:t>
                        </m:r>
                      </m:sub>
                    </m:sSub>
                  </m:sub>
                </m:sSub>
              </m:oMath>
            </m:oMathPara>
          </w:p>
        </w:tc>
        <w:tc>
          <w:tcPr>
            <w:tcW w:w="1526" w:type="dxa"/>
            <w:vAlign w:val="center"/>
          </w:tcPr>
          <w:p w14:paraId="61FC437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300</w:t>
            </w:r>
          </w:p>
        </w:tc>
        <w:tc>
          <w:tcPr>
            <w:tcW w:w="1750" w:type="dxa"/>
            <w:vAlign w:val="center"/>
          </w:tcPr>
          <w:p w14:paraId="25B6539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5EB11294" w14:textId="752499A9"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4B37AB7C" w14:textId="77777777" w:rsidTr="00034A14">
        <w:tc>
          <w:tcPr>
            <w:tcW w:w="1455" w:type="dxa"/>
            <w:vAlign w:val="center"/>
          </w:tcPr>
          <w:p w14:paraId="3020E07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Ac</m:t>
                </m:r>
              </m:oMath>
            </m:oMathPara>
          </w:p>
        </w:tc>
        <w:tc>
          <w:tcPr>
            <w:tcW w:w="1526" w:type="dxa"/>
            <w:vAlign w:val="center"/>
          </w:tcPr>
          <w:p w14:paraId="785010CA"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0.045</m:t>
                </m:r>
              </m:oMath>
            </m:oMathPara>
          </w:p>
        </w:tc>
        <w:tc>
          <w:tcPr>
            <w:tcW w:w="1750" w:type="dxa"/>
            <w:vAlign w:val="center"/>
          </w:tcPr>
          <w:p w14:paraId="32A1143D" w14:textId="26BFEC09"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µA/</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68922F91" w14:textId="7A682967" w:rsidR="00C01148" w:rsidRPr="00D3536F" w:rsidRDefault="0045258D"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3BCAD440" w14:textId="77777777" w:rsidTr="00034A14">
        <w:tc>
          <w:tcPr>
            <w:tcW w:w="1455" w:type="dxa"/>
            <w:vAlign w:val="center"/>
          </w:tcPr>
          <w:p w14:paraId="31BA9DC6"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
                        <w:iCs/>
                        <w:sz w:val="24"/>
                        <w:szCs w:val="24"/>
                        <w:lang w:val="en-US"/>
                      </w:rPr>
                    </m:ctrlPr>
                  </m:sSubPr>
                  <m:e>
                    <m:r>
                      <w:rPr>
                        <w:rFonts w:ascii="Cambria Math" w:eastAsiaTheme="minorEastAsia" w:hAnsi="Cambria Math" w:cs="Times New Roman"/>
                        <w:sz w:val="24"/>
                        <w:szCs w:val="24"/>
                        <w:lang w:val="en-US"/>
                      </w:rPr>
                      <m:t>w</m:t>
                    </m:r>
                  </m:e>
                  <m:sub>
                    <m:r>
                      <w:rPr>
                        <w:rFonts w:ascii="Cambria Math" w:eastAsiaTheme="minorEastAsia" w:hAnsi="Cambria Math" w:cs="Times New Roman"/>
                        <w:sz w:val="24"/>
                        <w:szCs w:val="24"/>
                        <w:lang w:val="en-US"/>
                      </w:rPr>
                      <m:t>c</m:t>
                    </m:r>
                  </m:sub>
                </m:sSub>
              </m:oMath>
            </m:oMathPara>
          </w:p>
        </w:tc>
        <w:tc>
          <w:tcPr>
            <w:tcW w:w="1526" w:type="dxa"/>
            <w:vAlign w:val="center"/>
          </w:tcPr>
          <w:p w14:paraId="5F4373B8"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0.000073</m:t>
                </m:r>
              </m:oMath>
            </m:oMathPara>
          </w:p>
        </w:tc>
        <w:tc>
          <w:tcPr>
            <w:tcW w:w="1750" w:type="dxa"/>
            <w:vAlign w:val="center"/>
          </w:tcPr>
          <w:p w14:paraId="39BB3BED" w14:textId="2A4686B3" w:rsidR="00C01148" w:rsidRPr="00D3536F" w:rsidRDefault="007F4C06"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w:t>
            </w:r>
          </w:p>
        </w:tc>
        <w:tc>
          <w:tcPr>
            <w:tcW w:w="4323" w:type="dxa"/>
            <w:vAlign w:val="center"/>
          </w:tcPr>
          <w:p w14:paraId="5EF6C405" w14:textId="4F9B1D8D" w:rsidR="00C01148" w:rsidRPr="00D3536F" w:rsidRDefault="007F4C06"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imes New Roman" w:hAnsi="Times New Roman" w:cs="Times New Roman"/>
                <w:iCs/>
                <w:sz w:val="24"/>
                <w:szCs w:val="24"/>
                <w:lang w:val="en-US"/>
              </w:rPr>
              <w:t>Period of 24 h</w:t>
            </w:r>
          </w:p>
        </w:tc>
      </w:tr>
      <w:tr w:rsidR="00C01148" w:rsidRPr="00D3536F" w14:paraId="68C12331" w14:textId="77777777" w:rsidTr="00034A14">
        <w:tc>
          <w:tcPr>
            <w:tcW w:w="1455" w:type="dxa"/>
            <w:vAlign w:val="center"/>
          </w:tcPr>
          <w:p w14:paraId="6F3D6C52"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12</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22717429"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2.3</w:t>
            </w:r>
          </w:p>
        </w:tc>
        <w:tc>
          <w:tcPr>
            <w:tcW w:w="1750" w:type="dxa"/>
            <w:vAlign w:val="center"/>
          </w:tcPr>
          <w:p w14:paraId="758211CC"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-1</m:t>
                    </m:r>
                  </m:sup>
                </m:sSup>
              </m:oMath>
            </m:oMathPara>
          </w:p>
        </w:tc>
        <w:tc>
          <w:tcPr>
            <w:tcW w:w="4323" w:type="dxa"/>
            <w:vAlign w:val="center"/>
          </w:tcPr>
          <w:p w14:paraId="19F1B533" w14:textId="27071205"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C01148" w:rsidRPr="00D3536F" w14:paraId="5C7E6234" w14:textId="77777777" w:rsidTr="00034A14">
        <w:tc>
          <w:tcPr>
            <w:tcW w:w="1455" w:type="dxa"/>
            <w:vAlign w:val="center"/>
          </w:tcPr>
          <w:p w14:paraId="546FFB72"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2x</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670E2CCA"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0.71</w:t>
            </w:r>
          </w:p>
        </w:tc>
        <w:tc>
          <w:tcPr>
            <w:tcW w:w="1750" w:type="dxa"/>
            <w:vAlign w:val="center"/>
          </w:tcPr>
          <w:p w14:paraId="25D91C33"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-1</m:t>
                    </m:r>
                  </m:sup>
                </m:sSup>
              </m:oMath>
            </m:oMathPara>
          </w:p>
        </w:tc>
        <w:tc>
          <w:tcPr>
            <w:tcW w:w="4323" w:type="dxa"/>
            <w:vAlign w:val="center"/>
          </w:tcPr>
          <w:p w14:paraId="151B89B3" w14:textId="08398E8E"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C01148" w:rsidRPr="00D3536F" w14:paraId="0171C83C" w14:textId="77777777" w:rsidTr="00034A14">
        <w:tc>
          <w:tcPr>
            <w:tcW w:w="1455" w:type="dxa"/>
            <w:vAlign w:val="center"/>
          </w:tcPr>
          <w:p w14:paraId="778A5E59"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hx</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12526708"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2.254</w:t>
            </w:r>
          </w:p>
        </w:tc>
        <w:tc>
          <w:tcPr>
            <w:tcW w:w="1750" w:type="dxa"/>
            <w:vAlign w:val="center"/>
          </w:tcPr>
          <w:p w14:paraId="7E476A8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-1</m:t>
                    </m:r>
                  </m:sup>
                </m:sSup>
              </m:oMath>
            </m:oMathPara>
          </w:p>
        </w:tc>
        <w:tc>
          <w:tcPr>
            <w:tcW w:w="4323" w:type="dxa"/>
            <w:vAlign w:val="center"/>
          </w:tcPr>
          <w:p w14:paraId="14CFC2D3" w14:textId="6A612A21"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C01148" w:rsidRPr="00D3536F" w14:paraId="489ADA08" w14:textId="77777777" w:rsidTr="00034A14">
        <w:tc>
          <w:tcPr>
            <w:tcW w:w="1455" w:type="dxa"/>
            <w:vAlign w:val="center"/>
          </w:tcPr>
          <w:p w14:paraId="051B6664"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ix</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0733AD79"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1.03</w:t>
            </w:r>
          </w:p>
        </w:tc>
        <w:tc>
          <w:tcPr>
            <w:tcW w:w="1750" w:type="dxa"/>
            <w:vAlign w:val="center"/>
          </w:tcPr>
          <w:p w14:paraId="6492C132"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-1</m:t>
                    </m:r>
                  </m:sup>
                </m:sSup>
              </m:oMath>
            </m:oMathPara>
          </w:p>
        </w:tc>
        <w:tc>
          <w:tcPr>
            <w:tcW w:w="4323" w:type="dxa"/>
            <w:vAlign w:val="center"/>
          </w:tcPr>
          <w:p w14:paraId="6D0A8B9C" w14:textId="1462D4A9"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52E10BEB" w14:textId="77777777" w:rsidTr="00034A14">
        <w:tc>
          <w:tcPr>
            <w:tcW w:w="1455" w:type="dxa"/>
            <w:vAlign w:val="center"/>
          </w:tcPr>
          <w:p w14:paraId="77AB3035"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lpx</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7D655025" w14:textId="03BCA40E" w:rsidR="00C01148" w:rsidRPr="00D3536F" w:rsidRDefault="009A3EE5"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6231</w:t>
            </w:r>
            <w:r w:rsidR="00DC65C1" w:rsidRPr="00D3536F">
              <w:rPr>
                <w:rFonts w:ascii="Times New Roman" w:eastAsia="Times New Roman" w:hAnsi="Times New Roman" w:cs="Times New Roman"/>
                <w:iCs/>
                <w:sz w:val="24"/>
                <w:szCs w:val="24"/>
                <w:lang w:val="en-US"/>
              </w:rPr>
              <w:t>.</w:t>
            </w:r>
            <w:r w:rsidRPr="00D3536F">
              <w:rPr>
                <w:rFonts w:ascii="Times New Roman" w:eastAsia="Times New Roman" w:hAnsi="Times New Roman" w:cs="Times New Roman"/>
                <w:iCs/>
                <w:sz w:val="24"/>
                <w:szCs w:val="24"/>
                <w:lang w:val="en-US"/>
              </w:rPr>
              <w:t>39</w:t>
            </w:r>
          </w:p>
        </w:tc>
        <w:tc>
          <w:tcPr>
            <w:tcW w:w="1750" w:type="dxa"/>
            <w:vAlign w:val="center"/>
          </w:tcPr>
          <w:p w14:paraId="32C0950D"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-1</m:t>
                    </m:r>
                  </m:sup>
                </m:sSup>
              </m:oMath>
            </m:oMathPara>
          </w:p>
        </w:tc>
        <w:tc>
          <w:tcPr>
            <w:tcW w:w="4323" w:type="dxa"/>
            <w:vAlign w:val="center"/>
          </w:tcPr>
          <w:p w14:paraId="2122E612" w14:textId="206E4451"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60F62BDC" w14:textId="77777777" w:rsidTr="00034A14">
        <w:tc>
          <w:tcPr>
            <w:tcW w:w="1455" w:type="dxa"/>
            <w:vAlign w:val="center"/>
          </w:tcPr>
          <w:p w14:paraId="1E9305D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hAnsi="Cambria Math" w:cs="Times New Roman"/>
                    <w:sz w:val="24"/>
                    <w:szCs w:val="24"/>
                    <w:lang w:val="en-US"/>
                  </w:rPr>
                  <m:t>σ</m:t>
                </m:r>
              </m:oMath>
            </m:oMathPara>
          </w:p>
        </w:tc>
        <w:tc>
          <w:tcPr>
            <w:tcW w:w="1526" w:type="dxa"/>
            <w:vAlign w:val="center"/>
          </w:tcPr>
          <w:p w14:paraId="09550B2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0.2</w:t>
            </w:r>
          </w:p>
        </w:tc>
        <w:tc>
          <w:tcPr>
            <w:tcW w:w="1750" w:type="dxa"/>
            <w:vAlign w:val="center"/>
          </w:tcPr>
          <w:p w14:paraId="1E99105D"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L</m:t>
                    </m:r>
                  </m:e>
                  <m:sup>
                    <m:r>
                      <w:rPr>
                        <w:rFonts w:ascii="Cambria Math" w:eastAsiaTheme="minorEastAsia" w:hAnsi="Cambria Math" w:cs="Times New Roman"/>
                        <w:sz w:val="24"/>
                        <w:szCs w:val="24"/>
                        <w:lang w:val="en-US"/>
                      </w:rPr>
                      <m:t>-1</m:t>
                    </m:r>
                  </m:sup>
                </m:sSup>
              </m:oMath>
            </m:oMathPara>
          </w:p>
        </w:tc>
        <w:tc>
          <w:tcPr>
            <w:tcW w:w="4323" w:type="dxa"/>
            <w:vAlign w:val="center"/>
          </w:tcPr>
          <w:p w14:paraId="711580AC" w14:textId="557A6468"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C01148" w:rsidRPr="00D3536F" w14:paraId="0083ECF6" w14:textId="77777777" w:rsidTr="00034A14">
        <w:tc>
          <w:tcPr>
            <w:tcW w:w="1455" w:type="dxa"/>
            <w:vAlign w:val="center"/>
          </w:tcPr>
          <w:p w14:paraId="5EFD8DFB"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
              <m:r>
                <m:rPr>
                  <m:sty m:val="p"/>
                </m:rPr>
                <w:rPr>
                  <w:rFonts w:ascii="Cambria Math" w:hAnsi="Cambria Math" w:cs="Times New Roman"/>
                  <w:sz w:val="24"/>
                  <w:szCs w:val="24"/>
                  <w:lang w:val="en-US"/>
                </w:rPr>
                <m:t>β</m:t>
              </m:r>
            </m:oMath>
            <w:r w:rsidRPr="00D3536F">
              <w:rPr>
                <w:rFonts w:ascii="Times New Roman" w:eastAsia="Times New Roman" w:hAnsi="Times New Roman" w:cs="Times New Roman"/>
                <w:sz w:val="24"/>
                <w:szCs w:val="24"/>
                <w:lang w:val="en-US"/>
              </w:rPr>
              <w:t>,</w:t>
            </w:r>
            <m:oMath>
              <m:r>
                <m:rPr>
                  <m:sty m:val="p"/>
                </m:rPr>
                <w:rPr>
                  <w:rFonts w:ascii="Cambria Math" w:hAnsi="Cambria Math" w:cs="Times New Roman"/>
                  <w:sz w:val="24"/>
                  <w:szCs w:val="24"/>
                  <w:lang w:val="en-US"/>
                </w:rPr>
                <m:t xml:space="preserve"> β2</m:t>
              </m:r>
            </m:oMath>
            <w:r w:rsidRPr="00D3536F">
              <w:rPr>
                <w:rFonts w:ascii="Times New Roman" w:eastAsia="Times New Roman" w:hAnsi="Times New Roman" w:cs="Times New Roman"/>
                <w:sz w:val="24"/>
                <w:szCs w:val="24"/>
                <w:lang w:val="en-US"/>
              </w:rPr>
              <w:t>*</w:t>
            </w:r>
          </w:p>
        </w:tc>
        <w:tc>
          <w:tcPr>
            <w:tcW w:w="1526" w:type="dxa"/>
            <w:vAlign w:val="center"/>
          </w:tcPr>
          <w:p w14:paraId="403CC813"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1591,1238</w:t>
            </w:r>
          </w:p>
        </w:tc>
        <w:tc>
          <w:tcPr>
            <w:tcW w:w="1750" w:type="dxa"/>
            <w:vAlign w:val="center"/>
          </w:tcPr>
          <w:p w14:paraId="76D45E56"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mg h</m:t>
                    </m:r>
                  </m:e>
                  <m:sup>
                    <m:r>
                      <w:rPr>
                        <w:rFonts w:ascii="Cambria Math" w:eastAsiaTheme="minorEastAsia" w:hAnsi="Cambria Math" w:cs="Times New Roman"/>
                        <w:sz w:val="24"/>
                        <w:szCs w:val="24"/>
                        <w:lang w:val="en-US"/>
                      </w:rPr>
                      <m:t>-1</m:t>
                    </m:r>
                  </m:sup>
                </m:sSup>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mL</m:t>
                    </m:r>
                  </m:e>
                  <m:sup>
                    <m:r>
                      <w:rPr>
                        <w:rFonts w:ascii="Cambria Math" w:eastAsiaTheme="minorEastAsia" w:hAnsi="Cambria Math" w:cs="Times New Roman"/>
                        <w:sz w:val="24"/>
                        <w:szCs w:val="24"/>
                        <w:lang w:val="en-US"/>
                      </w:rPr>
                      <m:t>-1</m:t>
                    </m:r>
                  </m:sup>
                </m:sSup>
              </m:oMath>
            </m:oMathPara>
          </w:p>
        </w:tc>
        <w:tc>
          <w:tcPr>
            <w:tcW w:w="4323" w:type="dxa"/>
            <w:vAlign w:val="center"/>
          </w:tcPr>
          <w:p w14:paraId="4C33F67D" w14:textId="51166DA5"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C01148" w:rsidRPr="00D3536F" w14:paraId="7A2E7C62" w14:textId="77777777" w:rsidTr="00034A14">
        <w:tc>
          <w:tcPr>
            <w:tcW w:w="1455" w:type="dxa"/>
            <w:vAlign w:val="center"/>
          </w:tcPr>
          <w:p w14:paraId="60263AC9"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Para>
              <m:oMath>
                <m:r>
                  <w:rPr>
                    <w:rFonts w:ascii="Cambria Math" w:hAnsi="Cambria Math" w:cs="Times New Roman"/>
                    <w:sz w:val="24"/>
                    <w:szCs w:val="24"/>
                    <w:lang w:val="en-US"/>
                  </w:rPr>
                  <m:t>ϒ</m:t>
                </m:r>
              </m:oMath>
            </m:oMathPara>
          </w:p>
        </w:tc>
        <w:tc>
          <w:tcPr>
            <w:tcW w:w="1526" w:type="dxa"/>
            <w:vAlign w:val="center"/>
          </w:tcPr>
          <w:p w14:paraId="35AA0B4F"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1.29</w:t>
            </w:r>
          </w:p>
        </w:tc>
        <w:tc>
          <w:tcPr>
            <w:tcW w:w="1750" w:type="dxa"/>
            <w:vAlign w:val="center"/>
          </w:tcPr>
          <w:p w14:paraId="5780B648"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L</m:t>
                    </m:r>
                  </m:e>
                  <m:sup>
                    <m:r>
                      <w:rPr>
                        <w:rFonts w:ascii="Cambria Math" w:eastAsiaTheme="minorEastAsia" w:hAnsi="Cambria Math" w:cs="Times New Roman"/>
                        <w:sz w:val="24"/>
                        <w:szCs w:val="24"/>
                        <w:lang w:val="en-US"/>
                      </w:rPr>
                      <m:t>-1</m:t>
                    </m:r>
                  </m:sup>
                </m:sSup>
              </m:oMath>
            </m:oMathPara>
          </w:p>
        </w:tc>
        <w:tc>
          <w:tcPr>
            <w:tcW w:w="4323" w:type="dxa"/>
            <w:vAlign w:val="center"/>
          </w:tcPr>
          <w:p w14:paraId="7FDDC729" w14:textId="4D37C3EF"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{"citationItems":[{"id":"ITEM-1","itemData":{"DOI":"10.1016/j.ifacol.2017.08.2480","ISSN":"24058963","abstract":"Ghrelin, a peptide hormone, occupies a crucial role in food intake control. Differently from other hormones contributing to energy homeostasis, usually exerting their regulating action by signaling satiety (e.g. leptin), ghrelin is known to stimulate appetite and, in general, to upsurge the propensity of animals to seek out food and start eating. Medical and experimental literature has shown that approximately 70-80% of ghrelin production occurs in the stomach, whilst the great part of ghrelin control, leading to ghrelin suppression soon after a meal administration, is exerted by signals originated in the small intestine. This note proposes a mathematical model for ghrelin dynamics, focusing the attention on its short-term 24 hours dynamics. The proposed model conforms to the established physiology by introducing a minimal multi-compartmental structure of the gastrointestinal tract. Model parameters are set in order to fit plasma ghrelin concentration data taken from the literature, related to an experiment in humans: simulation-based ghrelin predictions provide promising results if compared to real data. Besides to offer a proper description of the short-term ghrelin dynamics, the model can be thought of as a module of a bigger multi-compartmental structure, aiming to account for the “web of hormones” (including, e.g., leptin and insulin) related to food intake and energy homeostasis.","author":[{"dropping-particle":"","family":"Pires","given":"J.G.","non-dropping-particle":"","parse-names":false,"suffix":""},{"dropping-particle":"","family":"Borri","given":"A.","non-dropping-particle":"","parse-names":false,"suffix":""},{"dropping-particle":"","family":"Gaetano","given":"A.","non-dropping-particle":"De","parse-names":false,"suffix":""},{"dropping-particle":"","family":"Manes","given":"C.","non-dropping-particle":"","parse-names":false,"suffix":""},{"dropping-particle":"","family":"Palumbo","given":"P.","non-dropping-particle":"","parse-names":false,"suffix":""}],"container-title":"IFAC-PapersOnLine","id":"ITEM-1","issue":"1","issued":{"date-parts":[["2017","7"]]},"page":"11011-11016","title":"A short-term dynamical model for ghrelin","type":"article-journal","volume":"50"},"uris":["http://www.mendeley.com/documents/?uuid=3d35a702-bff7-4c5b-8474-dd96d6352edb"]}],"mendeley":{"formattedCitation":"(Pires et al., 2017)","plainTextFormattedCitation":"(Pires et al., 2017)","previouslyFormattedCitation":"(Pires et al., 2017)"},"properties":{"noteIndex":0},"schema":"https://github.com/citation-style-language/schema/raw/master/csl-citation.json"}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(Pires et al., 2017)</w:t>
            </w:r>
            <w:r w:rsidRPr="00D3536F">
              <w:rPr>
                <w:rFonts w:ascii="Times New Roman" w:eastAsiaTheme="minorEastAsia" w:hAnsi="Times New Roman" w:cs="Times New Roman"/>
                <w:iCs/>
                <w:sz w:val="24"/>
                <w:szCs w:val="24"/>
                <w:lang w:val="en-US"/>
              </w:rPr>
              <w:fldChar w:fldCharType="end"/>
            </w:r>
          </w:p>
        </w:tc>
      </w:tr>
      <w:tr w:rsidR="00DC65C1" w:rsidRPr="00D3536F" w14:paraId="1615FD33" w14:textId="77777777" w:rsidTr="00034A14">
        <w:tc>
          <w:tcPr>
            <w:tcW w:w="1455" w:type="dxa"/>
            <w:vAlign w:val="center"/>
          </w:tcPr>
          <w:p w14:paraId="6E72639C" w14:textId="0AEEAD1F" w:rsidR="00DC65C1" w:rsidRPr="00D3536F" w:rsidRDefault="00DC65C1" w:rsidP="00D3536F">
            <w:pPr>
              <w:spacing w:line="480" w:lineRule="auto"/>
              <w:jc w:val="center"/>
              <w:rPr>
                <w:rFonts w:ascii="Calibri" w:eastAsia="Calibri" w:hAnsi="Calibri" w:cs="Arial"/>
                <w:sz w:val="24"/>
                <w:szCs w:val="24"/>
                <w:lang w:val="en-US"/>
              </w:rPr>
            </w:pPr>
            <m:oMathPara>
              <m:oMath>
                <m:r>
                  <w:rPr>
                    <w:rFonts w:ascii="Cambria Math" w:eastAsia="Calibri" w:hAnsi="Cambria Math" w:cs="Arial"/>
                    <w:sz w:val="24"/>
                    <w:szCs w:val="24"/>
                    <w:lang w:val="en-US"/>
                  </w:rPr>
                  <m:t>η</m:t>
                </m:r>
              </m:oMath>
            </m:oMathPara>
          </w:p>
        </w:tc>
        <w:tc>
          <w:tcPr>
            <w:tcW w:w="1526" w:type="dxa"/>
            <w:vAlign w:val="center"/>
          </w:tcPr>
          <w:p w14:paraId="35644059" w14:textId="3CEC58F2" w:rsidR="00DC65C1" w:rsidRPr="00D3536F" w:rsidRDefault="00DC65C1"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24</w:t>
            </w:r>
          </w:p>
        </w:tc>
        <w:tc>
          <w:tcPr>
            <w:tcW w:w="1750" w:type="dxa"/>
            <w:vAlign w:val="center"/>
          </w:tcPr>
          <w:p w14:paraId="620566BA" w14:textId="0E613CA3" w:rsidR="00DC65C1" w:rsidRPr="00D3536F" w:rsidRDefault="00DC65C1"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0442E9F5" w14:textId="2DF31B98" w:rsidR="00DC65C1" w:rsidRPr="00D3536F" w:rsidRDefault="00DC65C1"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{"citationItems":[{"id":"ITEM-1","itemData":{"DOI":"10.1016/j.cmet.2008.11.005","ISSN":"15504131","PMID":"19117546","abstract":"We have developed a physiologically based mathematical model, with parameters derived from published experimental data, to simulate the regulatory effects of the leptin pathway on murine energy homeostasis. Model outcomes are consistent with data reported in the literature and reproduce key characteristics of the energy regulatory system, including compensatory responses that counteract changes in body weight and the failure of this ability when the leptin pathway is disrupted. Our model revealed the possibility of multiple steady states for body weight. It also provided a unified theoretical framework for two historically antagonistic hypotheses regarding body weight regulation (\"set-point\" versus \"settling point\"). Finally, our model has identified potential avenues for future investigations. © 2009 Elsevier Inc. All rights reserved.","author":[{"dropping-particle":"","family":"Tam","given":"Joshua","non-dropping-particle":"","parse-names":false,"suffix":""},{"dropping-particle":"","family":"Fukumura","given":"Dai","non-dropping-particle":"","parse-names":false,"suffix":""},{"dropping-particle":"","family":"Jain","given":"Rakesh K.","non-dropping-particle":"","parse-names":false,"suffix":""}],"container-title":"Cell Metabolism","id":"ITEM-1","issue":"1","issued":{"date-parts":[["2009","1"]]},"page":"52-63","publisher":"Elsevier Inc.","title":"A Mathematical Model of Murine Metabolic Regulation by Leptin: Energy Balance and Defense of a Stable Body Weight","type":"article-journal","volume":"9"},"uris":["http://www.mendeley.com/documents/?uuid=8e0dbeb1-7d57-4418-8963-a0baee1bb748"]}],"mendeley":{"formattedCitation":"(Tam et al., 2009)","plainTextFormattedCitation":"(Tam et al., 2009)"},"properties":{"noteIndex":0},"schema":"https://github.com/citation-style-language/schema/raw/master/csl-citation.json"}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(Tam et al., 2009)</w:t>
            </w:r>
            <w:r w:rsidRPr="00D3536F">
              <w:rPr>
                <w:rFonts w:ascii="Times New Roman" w:eastAsiaTheme="minorEastAsia" w:hAnsi="Times New Roman" w:cs="Times New Roman"/>
                <w:iCs/>
                <w:sz w:val="24"/>
                <w:szCs w:val="24"/>
                <w:lang w:val="en-US"/>
              </w:rPr>
              <w:fldChar w:fldCharType="end"/>
            </w:r>
          </w:p>
        </w:tc>
      </w:tr>
      <w:tr w:rsidR="00C01148" w:rsidRPr="00D3536F" w14:paraId="0A1A1C61" w14:textId="77777777" w:rsidTr="00034A14">
        <w:tc>
          <w:tcPr>
            <w:tcW w:w="1455" w:type="dxa"/>
            <w:vAlign w:val="center"/>
          </w:tcPr>
          <w:p w14:paraId="6466AB9E"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
              <m:r>
                <w:rPr>
                  <w:rFonts w:ascii="Cambria Math" w:hAnsi="Cambria Math" w:cs="Times New Roman"/>
                  <w:sz w:val="24"/>
                  <w:szCs w:val="24"/>
                  <w:lang w:val="en-US"/>
                </w:rPr>
                <m:t>θ</m:t>
              </m:r>
            </m:oMath>
            <w:r w:rsidRPr="00D3536F">
              <w:rPr>
                <w:rFonts w:ascii="Times New Roman" w:eastAsia="Times New Roman" w:hAnsi="Times New Roman" w:cs="Times New Roman"/>
                <w:sz w:val="24"/>
                <w:szCs w:val="24"/>
                <w:lang w:val="en-US"/>
              </w:rPr>
              <w:t>*</w:t>
            </w:r>
          </w:p>
        </w:tc>
        <w:tc>
          <w:tcPr>
            <w:tcW w:w="1526" w:type="dxa"/>
            <w:vAlign w:val="center"/>
          </w:tcPr>
          <w:p w14:paraId="51D2BB8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528.63</w:t>
            </w:r>
          </w:p>
        </w:tc>
        <w:tc>
          <w:tcPr>
            <w:tcW w:w="1750" w:type="dxa"/>
            <w:vAlign w:val="center"/>
          </w:tcPr>
          <w:p w14:paraId="1C709F1B"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pM h</m:t>
                    </m:r>
                  </m:e>
                  <m:sup>
                    <m:r>
                      <w:rPr>
                        <w:rFonts w:ascii="Cambria Math" w:eastAsiaTheme="minorEastAsia" w:hAnsi="Cambria Math" w:cs="Times New Roman"/>
                        <w:sz w:val="24"/>
                        <w:szCs w:val="24"/>
                        <w:lang w:val="en-US"/>
                      </w:rPr>
                      <m:t>-1</m:t>
                    </m:r>
                  </m:sup>
                </m:sSup>
              </m:oMath>
            </m:oMathPara>
          </w:p>
        </w:tc>
        <w:tc>
          <w:tcPr>
            <w:tcW w:w="4323" w:type="dxa"/>
            <w:vAlign w:val="center"/>
          </w:tcPr>
          <w:p w14:paraId="279494B8" w14:textId="3F7B3DAD"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550CB75F" w14:textId="77777777" w:rsidTr="00034A14">
        <w:tc>
          <w:tcPr>
            <w:tcW w:w="1455" w:type="dxa"/>
            <w:vAlign w:val="center"/>
          </w:tcPr>
          <w:p w14:paraId="26BF7E4C"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Para>
              <m:oMath>
                <m:r>
                  <w:rPr>
                    <w:rFonts w:ascii="Cambria Math" w:hAnsi="Cambria Math" w:cs="Times New Roman"/>
                    <w:sz w:val="24"/>
                    <w:szCs w:val="24"/>
                    <w:lang w:val="en-US"/>
                  </w:rPr>
                  <m:t>δ</m:t>
                </m:r>
              </m:oMath>
            </m:oMathPara>
          </w:p>
        </w:tc>
        <w:tc>
          <w:tcPr>
            <w:tcW w:w="1526" w:type="dxa"/>
            <w:vAlign w:val="center"/>
          </w:tcPr>
          <w:p w14:paraId="1B5CE0E9"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0.38</w:t>
            </w:r>
          </w:p>
        </w:tc>
        <w:tc>
          <w:tcPr>
            <w:tcW w:w="1750" w:type="dxa"/>
            <w:vAlign w:val="center"/>
          </w:tcPr>
          <w:p w14:paraId="552D001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L</m:t>
                    </m:r>
                  </m:e>
                  <m:sup>
                    <m:r>
                      <w:rPr>
                        <w:rFonts w:ascii="Cambria Math" w:eastAsiaTheme="minorEastAsia" w:hAnsi="Cambria Math" w:cs="Times New Roman"/>
                        <w:sz w:val="24"/>
                        <w:szCs w:val="24"/>
                        <w:lang w:val="en-US"/>
                      </w:rPr>
                      <m:t>-1</m:t>
                    </m:r>
                  </m:sup>
                </m:sSup>
              </m:oMath>
            </m:oMathPara>
          </w:p>
        </w:tc>
        <w:tc>
          <w:tcPr>
            <w:tcW w:w="4323" w:type="dxa"/>
            <w:vAlign w:val="center"/>
          </w:tcPr>
          <w:p w14:paraId="3A687992" w14:textId="0D3CA957"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5F2426F3" w14:textId="77777777" w:rsidTr="00034A14">
        <w:tc>
          <w:tcPr>
            <w:tcW w:w="1455" w:type="dxa"/>
            <w:vAlign w:val="center"/>
          </w:tcPr>
          <w:p w14:paraId="63E38F7A"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
              <m:r>
                <w:rPr>
                  <w:rFonts w:ascii="Cambria Math" w:hAnsi="Cambria Math" w:cs="Times New Roman"/>
                  <w:sz w:val="24"/>
                  <w:szCs w:val="24"/>
                  <w:lang w:val="en-US"/>
                </w:rPr>
                <m:t>R</m:t>
              </m:r>
            </m:oMath>
            <w:r w:rsidRPr="00D3536F">
              <w:rPr>
                <w:rFonts w:ascii="Times New Roman" w:eastAsia="Times New Roman" w:hAnsi="Times New Roman" w:cs="Times New Roman"/>
                <w:sz w:val="24"/>
                <w:szCs w:val="24"/>
                <w:lang w:val="en-US"/>
              </w:rPr>
              <w:t>*</w:t>
            </w:r>
          </w:p>
        </w:tc>
        <w:tc>
          <w:tcPr>
            <w:tcW w:w="1526" w:type="dxa"/>
            <w:vAlign w:val="center"/>
          </w:tcPr>
          <w:p w14:paraId="2C041E9A" w14:textId="5C07249E" w:rsidR="00C01148" w:rsidRPr="00D3536F" w:rsidRDefault="00DC65C1"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w:t>
            </w:r>
            <w:r w:rsidR="009A3EE5" w:rsidRPr="00D3536F">
              <w:rPr>
                <w:rFonts w:ascii="Times New Roman" w:eastAsia="Times New Roman" w:hAnsi="Times New Roman" w:cs="Times New Roman"/>
                <w:iCs/>
                <w:sz w:val="24"/>
                <w:szCs w:val="24"/>
                <w:lang w:val="en-US"/>
              </w:rPr>
              <w:t>11</w:t>
            </w:r>
          </w:p>
        </w:tc>
        <w:tc>
          <w:tcPr>
            <w:tcW w:w="1750" w:type="dxa"/>
            <w:vAlign w:val="center"/>
          </w:tcPr>
          <w:p w14:paraId="3516C746"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ng h</m:t>
                    </m:r>
                  </m:e>
                  <m:sup>
                    <m:r>
                      <w:rPr>
                        <w:rFonts w:ascii="Cambria Math" w:eastAsiaTheme="minorEastAsia" w:hAnsi="Cambria Math" w:cs="Times New Roman"/>
                        <w:sz w:val="24"/>
                        <w:szCs w:val="24"/>
                        <w:lang w:val="en-US"/>
                      </w:rPr>
                      <m:t>-1</m:t>
                    </m:r>
                  </m:sup>
                </m:sSup>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mg</m:t>
                    </m:r>
                  </m:e>
                  <m:sup>
                    <m:r>
                      <w:rPr>
                        <w:rFonts w:ascii="Cambria Math" w:eastAsiaTheme="minorEastAsia" w:hAnsi="Cambria Math" w:cs="Times New Roman"/>
                        <w:sz w:val="24"/>
                        <w:szCs w:val="24"/>
                        <w:lang w:val="en-US"/>
                      </w:rPr>
                      <m:t>-1</m:t>
                    </m:r>
                  </m:sup>
                </m:sSup>
              </m:oMath>
            </m:oMathPara>
          </w:p>
        </w:tc>
        <w:tc>
          <w:tcPr>
            <w:tcW w:w="4323" w:type="dxa"/>
            <w:vAlign w:val="center"/>
          </w:tcPr>
          <w:p w14:paraId="45E78D4A" w14:textId="0CBD3032"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5E70C5BC" w14:textId="77777777" w:rsidTr="00034A14">
        <w:tc>
          <w:tcPr>
            <w:tcW w:w="1455" w:type="dxa"/>
            <w:vAlign w:val="center"/>
          </w:tcPr>
          <w:p w14:paraId="08F714AB"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Para>
              <m:oMath>
                <m:r>
                  <w:rPr>
                    <w:rFonts w:ascii="Cambria Math" w:hAnsi="Cambria Math" w:cs="Times New Roman"/>
                    <w:sz w:val="24"/>
                    <w:szCs w:val="24"/>
                    <w:lang w:val="en-US"/>
                  </w:rPr>
                  <w:lastRenderedPageBreak/>
                  <m:t>s</m:t>
                </m:r>
              </m:oMath>
            </m:oMathPara>
          </w:p>
        </w:tc>
        <w:tc>
          <w:tcPr>
            <w:tcW w:w="1526" w:type="dxa"/>
            <w:vAlign w:val="center"/>
          </w:tcPr>
          <w:p w14:paraId="09E0962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4</w:t>
            </w:r>
          </w:p>
        </w:tc>
        <w:tc>
          <w:tcPr>
            <w:tcW w:w="1750" w:type="dxa"/>
            <w:vAlign w:val="center"/>
          </w:tcPr>
          <w:p w14:paraId="07EDFCB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5004AD14" w14:textId="5D84C13C"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DC65C1" w:rsidRPr="00D3536F" w14:paraId="560CFE99" w14:textId="77777777" w:rsidTr="00034A14">
        <w:tc>
          <w:tcPr>
            <w:tcW w:w="1455" w:type="dxa"/>
            <w:vAlign w:val="center"/>
          </w:tcPr>
          <w:p w14:paraId="6F90DE8C" w14:textId="73F10431" w:rsidR="00DC65C1" w:rsidRPr="00D3536F" w:rsidRDefault="00DC65C1" w:rsidP="00D3536F">
            <w:pPr>
              <w:spacing w:line="480" w:lineRule="auto"/>
              <w:jc w:val="center"/>
              <w:rPr>
                <w:rFonts w:ascii="Calibri" w:eastAsia="Calibri" w:hAnsi="Calibri" w:cs="Arial"/>
                <w:sz w:val="24"/>
                <w:szCs w:val="24"/>
                <w:lang w:val="en-US"/>
              </w:rPr>
            </w:pPr>
            <m:oMathPara>
              <m:oMath>
                <m:r>
                  <w:rPr>
                    <w:rFonts w:ascii="Cambria Math" w:eastAsia="Calibri" w:hAnsi="Cambria Math" w:cs="Arial"/>
                    <w:sz w:val="24"/>
                    <w:szCs w:val="24"/>
                    <w:lang w:val="en-US"/>
                  </w:rPr>
                  <m:t>l</m:t>
                </m:r>
              </m:oMath>
            </m:oMathPara>
          </w:p>
        </w:tc>
        <w:tc>
          <w:tcPr>
            <w:tcW w:w="1526" w:type="dxa"/>
            <w:vAlign w:val="center"/>
          </w:tcPr>
          <w:p w14:paraId="23B690BB" w14:textId="5C7CA04D" w:rsidR="00DC65C1" w:rsidRPr="00D3536F" w:rsidRDefault="009A3EE5"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w:t>
            </w:r>
          </w:p>
        </w:tc>
        <w:tc>
          <w:tcPr>
            <w:tcW w:w="1750" w:type="dxa"/>
            <w:vAlign w:val="center"/>
          </w:tcPr>
          <w:p w14:paraId="2DDB10C1" w14:textId="5F7718C1" w:rsidR="00DC65C1" w:rsidRPr="00D3536F" w:rsidRDefault="00DC65C1"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Dimensionless</w:t>
            </w:r>
          </w:p>
        </w:tc>
        <w:tc>
          <w:tcPr>
            <w:tcW w:w="4323" w:type="dxa"/>
            <w:vAlign w:val="center"/>
          </w:tcPr>
          <w:p w14:paraId="481E8624" w14:textId="6E7497BD" w:rsidR="00DC65C1" w:rsidRPr="00D3536F" w:rsidRDefault="00DC65C1"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1084E53C" w14:textId="77777777" w:rsidTr="00034A14">
        <w:tc>
          <w:tcPr>
            <w:tcW w:w="1455" w:type="dxa"/>
            <w:vAlign w:val="center"/>
          </w:tcPr>
          <w:p w14:paraId="275EA599"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
              <m:sSub>
                <m:sSubPr>
                  <m:ctrlPr>
                    <w:rPr>
                      <w:rFonts w:ascii="Cambria Math" w:hAnsi="Cambria Math" w:cs="Times New Roman"/>
                      <w:iCs/>
                      <w:sz w:val="24"/>
                      <w:szCs w:val="24"/>
                      <w:lang w:val="en-US"/>
                    </w:rPr>
                  </m:ctrlPr>
                </m:sSubPr>
                <m:e>
                  <m:r>
                    <w:rPr>
                      <w:rFonts w:ascii="Cambria Math" w:hAnsi="Cambria Math" w:cs="Times New Roman"/>
                      <w:sz w:val="24"/>
                      <w:szCs w:val="24"/>
                      <w:lang w:val="en-US"/>
                    </w:rPr>
                    <m:t>I</m:t>
                  </m:r>
                </m:e>
                <m:sub>
                  <m:r>
                    <m:rPr>
                      <m:sty m:val="p"/>
                    </m:rPr>
                    <w:rPr>
                      <w:rFonts w:ascii="Cambria Math" w:hAnsi="Cambria Math" w:cs="Times New Roman"/>
                      <w:sz w:val="24"/>
                      <w:szCs w:val="24"/>
                      <w:lang w:val="en-US"/>
                    </w:rPr>
                    <m:t>Basal</m:t>
                  </m:r>
                </m:sub>
              </m:sSub>
            </m:oMath>
            <w:r w:rsidR="00C01148" w:rsidRPr="00D3536F">
              <w:rPr>
                <w:rFonts w:ascii="Times New Roman" w:eastAsia="Times New Roman" w:hAnsi="Times New Roman" w:cs="Times New Roman"/>
                <w:iCs/>
                <w:sz w:val="24"/>
                <w:szCs w:val="24"/>
                <w:lang w:val="en-US"/>
              </w:rPr>
              <w:t>*</w:t>
            </w:r>
          </w:p>
        </w:tc>
        <w:tc>
          <w:tcPr>
            <w:tcW w:w="1526" w:type="dxa"/>
            <w:vAlign w:val="center"/>
          </w:tcPr>
          <w:p w14:paraId="7503B26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90</w:t>
            </w:r>
          </w:p>
        </w:tc>
        <w:tc>
          <w:tcPr>
            <w:tcW w:w="1750" w:type="dxa"/>
            <w:vAlign w:val="center"/>
          </w:tcPr>
          <w:p w14:paraId="29E0E34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w:rPr>
                        <w:rFonts w:ascii="Cambria Math" w:eastAsiaTheme="minorEastAsia" w:hAnsi="Cambria Math" w:cs="Times New Roman"/>
                        <w:sz w:val="24"/>
                        <w:szCs w:val="24"/>
                        <w:lang w:val="en-US"/>
                      </w:rPr>
                      <m:t>pM h</m:t>
                    </m:r>
                  </m:e>
                  <m:sup>
                    <m:r>
                      <w:rPr>
                        <w:rFonts w:ascii="Cambria Math" w:eastAsiaTheme="minorEastAsia" w:hAnsi="Cambria Math" w:cs="Times New Roman"/>
                        <w:sz w:val="24"/>
                        <w:szCs w:val="24"/>
                        <w:lang w:val="en-US"/>
                      </w:rPr>
                      <m:t>-1</m:t>
                    </m:r>
                  </m:sup>
                </m:sSup>
              </m:oMath>
            </m:oMathPara>
          </w:p>
        </w:tc>
        <w:tc>
          <w:tcPr>
            <w:tcW w:w="4323" w:type="dxa"/>
            <w:vAlign w:val="center"/>
          </w:tcPr>
          <w:p w14:paraId="337AFE92" w14:textId="5A8BC727"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B978-1-4557-2758-2.00034-2","ISBN":"9781455727582","author":[{"dropping-particle":"","family":"Carmina","given":"Enrico","non-dropping-particle":"","parse-names":false,"suffix":""},{"dropping-particle":"","family":"Stanczyk","given":"Frank Z.","non-dropping-particle":"","parse-names":false,"suffix":""},{"dropping-particle":"","family":"Lobo","given":"Rogerio A.","non-dropping-particle":"","parse-names":false,"suffix":""}],"container-title":"Yen &amp; Jaffe's Reproductive Endocrinology","edition":"Seventh Ed","id":"ITEM-1","issued":{"date-parts":[["2014"]]},"page":"822-850.e3","publisher":"Elsevier","title":"Laboratory Assessment","type":"chapter"},"uris":["http://www.mendeley.com/documents/?uuid=6bb4f74f-fcf5-4ba5-9c01-7d6032102ea8"]}],"mendeley":{"formattedCitation":"(Carmina et al., 2014)","plainTextFormattedCitation":"(Carmina et al., 2014)","previouslyFormattedCitation":"(Carmina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(Carmina et al., 2014)</w:t>
            </w:r>
            <w:r w:rsidRPr="00D3536F">
              <w:rPr>
                <w:rFonts w:ascii="Times New Roman" w:eastAsiaTheme="minorEastAsia" w:hAnsi="Times New Roman" w:cs="Times New Roman"/>
                <w:iCs/>
                <w:sz w:val="24"/>
                <w:szCs w:val="24"/>
                <w:lang w:val="en-US"/>
              </w:rPr>
              <w:fldChar w:fldCharType="end"/>
            </w:r>
          </w:p>
        </w:tc>
      </w:tr>
      <w:tr w:rsidR="00C01148" w:rsidRPr="00D3536F" w14:paraId="33AA90D4" w14:textId="77777777" w:rsidTr="00034A14">
        <w:tc>
          <w:tcPr>
            <w:tcW w:w="1455" w:type="dxa"/>
            <w:vAlign w:val="center"/>
          </w:tcPr>
          <w:p w14:paraId="555AD921"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Para>
              <m:oMath>
                <m:r>
                  <m:rPr>
                    <m:sty m:val="p"/>
                  </m:rPr>
                  <w:rPr>
                    <w:rFonts w:ascii="Cambria Math" w:hAnsi="Cambria Math" w:cs="Times New Roman"/>
                    <w:sz w:val="24"/>
                    <w:szCs w:val="24"/>
                    <w:lang w:val="en-US"/>
                  </w:rPr>
                  <m:t>FM</m:t>
                </m:r>
              </m:oMath>
            </m:oMathPara>
          </w:p>
        </w:tc>
        <w:tc>
          <w:tcPr>
            <w:tcW w:w="1526" w:type="dxa"/>
            <w:vAlign w:val="center"/>
          </w:tcPr>
          <w:p w14:paraId="1948B8E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60000</w:t>
            </w:r>
          </w:p>
        </w:tc>
        <w:tc>
          <w:tcPr>
            <w:tcW w:w="1750" w:type="dxa"/>
            <w:vAlign w:val="center"/>
          </w:tcPr>
          <w:p w14:paraId="15E96D2D" w14:textId="0281F081"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g</w:t>
            </w:r>
          </w:p>
        </w:tc>
        <w:tc>
          <w:tcPr>
            <w:tcW w:w="4323" w:type="dxa"/>
            <w:vAlign w:val="center"/>
          </w:tcPr>
          <w:p w14:paraId="370E1E3B" w14:textId="303AFB1D" w:rsidR="00C01148" w:rsidRPr="00D3536F" w:rsidRDefault="008E50CB"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Average</w:t>
            </w:r>
            <w:r w:rsidR="002D425F" w:rsidRPr="00D3536F">
              <w:rPr>
                <w:rFonts w:ascii="Times New Roman" w:eastAsiaTheme="minorEastAsia" w:hAnsi="Times New Roman" w:cs="Times New Roman"/>
                <w:iCs/>
                <w:sz w:val="24"/>
                <w:szCs w:val="24"/>
                <w:lang w:val="en-US"/>
              </w:rPr>
              <w:t xml:space="preserve"> </w:t>
            </w:r>
            <w:r w:rsidRPr="00D3536F">
              <w:rPr>
                <w:rFonts w:ascii="Times New Roman" w:eastAsiaTheme="minorEastAsia" w:hAnsi="Times New Roman" w:cs="Times New Roman"/>
                <w:iCs/>
                <w:sz w:val="24"/>
                <w:szCs w:val="24"/>
                <w:lang w:val="en-US"/>
              </w:rPr>
              <w:t>weight of a person</w:t>
            </w:r>
          </w:p>
        </w:tc>
      </w:tr>
      <w:tr w:rsidR="00C01148" w:rsidRPr="00D3536F" w14:paraId="3E9AEEEE" w14:textId="77777777" w:rsidTr="00034A14">
        <w:tc>
          <w:tcPr>
            <w:tcW w:w="1455" w:type="dxa"/>
            <w:vAlign w:val="center"/>
          </w:tcPr>
          <w:p w14:paraId="3182F53A" w14:textId="77777777" w:rsidR="00C01148" w:rsidRPr="00D3536F" w:rsidRDefault="00C01148" w:rsidP="00D3536F">
            <w:pPr>
              <w:spacing w:line="480" w:lineRule="auto"/>
              <w:jc w:val="center"/>
              <w:rPr>
                <w:rFonts w:ascii="Times New Roman" w:eastAsia="Times New Roman" w:hAnsi="Times New Roman" w:cs="Times New Roman"/>
                <w:sz w:val="24"/>
                <w:szCs w:val="24"/>
                <w:lang w:val="en-US"/>
              </w:rPr>
            </w:pPr>
            <m:oMathPara>
              <m:oMath>
                <m:r>
                  <w:rPr>
                    <w:rFonts w:ascii="Cambria Math" w:hAnsi="Cambria Math" w:cs="Times New Roman"/>
                    <w:sz w:val="24"/>
                    <w:szCs w:val="24"/>
                    <w:lang w:val="en-US"/>
                  </w:rPr>
                  <m:t>BV</m:t>
                </m:r>
              </m:oMath>
            </m:oMathPara>
          </w:p>
        </w:tc>
        <w:tc>
          <w:tcPr>
            <w:tcW w:w="1526" w:type="dxa"/>
            <w:vAlign w:val="center"/>
          </w:tcPr>
          <w:p w14:paraId="08066E3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5000</w:t>
            </w:r>
          </w:p>
        </w:tc>
        <w:tc>
          <w:tcPr>
            <w:tcW w:w="1750" w:type="dxa"/>
            <w:vAlign w:val="center"/>
          </w:tcPr>
          <w:p w14:paraId="79BFEE8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ml</w:t>
            </w:r>
          </w:p>
        </w:tc>
        <w:tc>
          <w:tcPr>
            <w:tcW w:w="4323" w:type="dxa"/>
            <w:vAlign w:val="center"/>
          </w:tcPr>
          <w:p w14:paraId="532E9F1D" w14:textId="04F70194" w:rsidR="00C01148" w:rsidRPr="00D3536F" w:rsidRDefault="0080028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Blood volume based on the weight</w:t>
            </w:r>
          </w:p>
        </w:tc>
      </w:tr>
      <w:tr w:rsidR="00C01148" w:rsidRPr="00D3536F" w14:paraId="73E924EC" w14:textId="77777777" w:rsidTr="00034A14">
        <w:tc>
          <w:tcPr>
            <w:tcW w:w="1455" w:type="dxa"/>
            <w:vAlign w:val="center"/>
          </w:tcPr>
          <w:p w14:paraId="58CD00AB"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Cs/>
                        <w:sz w:val="24"/>
                        <w:szCs w:val="24"/>
                        <w:lang w:val="en-US"/>
                      </w:rPr>
                    </m:ctrlPr>
                  </m:sSubPr>
                  <m:e>
                    <m:r>
                      <m:rPr>
                        <m:sty m:val="bi"/>
                      </m:rP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INSR</m:t>
                    </m:r>
                  </m:sub>
                </m:sSub>
              </m:oMath>
            </m:oMathPara>
          </w:p>
        </w:tc>
        <w:tc>
          <w:tcPr>
            <w:tcW w:w="1526" w:type="dxa"/>
            <w:vAlign w:val="center"/>
          </w:tcPr>
          <w:p w14:paraId="4B9F82A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0.1</w:t>
            </w:r>
          </w:p>
        </w:tc>
        <w:tc>
          <w:tcPr>
            <w:tcW w:w="1750" w:type="dxa"/>
            <w:vAlign w:val="center"/>
          </w:tcPr>
          <w:p w14:paraId="4164150A"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3787E857" w14:textId="2E59E35D" w:rsidR="00C01148" w:rsidRPr="00D3536F" w:rsidRDefault="00864ADE"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lang w:val="en-US"/>
              </w:rPr>
              <w:t xml:space="preserve"> </w:t>
            </w: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4A2878E3" w14:textId="77777777" w:rsidTr="00034A14">
        <w:tc>
          <w:tcPr>
            <w:tcW w:w="1455" w:type="dxa"/>
            <w:vAlign w:val="center"/>
          </w:tcPr>
          <w:p w14:paraId="523A7156"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Cs/>
                        <w:sz w:val="24"/>
                        <w:szCs w:val="24"/>
                        <w:lang w:val="en-US"/>
                      </w:rPr>
                    </m:ctrlPr>
                  </m:sSubPr>
                  <m:e>
                    <m:r>
                      <m:rPr>
                        <m:sty m:val="bi"/>
                      </m:rP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LEPR</m:t>
                    </m:r>
                  </m:sub>
                </m:sSub>
              </m:oMath>
            </m:oMathPara>
          </w:p>
        </w:tc>
        <w:tc>
          <w:tcPr>
            <w:tcW w:w="1526" w:type="dxa"/>
            <w:vAlign w:val="center"/>
          </w:tcPr>
          <w:p w14:paraId="271AD6F9" w14:textId="6CB72848"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w:t>
            </w:r>
            <w:r w:rsidR="00EE1780" w:rsidRPr="00D3536F">
              <w:rPr>
                <w:rFonts w:ascii="Times New Roman" w:eastAsia="Times New Roman" w:hAnsi="Times New Roman" w:cs="Times New Roman"/>
                <w:iCs/>
                <w:sz w:val="24"/>
                <w:szCs w:val="24"/>
                <w:lang w:val="en-US"/>
              </w:rPr>
              <w:t>0</w:t>
            </w:r>
            <w:r w:rsidR="004628C4" w:rsidRPr="00D3536F">
              <w:rPr>
                <w:rFonts w:ascii="Times New Roman" w:eastAsia="Times New Roman" w:hAnsi="Times New Roman" w:cs="Times New Roman"/>
                <w:iCs/>
                <w:sz w:val="24"/>
                <w:szCs w:val="24"/>
                <w:lang w:val="en-US"/>
              </w:rPr>
              <w:t>45</w:t>
            </w:r>
          </w:p>
        </w:tc>
        <w:tc>
          <w:tcPr>
            <w:tcW w:w="1750" w:type="dxa"/>
            <w:vAlign w:val="center"/>
          </w:tcPr>
          <w:p w14:paraId="4BB5C30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1708DD8F" w14:textId="077EFE3D" w:rsidR="00C01148" w:rsidRPr="00D3536F" w:rsidRDefault="00864ADE"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lang w:val="en-US"/>
              </w:rPr>
              <w:t xml:space="preserve"> </w:t>
            </w: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4B1CF8DC" w14:textId="77777777" w:rsidTr="00034A14">
        <w:tc>
          <w:tcPr>
            <w:tcW w:w="1455" w:type="dxa"/>
            <w:vAlign w:val="center"/>
          </w:tcPr>
          <w:p w14:paraId="0DB27050"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Cs/>
                        <w:sz w:val="24"/>
                        <w:szCs w:val="24"/>
                        <w:lang w:val="en-US"/>
                      </w:rPr>
                    </m:ctrlPr>
                  </m:sSubPr>
                  <m:e>
                    <m:r>
                      <m:rPr>
                        <m:sty m:val="bi"/>
                      </m:rPr>
                      <w:rPr>
                        <w:rFonts w:ascii="Cambria Math" w:eastAsiaTheme="minorEastAsia" w:hAnsi="Cambria Math" w:cs="Times New Roman"/>
                        <w:sz w:val="24"/>
                        <w:szCs w:val="24"/>
                        <w:lang w:val="en-US"/>
                      </w:rPr>
                      <m:t>g</m:t>
                    </m:r>
                  </m:e>
                  <m:sub>
                    <m:r>
                      <w:rPr>
                        <w:rFonts w:ascii="Cambria Math" w:eastAsiaTheme="minorEastAsia" w:hAnsi="Cambria Math" w:cs="Times New Roman"/>
                        <w:sz w:val="24"/>
                        <w:szCs w:val="24"/>
                        <w:lang w:val="en-US"/>
                      </w:rPr>
                      <m:t>GHSR</m:t>
                    </m:r>
                  </m:sub>
                </m:sSub>
              </m:oMath>
            </m:oMathPara>
          </w:p>
        </w:tc>
        <w:tc>
          <w:tcPr>
            <w:tcW w:w="1526" w:type="dxa"/>
            <w:vAlign w:val="center"/>
          </w:tcPr>
          <w:p w14:paraId="118B6A5B"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0.1</w:t>
            </w:r>
          </w:p>
        </w:tc>
        <w:tc>
          <w:tcPr>
            <w:tcW w:w="1750" w:type="dxa"/>
            <w:vAlign w:val="center"/>
          </w:tcPr>
          <w:p w14:paraId="2C7BEEDD"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p>
                  <m:sSupPr>
                    <m:ctrlPr>
                      <w:rPr>
                        <w:rFonts w:ascii="Cambria Math" w:eastAsiaTheme="minorEastAsia" w:hAnsi="Cambria Math" w:cs="Times New Roman"/>
                        <w:i/>
                        <w:iCs/>
                        <w:sz w:val="24"/>
                        <w:szCs w:val="24"/>
                        <w:lang w:val="en-US"/>
                      </w:rPr>
                    </m:ctrlPr>
                  </m:sSupPr>
                  <m:e>
                    <m:r>
                      <m:rPr>
                        <m:sty m:val="p"/>
                      </m:rPr>
                      <w:rPr>
                        <w:rFonts w:ascii="Cambria Math" w:eastAsiaTheme="minorEastAsia" w:hAnsi="Cambria Math" w:cs="Times New Roman"/>
                        <w:sz w:val="24"/>
                        <w:szCs w:val="24"/>
                        <w:lang w:val="en-US"/>
                      </w:rPr>
                      <m:t xml:space="preserve">µS </m:t>
                    </m:r>
                    <m:r>
                      <w:rPr>
                        <w:rFonts w:ascii="Cambria Math" w:eastAsiaTheme="minorEastAsia" w:hAnsi="Cambria Math" w:cs="Times New Roman"/>
                        <w:sz w:val="24"/>
                        <w:szCs w:val="24"/>
                        <w:lang w:val="en-US"/>
                      </w:rPr>
                      <m:t>cm</m:t>
                    </m:r>
                  </m:e>
                  <m:sup>
                    <m:r>
                      <w:rPr>
                        <w:rFonts w:ascii="Cambria Math" w:eastAsiaTheme="minorEastAsia" w:hAnsi="Cambria Math" w:cs="Times New Roman"/>
                        <w:sz w:val="24"/>
                        <w:szCs w:val="24"/>
                        <w:lang w:val="en-US"/>
                      </w:rPr>
                      <m:t>-2</m:t>
                    </m:r>
                  </m:sup>
                </m:sSup>
              </m:oMath>
            </m:oMathPara>
          </w:p>
        </w:tc>
        <w:tc>
          <w:tcPr>
            <w:tcW w:w="4323" w:type="dxa"/>
            <w:vAlign w:val="center"/>
          </w:tcPr>
          <w:p w14:paraId="29876AE7" w14:textId="558D4FA5" w:rsidR="00C01148" w:rsidRPr="00D3536F" w:rsidRDefault="00864ADE"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lang w:val="en-US"/>
              </w:rPr>
              <w:t xml:space="preserve"> </w:t>
            </w:r>
            <w:r w:rsidRPr="00D3536F">
              <w:rPr>
                <w:rFonts w:ascii="Times New Roman" w:eastAsiaTheme="minorEastAsia" w:hAnsi="Times New Roman" w:cs="Times New Roman"/>
                <w:iCs/>
                <w:sz w:val="24"/>
                <w:szCs w:val="24"/>
                <w:lang w:val="en-US"/>
              </w:rPr>
              <w:fldChar w:fldCharType="begin" w:fldLock="1"/>
            </w:r>
            <w:r w:rsidRPr="00D3536F">
              <w:rPr>
                <w:rFonts w:ascii="Times New Roman" w:eastAsiaTheme="minorEastAsia" w:hAnsi="Times New Roman" w:cs="Times New Roman"/>
                <w:iCs/>
                <w:sz w:val="24"/>
                <w:szCs w:val="24"/>
                <w:lang w:val="en-US"/>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4DAA82BA" w14:textId="77777777" w:rsidTr="00034A14">
        <w:tc>
          <w:tcPr>
            <w:tcW w:w="1455" w:type="dxa"/>
            <w:vAlign w:val="center"/>
          </w:tcPr>
          <w:p w14:paraId="3183DAB4"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INSR</m:t>
                        </m:r>
                      </m:e>
                      <m:sub>
                        <m:r>
                          <w:rPr>
                            <w:rFonts w:ascii="Cambria Math" w:eastAsiaTheme="minorEastAsia" w:hAnsi="Cambria Math" w:cs="Times New Roman"/>
                            <w:sz w:val="24"/>
                            <w:szCs w:val="24"/>
                            <w:lang w:val="en-US"/>
                          </w:rPr>
                          <m:t>A</m:t>
                        </m:r>
                      </m:sub>
                    </m:sSub>
                  </m:sub>
                </m:sSub>
              </m:oMath>
            </m:oMathPara>
          </w:p>
        </w:tc>
        <w:tc>
          <w:tcPr>
            <w:tcW w:w="1526" w:type="dxa"/>
            <w:vAlign w:val="center"/>
          </w:tcPr>
          <w:p w14:paraId="2A69E98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-90</w:t>
            </w:r>
          </w:p>
        </w:tc>
        <w:tc>
          <w:tcPr>
            <w:tcW w:w="1750" w:type="dxa"/>
            <w:vAlign w:val="center"/>
          </w:tcPr>
          <w:p w14:paraId="3C2FE9F5"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152F2BA8" w14:textId="48DFA9EA" w:rsidR="00C01148" w:rsidRPr="00D3536F" w:rsidRDefault="00C01148"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lang w:val="en-US"/>
              </w:rPr>
              <w:t xml:space="preserve">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lang w:val="en-US"/>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lang w:val="en-US"/>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4F60B555" w14:textId="77777777" w:rsidTr="00034A14">
        <w:tc>
          <w:tcPr>
            <w:tcW w:w="1455" w:type="dxa"/>
            <w:vAlign w:val="center"/>
          </w:tcPr>
          <w:p w14:paraId="21660A57"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INSR</m:t>
                        </m:r>
                      </m:e>
                      <m:sub>
                        <m:r>
                          <w:rPr>
                            <w:rFonts w:ascii="Cambria Math" w:eastAsiaTheme="minorEastAsia" w:hAnsi="Cambria Math" w:cs="Times New Roman"/>
                            <w:sz w:val="24"/>
                            <w:szCs w:val="24"/>
                            <w:lang w:val="en-US"/>
                          </w:rPr>
                          <m:t>P</m:t>
                        </m:r>
                      </m:sub>
                    </m:sSub>
                  </m:sub>
                </m:sSub>
              </m:oMath>
            </m:oMathPara>
          </w:p>
        </w:tc>
        <w:tc>
          <w:tcPr>
            <w:tcW w:w="1526" w:type="dxa"/>
            <w:vAlign w:val="center"/>
          </w:tcPr>
          <w:p w14:paraId="62A76D3E"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-10</w:t>
            </w:r>
          </w:p>
        </w:tc>
        <w:tc>
          <w:tcPr>
            <w:tcW w:w="1750" w:type="dxa"/>
            <w:vAlign w:val="center"/>
          </w:tcPr>
          <w:p w14:paraId="4C16C1DC"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2017E2B3" w14:textId="5CD3BD44" w:rsidR="00C01148" w:rsidRPr="00D3536F" w:rsidRDefault="00C01148" w:rsidP="00D3536F">
            <w:pPr>
              <w:spacing w:line="480" w:lineRule="auto"/>
              <w:jc w:val="center"/>
              <w:rPr>
                <w:rFonts w:ascii="Times New Roman" w:eastAsiaTheme="minorEastAsia" w:hAnsi="Times New Roman" w:cs="Times New Roman"/>
                <w:iCs/>
                <w:sz w:val="24"/>
                <w:szCs w:val="24"/>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rPr>
              <w:t xml:space="preserve">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4769F06C" w14:textId="77777777" w:rsidTr="00034A14">
        <w:tc>
          <w:tcPr>
            <w:tcW w:w="1455" w:type="dxa"/>
            <w:vAlign w:val="center"/>
          </w:tcPr>
          <w:p w14:paraId="4C196295"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LEPR</m:t>
                        </m:r>
                      </m:e>
                      <m:sub>
                        <m:r>
                          <w:rPr>
                            <w:rFonts w:ascii="Cambria Math" w:eastAsiaTheme="minorEastAsia" w:hAnsi="Cambria Math" w:cs="Times New Roman"/>
                            <w:sz w:val="24"/>
                            <w:szCs w:val="24"/>
                            <w:lang w:val="en-US"/>
                          </w:rPr>
                          <m:t>A</m:t>
                        </m:r>
                      </m:sub>
                    </m:sSub>
                  </m:sub>
                </m:sSub>
              </m:oMath>
            </m:oMathPara>
          </w:p>
        </w:tc>
        <w:tc>
          <w:tcPr>
            <w:tcW w:w="1526" w:type="dxa"/>
            <w:vAlign w:val="center"/>
          </w:tcPr>
          <w:p w14:paraId="04E7CCC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-90</w:t>
            </w:r>
          </w:p>
        </w:tc>
        <w:tc>
          <w:tcPr>
            <w:tcW w:w="1750" w:type="dxa"/>
            <w:vAlign w:val="center"/>
          </w:tcPr>
          <w:p w14:paraId="4BA73E7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6A151F98" w14:textId="5DE829F8" w:rsidR="00C01148" w:rsidRPr="00D3536F" w:rsidRDefault="00C01148" w:rsidP="00D3536F">
            <w:pPr>
              <w:spacing w:line="480" w:lineRule="auto"/>
              <w:jc w:val="center"/>
              <w:rPr>
                <w:rFonts w:ascii="Times New Roman" w:eastAsiaTheme="minorEastAsia" w:hAnsi="Times New Roman" w:cs="Times New Roman"/>
                <w:iCs/>
                <w:sz w:val="24"/>
                <w:szCs w:val="24"/>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rPr>
              <w:t xml:space="preserve">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38FA3A74" w14:textId="77777777" w:rsidTr="00034A14">
        <w:tc>
          <w:tcPr>
            <w:tcW w:w="1455" w:type="dxa"/>
            <w:vAlign w:val="center"/>
          </w:tcPr>
          <w:p w14:paraId="46392FC8" w14:textId="77777777" w:rsidR="00C01148" w:rsidRPr="00D3536F" w:rsidRDefault="00000000" w:rsidP="00D3536F">
            <w:pPr>
              <w:spacing w:line="480" w:lineRule="auto"/>
              <w:jc w:val="center"/>
              <w:rPr>
                <w:rFonts w:ascii="Times New Roman" w:eastAsia="Times New Roman" w:hAnsi="Times New Roman" w:cs="Times New Roman"/>
                <w:sz w:val="24"/>
                <w:szCs w:val="24"/>
                <w:lang w:val="en-US"/>
              </w:rPr>
            </w:pPr>
            <m:oMathPara>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LEPR</m:t>
                        </m:r>
                      </m:e>
                      <m:sub>
                        <m:r>
                          <w:rPr>
                            <w:rFonts w:ascii="Cambria Math" w:eastAsiaTheme="minorEastAsia" w:hAnsi="Cambria Math" w:cs="Times New Roman"/>
                            <w:sz w:val="24"/>
                            <w:szCs w:val="24"/>
                            <w:lang w:val="en-US"/>
                          </w:rPr>
                          <m:t>P</m:t>
                        </m:r>
                      </m:sub>
                    </m:sSub>
                  </m:sub>
                </m:sSub>
              </m:oMath>
            </m:oMathPara>
          </w:p>
        </w:tc>
        <w:tc>
          <w:tcPr>
            <w:tcW w:w="1526" w:type="dxa"/>
            <w:vAlign w:val="center"/>
          </w:tcPr>
          <w:p w14:paraId="1AEAEF9D"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-20</w:t>
            </w:r>
          </w:p>
        </w:tc>
        <w:tc>
          <w:tcPr>
            <w:tcW w:w="1750" w:type="dxa"/>
            <w:vAlign w:val="center"/>
          </w:tcPr>
          <w:p w14:paraId="41F7195A"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3F9457D4" w14:textId="0F97C763" w:rsidR="00C01148" w:rsidRPr="00D3536F" w:rsidRDefault="00C01148" w:rsidP="00D3536F">
            <w:pPr>
              <w:spacing w:line="480" w:lineRule="auto"/>
              <w:jc w:val="center"/>
              <w:rPr>
                <w:rFonts w:ascii="Times New Roman" w:eastAsiaTheme="minorEastAsia" w:hAnsi="Times New Roman" w:cs="Times New Roman"/>
                <w:iCs/>
                <w:sz w:val="24"/>
                <w:szCs w:val="24"/>
              </w:rPr>
            </w:pP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{"citationItems":[{"id":"ITEM-1","itemData":{"DOI":"10.1111/jne.12501","ISSN":"09538194","PMID":"26362346","abstract":"Introduction: D-dimer assay, generally evaluated according to cutoff points calibrated for VTE exclusion, is used to estimate the individual risk of recurrence after a first idiopathic event of venous thromboembolism (VTE). Methods: Commercial D-dimer assays, evaluated according to predetermined cutoff levels for each assay, specific for age (lower in subjects &lt;70 years) and gender (lower in males), were used in the recent DULCIS study. The present analysis compared the results obtained in the DULCIS with those that might have been had using the following different cutoff criteria: traditional cutoff for VTE exclusion, higher levels in subjects aged ≥60 years, or age multiplied by 10. Results: In young subjects, the DULCIS low cutoff levels resulted in half the recurrent events that would have occurred using the other criteria. In elderly patients, the DULCIS results were similar to those calculated for the two age-adjusted criteria. The adoption of traditional VTE exclusion criteria would have led to positive results in the large majority of elderly subjects, without a significant reduction in the rate of recurrent event. Conclusion: The results confirm the usefulness of the cutoff levels used in DULCIS.","author":[{"dropping-particle":"","family":"Qiu","given":"J.","non-dropping-particle":"","parse-names":false,"suffix":""},{"dropping-particle":"","family":"Wagner","given":"E. J.","non-dropping-particle":"","parse-names":false,"suffix":""},{"dropping-particle":"","family":"Rønnekleiv","given":"O. K.","non-dropping-particle":"","parse-names":false,"suffix":""},{"dropping-particle":"","family":"Kelly","given":"M. J.","non-dropping-particle":"","parse-names":false,"suffix":""}],"container-title":"Journal of Neuroendocrinology","id":"ITEM-1","issue":"2","issued":{"date-parts":[["2018","2"]]},"page":"e12501","title":"Insulin and Leptin Excite Anorexigenic Proopiomelanocortin Neurones via activation of TRPC5 Channels","type":"article-journal","volume":"30"},"uris":["http://www.mendeley.com/documents/?uuid=10bd77d3-dccd-459a-8fed-8f3a195457be"]}],"mendeley":{"formattedCitation":"(Qiu et al., 2018)","plainTextFormattedCitation":"(Qiu et al., 2018)","previouslyFormattedCitation":"(Qiu et al., 2018)"},"properties":{"noteIndex":0},"schema":"https://github.com/citation-style-language/schema/raw/master/csl-citation.json"}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2018)</w:t>
            </w:r>
            <w:r w:rsidRPr="00D3536F">
              <w:rPr>
                <w:rFonts w:ascii="Times New Roman" w:eastAsiaTheme="minorEastAsia" w:hAnsi="Times New Roman" w:cs="Times New Roman"/>
                <w:iCs/>
                <w:sz w:val="24"/>
                <w:szCs w:val="24"/>
                <w:lang w:val="en-US"/>
              </w:rPr>
              <w:fldChar w:fldCharType="end"/>
            </w:r>
            <w:r w:rsidRPr="00D3536F">
              <w:rPr>
                <w:rFonts w:ascii="Times New Roman" w:eastAsiaTheme="minorEastAsia" w:hAnsi="Times New Roman" w:cs="Times New Roman"/>
                <w:iCs/>
                <w:sz w:val="24"/>
                <w:szCs w:val="24"/>
              </w:rPr>
              <w:t xml:space="preserve"> </w:t>
            </w:r>
            <w:r w:rsidRPr="00D3536F">
              <w:rPr>
                <w:rFonts w:ascii="Times New Roman" w:eastAsiaTheme="minorEastAsia" w:hAnsi="Times New Roman" w:cs="Times New Roman"/>
                <w:iCs/>
                <w:sz w:val="24"/>
                <w:szCs w:val="24"/>
                <w:lang w:val="en-US"/>
              </w:rPr>
              <w:fldChar w:fldCharType="begin" w:fldLock="1"/>
            </w:r>
            <w:r w:rsidR="007F4C06" w:rsidRPr="00D3536F">
              <w:rPr>
                <w:rFonts w:ascii="Times New Roman" w:eastAsiaTheme="minorEastAsia" w:hAnsi="Times New Roman" w:cs="Times New Roman"/>
                <w:iCs/>
                <w:sz w:val="24"/>
                <w:szCs w:val="24"/>
              </w:rPr>
              <w:instrText>ADDIN CSL_CITATION {"citationItems":[{"id":"ITEM-1","itemData":{"DOI":"10.1016/j.cmet.2014.03.004","ISSN":"15504131","author":[{"dropping-particle":"","family":"Qiu","given":"Jian","non-dropping-particle":"","parse-names":false,"suffix":""},{"dropping-particle":"","family":"Zhang","given":"Chunguang","non-dropping-particle":"","parse-names":false,"suffix":""},{"dropping-particle":"","family":"Borgquist","given":"Amanda","non-dropping-particle":"","parse-names":false,"suffix":""},{"dropping-particle":"","family":"Nestor","given":"Casey C","non-dropping-particle":"","parse-names":false,"suffix":""},{"dropping-particle":"","family":"Smith","given":"Arik W.","non-dropping-particle":"","parse-names":false,"suffix":""},{"dropping-particle":"","family":"Bosch","given":"Martha A.","non-dropping-particle":"","parse-names":false,"suffix":""},{"dropping-particle":"","family":"Ku","given":"Stephen","non-dropping-particle":"","parse-names":false,"suffix":""},{"dropping-particle":"","family":"Wagner","given":"Edward J.","non-dropping-particle":"","parse-names":false,"suffix":""},{"dropping-particle":"","family":"Rønnekleiv","given":"Oline K.","non-dropping-particle":"","parse-names":false,"suffix":""},{"dropping-particle":"","family":"Kelly","given":"Martin J.","non-dropping-particle":"","parse-names":false,"suffix":""}],"container-title":"Cell Metabolism","id":"ITEM-1","issue":"4","issued":{"date-parts":[["2014","4"]]},"page":"682-693","title":"Insulin Excites Anorexigenic Proopiomelanocortin Neurons via Activation of Canonical Transient Receptor Potential Channels","type":"article-journal","volume":"19"},"uris":["http://www.mendeley.com/documents/?uuid=5cb85063-2834-4d44-b593-53504b8d6b8a"]}],"mendeley":{"formattedCitation":"(Qiu et al., 2014)","plainTextFormattedCitation":"(Qiu et al., 2014)","previouslyFormattedCitation":"(Qiu et al., 2014)"},"properties":{"noteIndex":0},"schema":"https://github.com/citation-style-language/schema/raw/master/csl-citation.json"}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00B80388" w:rsidRPr="00D3536F">
              <w:rPr>
                <w:rFonts w:ascii="Times New Roman" w:eastAsiaTheme="minorEastAsia" w:hAnsi="Times New Roman" w:cs="Times New Roman"/>
                <w:iCs/>
                <w:noProof/>
                <w:sz w:val="24"/>
                <w:szCs w:val="24"/>
              </w:rPr>
              <w:t>(Qiu et al., 2014)</w:t>
            </w:r>
            <w:r w:rsidRPr="00D3536F">
              <w:rPr>
                <w:rFonts w:ascii="Times New Roman" w:eastAsiaTheme="minorEastAsia" w:hAnsi="Times New Roman" w:cs="Times New Roman"/>
                <w:iCs/>
                <w:sz w:val="24"/>
                <w:szCs w:val="24"/>
                <w:lang w:val="en-US"/>
              </w:rPr>
              <w:fldChar w:fldCharType="end"/>
            </w:r>
          </w:p>
        </w:tc>
      </w:tr>
      <w:tr w:rsidR="00C01148" w:rsidRPr="00D3536F" w14:paraId="7ED2D9E4" w14:textId="77777777" w:rsidTr="00034A14">
        <w:tc>
          <w:tcPr>
            <w:tcW w:w="1455" w:type="dxa"/>
            <w:vAlign w:val="center"/>
          </w:tcPr>
          <w:p w14:paraId="72A1573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E</m:t>
                    </m:r>
                  </m:e>
                  <m: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GHSR</m:t>
                        </m:r>
                      </m:e>
                      <m:sub>
                        <m:r>
                          <w:rPr>
                            <w:rFonts w:ascii="Cambria Math" w:eastAsiaTheme="minorEastAsia" w:hAnsi="Cambria Math" w:cs="Times New Roman"/>
                            <w:sz w:val="24"/>
                            <w:szCs w:val="24"/>
                            <w:lang w:val="en-US"/>
                          </w:rPr>
                          <m:t>A</m:t>
                        </m:r>
                      </m:sub>
                    </m:sSub>
                  </m:sub>
                </m:sSub>
              </m:oMath>
            </m:oMathPara>
          </w:p>
        </w:tc>
        <w:tc>
          <w:tcPr>
            <w:tcW w:w="1526" w:type="dxa"/>
            <w:vAlign w:val="center"/>
          </w:tcPr>
          <w:p w14:paraId="329AF7F3"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-10</w:t>
            </w:r>
          </w:p>
        </w:tc>
        <w:tc>
          <w:tcPr>
            <w:tcW w:w="1750" w:type="dxa"/>
            <w:vAlign w:val="center"/>
          </w:tcPr>
          <w:p w14:paraId="7E26F692"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mV</m:t>
                </m:r>
              </m:oMath>
            </m:oMathPara>
          </w:p>
        </w:tc>
        <w:tc>
          <w:tcPr>
            <w:tcW w:w="4323" w:type="dxa"/>
            <w:vAlign w:val="center"/>
          </w:tcPr>
          <w:p w14:paraId="37CE4250" w14:textId="55B549AB"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hAnsi="Times New Roman" w:cs="Times New Roman"/>
                <w:sz w:val="24"/>
                <w:szCs w:val="24"/>
                <w:lang w:val="en-US"/>
              </w:rPr>
              <w:fldChar w:fldCharType="begin" w:fldLock="1"/>
            </w:r>
            <w:r w:rsidRPr="00D3536F">
              <w:rPr>
                <w:rFonts w:ascii="Times New Roman" w:hAnsi="Times New Roman" w:cs="Times New Roman"/>
                <w:sz w:val="24"/>
                <w:szCs w:val="24"/>
                <w:lang w:val="en-US"/>
              </w:rPr>
              <w:instrText>ADDIN CSL_CITATION {"citationItems":[{"id":"ITEM-1","itemData":{"DOI":"10.1038/srep34138","ISSN":"2045-2322","PMID":"27677945","abstract":"The Goto-Kakizaki (GK) rat is an animal model of non-obese type 2 diabetes (T2D). The GK rat was generated through the introduction of various genetic mutations from continuous inbreeding; these rats develop diabetes spontaneously. The mutated genes in GK rats may play key roles in the regulation of diabetes. The hypothalamus plays a central role in systematic energy homeostasis. Here, the hypothalamic transcriptomes in GK and Wistar rats at 4, 8 and 12 weeks were investigated by RNA-seq, and multiple variants and gene expression profiles were obtained. The number of variants identified from GK rats was significantly greater than that of Wistar rats, indicating that many variants were fixed and heritable in GK rats after selective inbreeding. The differential gene expression analysis indicated that GK rats had a dysfunctional hypothalamic melanocortin system and attenuation of the hypothalamic glucose-sensing pathway. In addition, we generated integrated gene network modules by combining the protein-protein interaction (PPI) network, co-expression network and mutations in GK and Wistar rats. In the modules, GK-specific genes, such as Bad, Map2k2, Adcy3, Adcy2 and Gstm6, may play key roles in hypothalamic regulation in GK rats. Our research provides a comprehensive map of the abnormalities in the GK rat hypothalamus, which reveals the new mechanisms of pathogenesis of T2D.","author":[{"dropping-particle":"","family":"Meng","given":"Yuhuan","non-dropping-particle":"","parse-names":false,"suffix":""},{"dropping-particle":"","family":"Guan","given":"Yujia","non-dropping-particle":"","parse-names":false,"suffix":""},{"dropping-particle":"","family":"Zhang","given":"Wenlu","non-dropping-particle":"","parse-names":false,"suffix":""},{"dropping-particle":"","family":"Wu","given":"Yu-E","non-dropping-particle":"","parse-names":false,"suffix":""},{"dropping-particle":"","family":"Jia","given":"Huanhuan","non-dropping-particle":"","parse-names":false,"suffix":""},{"dropping-particle":"","family":"Zhang","given":"Yu","non-dropping-particle":"","parse-names":false,"suffix":""},{"dropping-particle":"","family":"Zhang","given":"Xiuqing","non-dropping-particle":"","parse-names":false,"suffix":""},{"dropping-particle":"","family":"Du","given":"Hongli","non-dropping-particle":"","parse-names":false,"suffix":""},{"dropping-particle":"","family":"Wang","given":"Xiaoning","non-dropping-particle":"","parse-names":false,"suffix":""}],"container-title":"Scientific Reports","id":"ITEM-1","issue":"1","issued":{"date-parts":[["2016","12","28"]]},"page":"34138","title":"RNA-seq analysis of the hypothalamic transcriptome reveals the networks regulating physiopathological progress in the diabetic GK rat","type":"article-journal","volume":"6"},"uris":["http://www.mendeley.com/documents/?uuid=fea42bc9-0d61-448d-a4de-fe8a5e05d091","http://www.mendeley.com/documents/?uuid=76773fa3-3ec6-463f-bd78-8c56c1cca824"]}],"mendeley":{"formattedCitation":"(Meng et al., 2016)","plainTextFormattedCitation":"(Meng et al., 2016)","previouslyFormattedCitation":"(Meng et al., 2016)"},"properties":{"noteIndex":0},"schema":"https://github.com/citation-style-language/schema/raw/master/csl-citation.json"}</w:instrText>
            </w:r>
            <w:r w:rsidRPr="00D3536F">
              <w:rPr>
                <w:rFonts w:ascii="Times New Roman" w:hAnsi="Times New Roman" w:cs="Times New Roman"/>
                <w:sz w:val="24"/>
                <w:szCs w:val="24"/>
                <w:lang w:val="en-US"/>
              </w:rPr>
              <w:fldChar w:fldCharType="separate"/>
            </w:r>
            <w:r w:rsidRPr="00D3536F">
              <w:rPr>
                <w:rFonts w:ascii="Times New Roman" w:hAnsi="Times New Roman" w:cs="Times New Roman"/>
                <w:noProof/>
                <w:sz w:val="24"/>
                <w:szCs w:val="24"/>
                <w:lang w:val="en-US"/>
              </w:rPr>
              <w:t>(Meng et al., 2016)</w:t>
            </w:r>
            <w:r w:rsidRPr="00D3536F">
              <w:rPr>
                <w:rFonts w:ascii="Times New Roman" w:hAnsi="Times New Roman" w:cs="Times New Roman"/>
                <w:sz w:val="24"/>
                <w:szCs w:val="24"/>
                <w:lang w:val="en-US"/>
              </w:rPr>
              <w:fldChar w:fldCharType="end"/>
            </w:r>
          </w:p>
        </w:tc>
      </w:tr>
      <w:tr w:rsidR="00C01148" w:rsidRPr="00D3536F" w14:paraId="20C165EE" w14:textId="77777777" w:rsidTr="00034A14">
        <w:tc>
          <w:tcPr>
            <w:tcW w:w="1455" w:type="dxa"/>
            <w:vAlign w:val="center"/>
          </w:tcPr>
          <w:p w14:paraId="79FDF011"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Cs/>
                        <w:sz w:val="24"/>
                        <w:szCs w:val="24"/>
                        <w:lang w:val="en-US"/>
                      </w:rPr>
                    </m:ctrlPr>
                  </m:sSubPr>
                  <m:e>
                    <m:r>
                      <w:rPr>
                        <w:rFonts w:ascii="Cambria Math" w:eastAsiaTheme="minorEastAsia" w:hAnsi="Cambria Math" w:cs="Times New Roman"/>
                        <w:sz w:val="24"/>
                        <w:szCs w:val="24"/>
                        <w:lang w:val="en-US"/>
                      </w:rPr>
                      <m:t>τ</m:t>
                    </m:r>
                  </m:e>
                  <m:sub>
                    <m:r>
                      <m:rPr>
                        <m:sty m:val="p"/>
                      </m:rPr>
                      <w:rPr>
                        <w:rFonts w:ascii="Cambria Math" w:eastAsiaTheme="minorEastAsia" w:hAnsi="Cambria Math" w:cs="Times New Roman"/>
                        <w:sz w:val="24"/>
                        <w:szCs w:val="24"/>
                        <w:lang w:val="en-US"/>
                      </w:rPr>
                      <m:t>activation</m:t>
                    </m:r>
                  </m:sub>
                </m:sSub>
              </m:oMath>
            </m:oMathPara>
          </w:p>
        </w:tc>
        <w:tc>
          <w:tcPr>
            <w:tcW w:w="1526" w:type="dxa"/>
            <w:vAlign w:val="center"/>
          </w:tcPr>
          <w:p w14:paraId="1DEFC047"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300</w:t>
            </w:r>
          </w:p>
        </w:tc>
        <w:tc>
          <w:tcPr>
            <w:tcW w:w="1750" w:type="dxa"/>
            <w:vAlign w:val="center"/>
          </w:tcPr>
          <w:p w14:paraId="11B02043"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2CD27438" w14:textId="3EE69272"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03696FD8" w14:textId="77777777" w:rsidTr="00034A14">
        <w:tc>
          <w:tcPr>
            <w:tcW w:w="1455" w:type="dxa"/>
            <w:vAlign w:val="center"/>
          </w:tcPr>
          <w:p w14:paraId="36703048"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Cs/>
                        <w:sz w:val="24"/>
                        <w:szCs w:val="24"/>
                        <w:lang w:val="en-US"/>
                      </w:rPr>
                    </m:ctrlPr>
                  </m:sSubPr>
                  <m:e>
                    <m:r>
                      <w:rPr>
                        <w:rFonts w:ascii="Cambria Math" w:eastAsiaTheme="minorEastAsia" w:hAnsi="Cambria Math" w:cs="Times New Roman"/>
                        <w:sz w:val="24"/>
                        <w:szCs w:val="24"/>
                        <w:lang w:val="en-US"/>
                      </w:rPr>
                      <m:t>τ</m:t>
                    </m:r>
                  </m:e>
                  <m:sub>
                    <m:r>
                      <m:rPr>
                        <m:sty m:val="p"/>
                      </m:rPr>
                      <w:rPr>
                        <w:rFonts w:ascii="Cambria Math" w:eastAsiaTheme="minorEastAsia" w:hAnsi="Cambria Math" w:cs="Times New Roman"/>
                        <w:sz w:val="24"/>
                        <w:szCs w:val="24"/>
                        <w:lang w:val="en-US"/>
                      </w:rPr>
                      <m:t>inactivation</m:t>
                    </m:r>
                  </m:sub>
                </m:sSub>
              </m:oMath>
            </m:oMathPara>
          </w:p>
        </w:tc>
        <w:tc>
          <w:tcPr>
            <w:tcW w:w="1526" w:type="dxa"/>
            <w:vAlign w:val="center"/>
          </w:tcPr>
          <w:p w14:paraId="08F90550"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300</w:t>
            </w:r>
          </w:p>
        </w:tc>
        <w:tc>
          <w:tcPr>
            <w:tcW w:w="1750" w:type="dxa"/>
            <w:vAlign w:val="center"/>
          </w:tcPr>
          <w:p w14:paraId="544D88A8"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ms</m:t>
                </m:r>
              </m:oMath>
            </m:oMathPara>
          </w:p>
        </w:tc>
        <w:tc>
          <w:tcPr>
            <w:tcW w:w="4323" w:type="dxa"/>
            <w:vAlign w:val="center"/>
          </w:tcPr>
          <w:p w14:paraId="3D807085" w14:textId="2A7A1B7C" w:rsidR="00C01148" w:rsidRPr="00D3536F" w:rsidRDefault="00CC2409"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fldChar w:fldCharType="begin" w:fldLock="1"/>
            </w:r>
            <w:r w:rsidR="00DC65C1" w:rsidRPr="00D3536F">
              <w:rPr>
                <w:rFonts w:ascii="Times New Roman" w:eastAsiaTheme="minorEastAsia" w:hAnsi="Times New Roman" w:cs="Times New Roman"/>
                <w:iCs/>
                <w:sz w:val="24"/>
                <w:szCs w:val="24"/>
                <w:lang w:val="en-US"/>
              </w:rPr>
              <w:instrText>ADDIN CSL_CITATION {"citationItems":[{"id":"ITEM-1","itemData":{"DOI":"10.1055/s-0030-1252025","ISSN":"0176-3679","abstract":"We propose a mechanism-based modelling approach which brings together the most relevant features of neural dynamics and synaptic transmission for clinically valuable simulations of psychiatric disorders and their pharmaceutical treatment. It is based on a minimal, but physiologically justified concept, which allows to account for a great diversity of neuronal dynamics and synaptic mechanisms. It can simulate ionotropic as well as metabotropic receptors in addition to the effects of eventual co-transmitters and external neuromodulators. The proposed model can mimic the clinically most important aspects of synaptic disturbances, such as impaired transmitter availability or reduced number of postsynaptic receptors, for example due to their internalization as a function of transmitter concentration. It also allows evaluation of the effects of drugs with specific actions such as receptor agonists and antagonists or reuptake inhibitors. It is a major advantage of this physiologically based approach that it can be adjusted to different types of neurons and synapses, and also can be extended to more elaborate physiological situations, e.g. by including additional receptors or ion channels, whenever this is indicated by clinical or experimental data. © Georg Thieme Verlag KG Stuttgart New York.","author":[{"dropping-particle":"","family":"Postnova","given":"S.","non-dropping-particle":"","parse-names":false,"suffix":""},{"dropping-particle":"","family":"Rosa","given":"E.","non-dropping-particle":"","parse-names":false,"suffix":""},{"dropping-particle":"","family":"Braun","given":"H.","non-dropping-particle":"","parse-names":false,"suffix":""}],"container-title":"Pharmacopsychiatry","id":"ITEM-1","issue":"S 01","issued":{"date-parts":[["2010","5","18"]]},"page":"S82-S91","title":"Neurones and Synapses for Systemic Models of Psychiatric Disorders","type":"article-journal","volume":"43"},"uris":["http://www.mendeley.com/documents/?uuid=08578ea0-c304-4d41-970a-25b5946919d2"]}],"mendeley":{"formattedCitation":"(Postnova et al., 2010)","plainTextFormattedCitation":"(Postnova et al., 2010)","previouslyFormattedCitation":"(Postnova et al., 2010)"},"properties":{"noteIndex":0},"schema":"https://github.com/citation-style-language/schema/raw/master/csl-citation.json"}</w:instrText>
            </w:r>
            <w:r w:rsidRPr="00D3536F">
              <w:rPr>
                <w:rFonts w:ascii="Times New Roman" w:eastAsiaTheme="minorEastAsia" w:hAnsi="Times New Roman" w:cs="Times New Roman"/>
                <w:iCs/>
                <w:sz w:val="24"/>
                <w:szCs w:val="24"/>
                <w:lang w:val="en-US"/>
              </w:rPr>
              <w:fldChar w:fldCharType="separate"/>
            </w:r>
            <w:r w:rsidRPr="00D3536F">
              <w:rPr>
                <w:rFonts w:ascii="Times New Roman" w:eastAsiaTheme="minorEastAsia" w:hAnsi="Times New Roman" w:cs="Times New Roman"/>
                <w:iCs/>
                <w:noProof/>
                <w:sz w:val="24"/>
                <w:szCs w:val="24"/>
                <w:lang w:val="en-US"/>
              </w:rPr>
              <w:t>(Postnova et al., 2010)</w:t>
            </w:r>
            <w:r w:rsidRPr="00D3536F">
              <w:rPr>
                <w:rFonts w:ascii="Times New Roman" w:eastAsiaTheme="minorEastAsia" w:hAnsi="Times New Roman" w:cs="Times New Roman"/>
                <w:iCs/>
                <w:sz w:val="24"/>
                <w:szCs w:val="24"/>
                <w:lang w:val="en-US"/>
              </w:rPr>
              <w:fldChar w:fldCharType="end"/>
            </w:r>
          </w:p>
        </w:tc>
      </w:tr>
      <w:tr w:rsidR="00C01148" w:rsidRPr="00D3536F" w14:paraId="45A64313" w14:textId="77777777" w:rsidTr="00034A14">
        <w:tc>
          <w:tcPr>
            <w:tcW w:w="1455" w:type="dxa"/>
            <w:vAlign w:val="center"/>
          </w:tcPr>
          <w:p w14:paraId="7EF4568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Cs/>
                        <w:sz w:val="24"/>
                        <w:szCs w:val="24"/>
                        <w:lang w:val="en-US"/>
                      </w:rPr>
                    </m:ctrlPr>
                  </m:sSubPr>
                  <m:e>
                    <m:r>
                      <m:rPr>
                        <m:sty m:val="p"/>
                      </m:rPr>
                      <w:rPr>
                        <w:rFonts w:ascii="Cambria Math" w:eastAsiaTheme="minorEastAsia" w:hAnsi="Cambria Math" w:cs="Times New Roman"/>
                        <w:sz w:val="24"/>
                        <w:szCs w:val="24"/>
                        <w:lang w:val="en-US"/>
                      </w:rPr>
                      <m:t>EC50</m:t>
                    </m:r>
                  </m:e>
                  <m:sub>
                    <m:r>
                      <w:rPr>
                        <w:rFonts w:ascii="Cambria Math" w:eastAsiaTheme="minorEastAsia" w:hAnsi="Cambria Math" w:cs="Times New Roman"/>
                        <w:sz w:val="24"/>
                        <w:szCs w:val="24"/>
                        <w:lang w:val="en-US"/>
                      </w:rPr>
                      <m:t>INSR</m:t>
                    </m:r>
                  </m:sub>
                </m:sSub>
              </m:oMath>
            </m:oMathPara>
          </w:p>
        </w:tc>
        <w:tc>
          <w:tcPr>
            <w:tcW w:w="1526" w:type="dxa"/>
            <w:vAlign w:val="center"/>
          </w:tcPr>
          <w:p w14:paraId="7EA9826A" w14:textId="007F5707" w:rsidR="00C01148" w:rsidRPr="00D3536F" w:rsidRDefault="009A3EE5"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661</w:t>
            </w:r>
          </w:p>
        </w:tc>
        <w:tc>
          <w:tcPr>
            <w:tcW w:w="1750" w:type="dxa"/>
            <w:vAlign w:val="center"/>
          </w:tcPr>
          <w:p w14:paraId="47FD0E06"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heme="minorEastAsia" w:hAnsi="Cambria Math" w:cs="Times New Roman"/>
                    <w:sz w:val="24"/>
                    <w:szCs w:val="24"/>
                    <w:lang w:val="en-US"/>
                  </w:rPr>
                  <m:t>pM</m:t>
                </m:r>
              </m:oMath>
            </m:oMathPara>
          </w:p>
        </w:tc>
        <w:tc>
          <w:tcPr>
            <w:tcW w:w="4323" w:type="dxa"/>
            <w:vAlign w:val="center"/>
          </w:tcPr>
          <w:p w14:paraId="520FDD36" w14:textId="25C37760" w:rsidR="00C01148" w:rsidRPr="00D3536F" w:rsidRDefault="00DC65C1"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Fitted</w:t>
            </w:r>
          </w:p>
        </w:tc>
      </w:tr>
      <w:tr w:rsidR="00C01148" w:rsidRPr="00D3536F" w14:paraId="61A40D8F" w14:textId="77777777" w:rsidTr="00034A14">
        <w:tc>
          <w:tcPr>
            <w:tcW w:w="1455" w:type="dxa"/>
            <w:vAlign w:val="center"/>
          </w:tcPr>
          <w:p w14:paraId="1667FD4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Cs/>
                        <w:sz w:val="24"/>
                        <w:szCs w:val="24"/>
                        <w:lang w:val="en-US"/>
                      </w:rPr>
                    </m:ctrlPr>
                  </m:sSubPr>
                  <m:e>
                    <m:r>
                      <m:rPr>
                        <m:sty m:val="p"/>
                      </m:rPr>
                      <w:rPr>
                        <w:rFonts w:ascii="Cambria Math" w:eastAsiaTheme="minorEastAsia" w:hAnsi="Cambria Math" w:cs="Times New Roman"/>
                        <w:sz w:val="24"/>
                        <w:szCs w:val="24"/>
                        <w:lang w:val="en-US"/>
                      </w:rPr>
                      <m:t>EC50</m:t>
                    </m:r>
                  </m:e>
                  <m:sub>
                    <m:r>
                      <w:rPr>
                        <w:rFonts w:ascii="Cambria Math" w:eastAsiaTheme="minorEastAsia" w:hAnsi="Cambria Math" w:cs="Times New Roman"/>
                        <w:sz w:val="24"/>
                        <w:szCs w:val="24"/>
                        <w:lang w:val="en-US"/>
                      </w:rPr>
                      <m:t>LEPR</m:t>
                    </m:r>
                  </m:sub>
                </m:sSub>
              </m:oMath>
            </m:oMathPara>
          </w:p>
        </w:tc>
        <w:tc>
          <w:tcPr>
            <w:tcW w:w="1526" w:type="dxa"/>
            <w:vAlign w:val="center"/>
          </w:tcPr>
          <w:p w14:paraId="2E6D652A" w14:textId="55EBE2E4" w:rsidR="00C01148" w:rsidRPr="00D3536F" w:rsidRDefault="0056596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16</w:t>
            </w:r>
          </w:p>
        </w:tc>
        <w:tc>
          <w:tcPr>
            <w:tcW w:w="1750" w:type="dxa"/>
            <w:vAlign w:val="center"/>
          </w:tcPr>
          <w:p w14:paraId="35CECF3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ng</m:t>
                </m:r>
              </m:oMath>
            </m:oMathPara>
          </w:p>
        </w:tc>
        <w:tc>
          <w:tcPr>
            <w:tcW w:w="4323" w:type="dxa"/>
            <w:vAlign w:val="center"/>
          </w:tcPr>
          <w:p w14:paraId="59EFDAA7" w14:textId="668C0D0E" w:rsidR="00C01148" w:rsidRPr="00D3536F" w:rsidRDefault="006E7E1E"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Present study</w:t>
            </w:r>
          </w:p>
        </w:tc>
      </w:tr>
      <w:tr w:rsidR="00C01148" w:rsidRPr="00B80388" w14:paraId="1A1DB993" w14:textId="77777777" w:rsidTr="00034A14">
        <w:tc>
          <w:tcPr>
            <w:tcW w:w="1455" w:type="dxa"/>
            <w:tcBorders>
              <w:bottom w:val="single" w:sz="4" w:space="0" w:color="auto"/>
            </w:tcBorders>
            <w:vAlign w:val="center"/>
          </w:tcPr>
          <w:p w14:paraId="6DA91F6E" w14:textId="77777777" w:rsidR="00C01148" w:rsidRPr="00D3536F" w:rsidRDefault="00000000" w:rsidP="00D3536F">
            <w:pPr>
              <w:spacing w:line="480" w:lineRule="auto"/>
              <w:jc w:val="center"/>
              <w:rPr>
                <w:rFonts w:ascii="Times New Roman" w:eastAsia="Times New Roman" w:hAnsi="Times New Roman" w:cs="Times New Roman"/>
                <w:iCs/>
                <w:sz w:val="24"/>
                <w:szCs w:val="24"/>
                <w:lang w:val="en-US"/>
              </w:rPr>
            </w:pPr>
            <m:oMathPara>
              <m:oMath>
                <m:sSub>
                  <m:sSubPr>
                    <m:ctrlPr>
                      <w:rPr>
                        <w:rFonts w:ascii="Cambria Math" w:eastAsiaTheme="minorEastAsia" w:hAnsi="Cambria Math" w:cs="Times New Roman"/>
                        <w:iCs/>
                        <w:sz w:val="24"/>
                        <w:szCs w:val="24"/>
                        <w:lang w:val="en-US"/>
                      </w:rPr>
                    </m:ctrlPr>
                  </m:sSubPr>
                  <m:e>
                    <m:r>
                      <m:rPr>
                        <m:sty m:val="p"/>
                      </m:rPr>
                      <w:rPr>
                        <w:rFonts w:ascii="Cambria Math" w:eastAsiaTheme="minorEastAsia" w:hAnsi="Cambria Math" w:cs="Times New Roman"/>
                        <w:sz w:val="24"/>
                        <w:szCs w:val="24"/>
                        <w:lang w:val="en-US"/>
                      </w:rPr>
                      <m:t>EC50</m:t>
                    </m:r>
                  </m:e>
                  <m:sub>
                    <m:r>
                      <w:rPr>
                        <w:rFonts w:ascii="Cambria Math" w:eastAsiaTheme="minorEastAsia" w:hAnsi="Cambria Math" w:cs="Times New Roman"/>
                        <w:sz w:val="24"/>
                        <w:szCs w:val="24"/>
                        <w:lang w:val="en-US"/>
                      </w:rPr>
                      <m:t>GHSR</m:t>
                    </m:r>
                  </m:sub>
                </m:sSub>
              </m:oMath>
            </m:oMathPara>
          </w:p>
        </w:tc>
        <w:tc>
          <w:tcPr>
            <w:tcW w:w="1526" w:type="dxa"/>
            <w:tcBorders>
              <w:bottom w:val="single" w:sz="4" w:space="0" w:color="auto"/>
            </w:tcBorders>
            <w:vAlign w:val="center"/>
          </w:tcPr>
          <w:p w14:paraId="0C27C22A" w14:textId="56B9DE57" w:rsidR="00C01148" w:rsidRPr="00D3536F" w:rsidRDefault="00565968" w:rsidP="00D3536F">
            <w:pPr>
              <w:spacing w:line="480" w:lineRule="auto"/>
              <w:jc w:val="center"/>
              <w:rPr>
                <w:rFonts w:ascii="Times New Roman" w:eastAsia="Times New Roman" w:hAnsi="Times New Roman" w:cs="Times New Roman"/>
                <w:iCs/>
                <w:sz w:val="24"/>
                <w:szCs w:val="24"/>
                <w:lang w:val="en-US"/>
              </w:rPr>
            </w:pPr>
            <w:r w:rsidRPr="00D3536F">
              <w:rPr>
                <w:rFonts w:ascii="Times New Roman" w:eastAsia="Times New Roman" w:hAnsi="Times New Roman" w:cs="Times New Roman"/>
                <w:iCs/>
                <w:sz w:val="24"/>
                <w:szCs w:val="24"/>
                <w:lang w:val="en-US"/>
              </w:rPr>
              <w:t>500</w:t>
            </w:r>
          </w:p>
        </w:tc>
        <w:tc>
          <w:tcPr>
            <w:tcW w:w="1750" w:type="dxa"/>
            <w:tcBorders>
              <w:bottom w:val="single" w:sz="4" w:space="0" w:color="auto"/>
            </w:tcBorders>
            <w:vAlign w:val="center"/>
          </w:tcPr>
          <w:p w14:paraId="6C507AD4" w14:textId="77777777" w:rsidR="00C01148" w:rsidRPr="00D3536F" w:rsidRDefault="00C01148" w:rsidP="00D3536F">
            <w:pPr>
              <w:spacing w:line="480" w:lineRule="auto"/>
              <w:jc w:val="center"/>
              <w:rPr>
                <w:rFonts w:ascii="Times New Roman" w:eastAsia="Times New Roman" w:hAnsi="Times New Roman" w:cs="Times New Roman"/>
                <w:iCs/>
                <w:sz w:val="24"/>
                <w:szCs w:val="24"/>
                <w:lang w:val="en-US"/>
              </w:rPr>
            </w:pPr>
            <m:oMathPara>
              <m:oMath>
                <m:r>
                  <w:rPr>
                    <w:rFonts w:ascii="Cambria Math" w:eastAsia="Times New Roman" w:hAnsi="Cambria Math" w:cs="Times New Roman"/>
                    <w:sz w:val="24"/>
                    <w:szCs w:val="24"/>
                    <w:lang w:val="en-US"/>
                  </w:rPr>
                  <m:t>mg</m:t>
                </m:r>
              </m:oMath>
            </m:oMathPara>
          </w:p>
        </w:tc>
        <w:tc>
          <w:tcPr>
            <w:tcW w:w="4323" w:type="dxa"/>
            <w:tcBorders>
              <w:bottom w:val="single" w:sz="4" w:space="0" w:color="auto"/>
            </w:tcBorders>
            <w:vAlign w:val="center"/>
          </w:tcPr>
          <w:p w14:paraId="66851258" w14:textId="4732D113" w:rsidR="00C01148" w:rsidRPr="00B80388" w:rsidRDefault="006E7E1E" w:rsidP="00D3536F">
            <w:pPr>
              <w:spacing w:line="480" w:lineRule="auto"/>
              <w:jc w:val="center"/>
              <w:rPr>
                <w:rFonts w:ascii="Times New Roman" w:eastAsiaTheme="minorEastAsia" w:hAnsi="Times New Roman" w:cs="Times New Roman"/>
                <w:iCs/>
                <w:sz w:val="24"/>
                <w:szCs w:val="24"/>
                <w:lang w:val="en-US"/>
              </w:rPr>
            </w:pPr>
            <w:r w:rsidRPr="00D3536F">
              <w:rPr>
                <w:rFonts w:ascii="Times New Roman" w:eastAsiaTheme="minorEastAsia" w:hAnsi="Times New Roman" w:cs="Times New Roman"/>
                <w:iCs/>
                <w:sz w:val="24"/>
                <w:szCs w:val="24"/>
                <w:lang w:val="en-US"/>
              </w:rPr>
              <w:t>Present study</w:t>
            </w:r>
          </w:p>
        </w:tc>
      </w:tr>
    </w:tbl>
    <w:p w14:paraId="06A8A6EC" w14:textId="0F185A7E" w:rsidR="00B80388" w:rsidRDefault="00B80388" w:rsidP="00D3536F">
      <w:pPr>
        <w:spacing w:line="480" w:lineRule="auto"/>
        <w:jc w:val="both"/>
        <w:rPr>
          <w:rFonts w:ascii="Times New Roman" w:eastAsiaTheme="minorEastAsia" w:hAnsi="Times New Roman" w:cs="Times New Roman"/>
          <w:iCs/>
          <w:sz w:val="24"/>
          <w:szCs w:val="24"/>
          <w:lang w:val="en-US"/>
        </w:rPr>
      </w:pPr>
    </w:p>
    <w:p w14:paraId="34545470" w14:textId="08DB95B5" w:rsidR="00B80388" w:rsidRPr="00B03F66" w:rsidRDefault="00B80388" w:rsidP="00D3536F">
      <w:pPr>
        <w:spacing w:line="480" w:lineRule="auto"/>
        <w:jc w:val="both"/>
        <w:rPr>
          <w:rFonts w:ascii="Times New Roman" w:eastAsiaTheme="minorEastAsia" w:hAnsi="Times New Roman" w:cs="Times New Roman"/>
          <w:iCs/>
          <w:sz w:val="24"/>
          <w:szCs w:val="24"/>
          <w:lang w:val="en-US"/>
        </w:rPr>
      </w:pPr>
    </w:p>
    <w:p w14:paraId="0BDCE795" w14:textId="77777777" w:rsidR="00C01148" w:rsidRPr="00C01148" w:rsidRDefault="00C01148" w:rsidP="00D3536F">
      <w:pPr>
        <w:spacing w:line="480" w:lineRule="auto"/>
        <w:rPr>
          <w:lang w:val="en-US"/>
        </w:rPr>
      </w:pPr>
    </w:p>
    <w:sectPr w:rsidR="00C01148" w:rsidRPr="00C01148" w:rsidSect="0070137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01148"/>
    <w:rsid w:val="00034A14"/>
    <w:rsid w:val="00034B91"/>
    <w:rsid w:val="0008662C"/>
    <w:rsid w:val="000B056D"/>
    <w:rsid w:val="001670E9"/>
    <w:rsid w:val="00193A25"/>
    <w:rsid w:val="001D2F2D"/>
    <w:rsid w:val="002831AF"/>
    <w:rsid w:val="002C7806"/>
    <w:rsid w:val="002D425F"/>
    <w:rsid w:val="00354C24"/>
    <w:rsid w:val="00383AE7"/>
    <w:rsid w:val="003E600F"/>
    <w:rsid w:val="004118A4"/>
    <w:rsid w:val="0045258D"/>
    <w:rsid w:val="004628C4"/>
    <w:rsid w:val="004A58AD"/>
    <w:rsid w:val="00522696"/>
    <w:rsid w:val="00565968"/>
    <w:rsid w:val="005B684F"/>
    <w:rsid w:val="00621F3F"/>
    <w:rsid w:val="006E7E1E"/>
    <w:rsid w:val="00701374"/>
    <w:rsid w:val="007213BA"/>
    <w:rsid w:val="007549A5"/>
    <w:rsid w:val="007E1F06"/>
    <w:rsid w:val="007F4C06"/>
    <w:rsid w:val="00800288"/>
    <w:rsid w:val="00864ADE"/>
    <w:rsid w:val="008E50CB"/>
    <w:rsid w:val="008F76B1"/>
    <w:rsid w:val="0091137B"/>
    <w:rsid w:val="009A3EE5"/>
    <w:rsid w:val="009B313B"/>
    <w:rsid w:val="009B5588"/>
    <w:rsid w:val="00A26F33"/>
    <w:rsid w:val="00B5100A"/>
    <w:rsid w:val="00B80388"/>
    <w:rsid w:val="00C01148"/>
    <w:rsid w:val="00C16A0F"/>
    <w:rsid w:val="00C6532A"/>
    <w:rsid w:val="00CC2409"/>
    <w:rsid w:val="00D3536F"/>
    <w:rsid w:val="00D921CA"/>
    <w:rsid w:val="00DB4CBD"/>
    <w:rsid w:val="00DC65C1"/>
    <w:rsid w:val="00E5732E"/>
    <w:rsid w:val="00EE1780"/>
    <w:rsid w:val="00F24AC8"/>
    <w:rsid w:val="00FD4FE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1C1FE"/>
  <w15:docId w15:val="{E68C6E27-7B36-4C4E-97B8-B1813E467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148"/>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C01148"/>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7549A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75C69-18B5-415D-BA5C-7F81DFD6C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4</Pages>
  <Words>26206</Words>
  <Characters>144135</Characters>
  <Application>Microsoft Office Word</Application>
  <DocSecurity>0</DocSecurity>
  <Lines>1201</Lines>
  <Paragraphs>340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Yordi Tamayo</dc:creator>
  <cp:keywords/>
  <dc:description/>
  <cp:lastModifiedBy>Yordi Tamayo</cp:lastModifiedBy>
  <cp:revision>27</cp:revision>
  <dcterms:created xsi:type="dcterms:W3CDTF">2020-11-10T01:02:00Z</dcterms:created>
  <dcterms:modified xsi:type="dcterms:W3CDTF">2023-03-01T03:18:00Z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3781db4e-4285-31ef-8898-222446ec4a09</vt:lpwstr>
  </property>
  <property fmtid="{D5CDD505-2E9C-101B-9397-08002B2CF9AE}" pid="4" name="Mendeley Citation Style_1">
    <vt:lpwstr>http://www.zotero.org/styles/the-journal-of-experimental-biology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 Harvard</vt:lpwstr>
  </property>
  <property fmtid="{D5CDD505-2E9C-101B-9397-08002B2CF9AE}" pid="17" name="Mendeley Recent Style Id 6_1">
    <vt:lpwstr>http://www.zotero.org/styles/harvard1</vt:lpwstr>
  </property>
  <property fmtid="{D5CDD505-2E9C-101B-9397-08002B2CF9AE}" pid="18" name="Mendeley Recent Style Name 6_1">
    <vt:lpwstr>Harvard reference format 1 (deprecated)</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http://www.zotero.org/styles/plos-one</vt:lpwstr>
  </property>
  <property fmtid="{D5CDD505-2E9C-101B-9397-08002B2CF9AE}" pid="22" name="Mendeley Recent Style Name 8_1">
    <vt:lpwstr>PLOS ONE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