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480" w:lineRule="auto"/>
        <w:rPr>
          <w:rFonts w:hint="default" w:ascii="Times New Roman" w:hAnsi="Times New Roman" w:eastAsia="等线" w:cs="Times New Roman"/>
          <w:b/>
          <w:bCs/>
          <w:sz w:val="20"/>
          <w:szCs w:val="20"/>
          <w:lang w:bidi="ar"/>
        </w:rPr>
      </w:pPr>
      <w:r>
        <w:rPr>
          <w:rFonts w:hint="default" w:ascii="Times New Roman" w:hAnsi="Times New Roman" w:eastAsia="等线" w:cs="Times New Roman"/>
          <w:b/>
          <w:bCs/>
          <w:sz w:val="20"/>
          <w:szCs w:val="20"/>
          <w:lang w:bidi="ar"/>
        </w:rPr>
        <w:t>Unexpected HBsAg decrease after nucleoside analogues re-treatment among HBeAg positive postpartum women: a pilot study.</w:t>
      </w: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cs="Times New Roman"/>
          <w:b/>
          <w:bCs/>
          <w:position w:val="0"/>
          <w:sz w:val="20"/>
          <w:szCs w:val="20"/>
          <w:lang w:val="en-US"/>
        </w:rPr>
      </w:pPr>
      <w:r>
        <w:rPr>
          <w:rFonts w:hint="default" w:ascii="Times New Roman" w:hAnsi="Times New Roman" w:eastAsia="等线" w:cs="Times New Roman"/>
          <w:b/>
          <w:bCs/>
          <w:kern w:val="2"/>
          <w:position w:val="20"/>
          <w:sz w:val="20"/>
          <w:szCs w:val="20"/>
          <w:lang w:val="en-US" w:eastAsia="zh-CN" w:bidi="ar"/>
        </w:rPr>
        <w:t>Supplementary Table S1 The characteristics of study population.</w:t>
      </w:r>
    </w:p>
    <w:tbl>
      <w:tblPr>
        <w:tblStyle w:val="6"/>
        <w:tblW w:w="11790" w:type="dxa"/>
        <w:tblInd w:w="-17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13"/>
        <w:gridCol w:w="1933"/>
        <w:gridCol w:w="1947"/>
        <w:gridCol w:w="1803"/>
        <w:gridCol w:w="1297"/>
        <w:gridCol w:w="1329"/>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0" w:hRule="atLeast"/>
        </w:trPr>
        <w:tc>
          <w:tcPr>
            <w:tcW w:w="2113" w:type="dxa"/>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Times New Roman" w:cs="Times New Roman"/>
                <w:kern w:val="0"/>
                <w:sz w:val="20"/>
                <w:szCs w:val="20"/>
                <w:lang w:val="en-US"/>
              </w:rPr>
            </w:pPr>
          </w:p>
        </w:tc>
        <w:tc>
          <w:tcPr>
            <w:tcW w:w="1933" w:type="dxa"/>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Group A</w:t>
            </w:r>
          </w:p>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NAs treatment pre-pregnancy</w:t>
            </w:r>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(n=10)</w:t>
            </w:r>
          </w:p>
        </w:tc>
        <w:tc>
          <w:tcPr>
            <w:tcW w:w="1947" w:type="dxa"/>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Group B</w:t>
            </w:r>
          </w:p>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 xml:space="preserve">Discontinue treatment </w:t>
            </w:r>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(n=88)</w:t>
            </w:r>
          </w:p>
        </w:tc>
        <w:tc>
          <w:tcPr>
            <w:tcW w:w="1803" w:type="dxa"/>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Group C</w:t>
            </w:r>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Retreatment</w:t>
            </w:r>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(n=22)</w:t>
            </w:r>
          </w:p>
        </w:tc>
        <w:tc>
          <w:tcPr>
            <w:tcW w:w="1297" w:type="dxa"/>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Group A vs B</w:t>
            </w:r>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P1 value</w:t>
            </w:r>
          </w:p>
        </w:tc>
        <w:tc>
          <w:tcPr>
            <w:tcW w:w="1329" w:type="dxa"/>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bookmarkStart w:id="0" w:name="OLE_LINK4"/>
            <w:r>
              <w:rPr>
                <w:rFonts w:hint="default" w:ascii="Times New Roman" w:hAnsi="Times New Roman" w:eastAsia="Times New Roman" w:cs="Times New Roman"/>
                <w:kern w:val="0"/>
                <w:position w:val="20"/>
                <w:sz w:val="20"/>
                <w:szCs w:val="20"/>
                <w:lang w:val="en-US" w:eastAsia="zh-CN" w:bidi="ar"/>
              </w:rPr>
              <w:t>Group A vs C</w:t>
            </w:r>
            <w:bookmarkEnd w:id="0"/>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P2 value</w:t>
            </w:r>
          </w:p>
        </w:tc>
        <w:tc>
          <w:tcPr>
            <w:tcW w:w="1368" w:type="dxa"/>
            <w:tcBorders>
              <w:top w:val="single" w:color="auto" w:sz="4" w:space="0"/>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Group B vs C</w:t>
            </w:r>
          </w:p>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P3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113" w:type="dxa"/>
            <w:tcBorders>
              <w:top w:val="single" w:color="auto"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Age, year</w:t>
            </w:r>
          </w:p>
        </w:tc>
        <w:tc>
          <w:tcPr>
            <w:tcW w:w="1933"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28.0 (24.0 - 34.0)</w:t>
            </w:r>
          </w:p>
        </w:tc>
        <w:tc>
          <w:tcPr>
            <w:tcW w:w="1947"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29.0 (20.0 - 37.0)</w:t>
            </w:r>
          </w:p>
        </w:tc>
        <w:tc>
          <w:tcPr>
            <w:tcW w:w="1803"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29.0 (24.0 - 36.0)</w:t>
            </w:r>
          </w:p>
        </w:tc>
        <w:tc>
          <w:tcPr>
            <w:tcW w:w="1297"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0.689</w:t>
            </w:r>
          </w:p>
        </w:tc>
        <w:tc>
          <w:tcPr>
            <w:tcW w:w="1329"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0.870</w:t>
            </w:r>
          </w:p>
        </w:tc>
        <w:tc>
          <w:tcPr>
            <w:tcW w:w="1368"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Parity, n (%)</w:t>
            </w:r>
          </w:p>
        </w:tc>
        <w:tc>
          <w:tcPr>
            <w:tcW w:w="193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 (60.0%)</w:t>
            </w:r>
          </w:p>
        </w:tc>
        <w:tc>
          <w:tcPr>
            <w:tcW w:w="1947"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17 (19.3%)</w:t>
            </w:r>
          </w:p>
        </w:tc>
        <w:tc>
          <w:tcPr>
            <w:tcW w:w="180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 (31.8%)</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0.010</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0.244</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TDF treatment, n (%)</w:t>
            </w:r>
          </w:p>
        </w:tc>
        <w:tc>
          <w:tcPr>
            <w:tcW w:w="193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5 (50.0%)</w:t>
            </w:r>
          </w:p>
        </w:tc>
        <w:tc>
          <w:tcPr>
            <w:tcW w:w="1947"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42 (50.6%)</w:t>
            </w:r>
          </w:p>
        </w:tc>
        <w:tc>
          <w:tcPr>
            <w:tcW w:w="180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16 (72.7%)</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0.252</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Follow-up, month</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36.7 (17.3 - 57.6)</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11.0 (0.5 - 73.0)</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25.0 (10.3 - 53.7)</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0.002</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0.042</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b/>
                <w:bCs/>
                <w:kern w:val="0"/>
                <w:sz w:val="20"/>
                <w:szCs w:val="20"/>
                <w:lang w:val="en-US"/>
              </w:rPr>
            </w:pPr>
            <w:r>
              <w:rPr>
                <w:rFonts w:hint="default" w:ascii="Times New Roman" w:hAnsi="Times New Roman" w:eastAsia="等线" w:cs="Times New Roman"/>
                <w:b/>
                <w:bCs/>
                <w:kern w:val="0"/>
                <w:position w:val="20"/>
                <w:sz w:val="20"/>
                <w:szCs w:val="20"/>
                <w:lang w:val="en-US" w:eastAsia="zh-CN" w:bidi="ar"/>
              </w:rPr>
              <w:t xml:space="preserve">Baseline </w:t>
            </w:r>
            <w:r>
              <w:rPr>
                <w:rFonts w:hint="default" w:ascii="Times New Roman" w:hAnsi="Times New Roman" w:eastAsia="等线" w:cs="Times New Roman"/>
                <w:kern w:val="0"/>
                <w:position w:val="20"/>
                <w:sz w:val="20"/>
                <w:szCs w:val="20"/>
                <w:lang w:val="en-US" w:eastAsia="zh-CN" w:bidi="ar"/>
              </w:rPr>
              <w:t>†</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ALT, U/L</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19.0 (12.0 - 110.0)</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32.5 (18.0 - 116.0)</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102.5 (32.0 - 410.0)</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0.003</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HBsAg, log IU/mL</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3.7 (2.60 - 4.20)</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4.57 (2.94 - 5.01)</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4.6 (3.50 - 5.12)</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0.004</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HBeAg, log PEIU/mL</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0.87 (0.18 - 2.47)</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2.97 (0.00 - 3.38)</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3.25 (1.11 - 3.71)</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HBV-DNA, log IU/mL</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 (0.00 - 3.10)</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3.0 (0.00 - 4.46)</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6.9 (4.70 - 8.53)</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b/>
                <w:bCs/>
                <w:kern w:val="0"/>
                <w:sz w:val="20"/>
                <w:szCs w:val="20"/>
                <w:lang w:val="en-US"/>
              </w:rPr>
            </w:pPr>
            <w:r>
              <w:rPr>
                <w:rFonts w:hint="default" w:ascii="Times New Roman" w:hAnsi="Times New Roman" w:eastAsia="Times New Roman" w:cs="Times New Roman"/>
                <w:b/>
                <w:bCs/>
                <w:kern w:val="0"/>
                <w:position w:val="20"/>
                <w:sz w:val="20"/>
                <w:szCs w:val="20"/>
                <w:lang w:val="en-US" w:eastAsia="zh-CN" w:bidi="ar"/>
              </w:rPr>
              <w:t>Change</w:t>
            </w:r>
            <w:r>
              <w:rPr>
                <w:rFonts w:hint="default" w:ascii="Times New Roman" w:hAnsi="Times New Roman" w:eastAsia="Times New Roman" w:cs="Times New Roman"/>
                <w:kern w:val="0"/>
                <w:position w:val="20"/>
                <w:sz w:val="20"/>
                <w:szCs w:val="20"/>
                <w:lang w:val="en-US" w:eastAsia="zh-CN" w:bidi="ar"/>
              </w:rPr>
              <w:t>‡</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Δ ALT，U/L</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 (-27.0 - 96.0)</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5.0 (-208 - 73.0)</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84.5 (19.0 - 401.0)</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0.992</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Δ HBsAg, log IU/mL</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0.1 (-0.20 - 2.40)</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-0.14 (-0.69 - 0.92)</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1.3 (0.20 - 4.70)</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0.024</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0.001</w:t>
            </w:r>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113"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Δ HBeAg, PEIU/mL</w:t>
            </w:r>
          </w:p>
        </w:tc>
        <w:tc>
          <w:tcPr>
            <w:tcW w:w="193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0.9 (0.07 - 2.47)</w:t>
            </w:r>
          </w:p>
        </w:tc>
        <w:tc>
          <w:tcPr>
            <w:tcW w:w="194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-0.07 (-0.62 - 1.73)</w:t>
            </w:r>
          </w:p>
        </w:tc>
        <w:tc>
          <w:tcPr>
            <w:tcW w:w="1803"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3.11 (-2.67 - 3.52)</w:t>
            </w:r>
          </w:p>
        </w:tc>
        <w:tc>
          <w:tcPr>
            <w:tcW w:w="1297"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2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bookmarkStart w:id="1" w:name="OLE_LINK6"/>
            <w:r>
              <w:rPr>
                <w:rFonts w:hint="default" w:ascii="Times New Roman" w:hAnsi="Times New Roman" w:eastAsia="Times New Roman" w:cs="Times New Roman"/>
                <w:kern w:val="0"/>
                <w:position w:val="20"/>
                <w:sz w:val="20"/>
                <w:szCs w:val="20"/>
                <w:lang w:val="en-US" w:eastAsia="zh-CN" w:bidi="ar"/>
              </w:rPr>
              <w:t>&lt; 0.001</w:t>
            </w:r>
            <w:bookmarkEnd w:id="1"/>
          </w:p>
        </w:tc>
        <w:tc>
          <w:tcPr>
            <w:tcW w:w="136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2113" w:type="dxa"/>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Δ HBV-DNA, log IU/mL</w:t>
            </w:r>
          </w:p>
        </w:tc>
        <w:tc>
          <w:tcPr>
            <w:tcW w:w="1933"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 (0.00 - 3.10)</w:t>
            </w:r>
          </w:p>
        </w:tc>
        <w:tc>
          <w:tcPr>
            <w:tcW w:w="1947"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-4.32 (-8.29 - 0 .00)</w:t>
            </w:r>
          </w:p>
        </w:tc>
        <w:tc>
          <w:tcPr>
            <w:tcW w:w="1803"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6.8 (4.70 - 8.50)</w:t>
            </w:r>
          </w:p>
        </w:tc>
        <w:tc>
          <w:tcPr>
            <w:tcW w:w="1297"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2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c>
          <w:tcPr>
            <w:tcW w:w="1368"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&lt; 0.001</w:t>
            </w:r>
          </w:p>
        </w:tc>
      </w:tr>
    </w:tbl>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sz w:val="20"/>
          <w:szCs w:val="20"/>
          <w:lang w:val="en-US"/>
        </w:rPr>
      </w:pPr>
      <w:r>
        <w:rPr>
          <w:rFonts w:hint="default" w:ascii="Times New Roman" w:hAnsi="Times New Roman" w:eastAsia="等线" w:cs="Times New Roman"/>
          <w:kern w:val="2"/>
          <w:position w:val="20"/>
          <w:sz w:val="20"/>
          <w:szCs w:val="20"/>
          <w:lang w:val="en-US" w:eastAsia="zh-CN" w:bidi="ar"/>
        </w:rPr>
        <w:t xml:space="preserve">Note: </w:t>
      </w:r>
      <w:r>
        <w:rPr>
          <w:rFonts w:hint="default" w:ascii="Times New Roman" w:hAnsi="Times New Roman" w:eastAsia="等线" w:cs="Times New Roman"/>
          <w:kern w:val="0"/>
          <w:position w:val="20"/>
          <w:sz w:val="20"/>
          <w:szCs w:val="20"/>
          <w:lang w:val="en-US" w:eastAsia="zh-CN" w:bidi="ar"/>
        </w:rPr>
        <w:t>†</w:t>
      </w:r>
      <w:r>
        <w:rPr>
          <w:rFonts w:hint="default" w:ascii="Times New Roman" w:hAnsi="Times New Roman" w:eastAsia="等线" w:cs="Times New Roman"/>
          <w:b/>
          <w:bCs/>
          <w:kern w:val="0"/>
          <w:position w:val="20"/>
          <w:sz w:val="20"/>
          <w:szCs w:val="20"/>
          <w:lang w:val="en-US" w:eastAsia="zh-CN" w:bidi="ar"/>
        </w:rPr>
        <w:t xml:space="preserve"> </w:t>
      </w:r>
      <w:r>
        <w:rPr>
          <w:rFonts w:hint="default" w:ascii="Times New Roman" w:hAnsi="Times New Roman" w:eastAsia="等线" w:cs="Times New Roman"/>
          <w:kern w:val="0"/>
          <w:position w:val="20"/>
          <w:sz w:val="20"/>
          <w:szCs w:val="20"/>
          <w:lang w:val="en-US" w:eastAsia="zh-CN" w:bidi="ar"/>
        </w:rPr>
        <w:t>The baseline levels of ALT, HBsAg, HBeAg and HBV DNA were values at early pregnancy, 24 – 28 weeks gestation and re-treatment for Groups A, B and C, respectively.</w:t>
      </w:r>
      <w:r>
        <w:rPr>
          <w:rFonts w:hint="default" w:ascii="Times New Roman" w:hAnsi="Times New Roman" w:eastAsia="等线" w:cs="Times New Roman"/>
          <w:b/>
          <w:bCs/>
          <w:kern w:val="0"/>
          <w:position w:val="20"/>
          <w:sz w:val="20"/>
          <w:szCs w:val="20"/>
          <w:vertAlign w:val="superscript"/>
          <w:lang w:val="en-US" w:eastAsia="zh-CN" w:bidi="ar"/>
        </w:rPr>
        <w:t xml:space="preserve"> </w:t>
      </w:r>
      <w:r>
        <w:rPr>
          <w:rFonts w:hint="default" w:ascii="Times New Roman" w:hAnsi="Times New Roman" w:eastAsia="等线" w:cs="Times New Roman"/>
          <w:kern w:val="0"/>
          <w:position w:val="20"/>
          <w:sz w:val="20"/>
          <w:szCs w:val="20"/>
          <w:lang w:val="en-US" w:eastAsia="zh-CN" w:bidi="ar"/>
        </w:rPr>
        <w:t xml:space="preserve">‡ </w:t>
      </w:r>
      <w:r>
        <w:rPr>
          <w:rFonts w:hint="default" w:ascii="Times New Roman" w:hAnsi="Times New Roman" w:eastAsia="等线" w:cs="Times New Roman"/>
          <w:kern w:val="2"/>
          <w:position w:val="20"/>
          <w:sz w:val="20"/>
          <w:szCs w:val="20"/>
          <w:lang w:val="en-US" w:eastAsia="zh-CN" w:bidi="ar"/>
        </w:rPr>
        <w:t>Value change between baseline and last follow-up. Continuous variables were expressed using medians and ranges. Categorical variables were expressed as counts and percentages. ALT, alanine aminotransaminase; DNA, deoxyribonucleic acid; HBV, hepatitis B virus; HBeAg, hepatitis B e antigen; HBsAg, hepatitis B surface antigen; TDF, tenofovir disoproxil fumarate.</w:t>
      </w: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adjustRightInd w:val="0"/>
        <w:spacing w:line="480" w:lineRule="auto"/>
        <w:rPr>
          <w:rFonts w:hint="default" w:ascii="Times New Roman" w:hAnsi="Times New Roman" w:eastAsia="等线" w:cs="Times New Roman"/>
          <w:sz w:val="20"/>
          <w:szCs w:val="20"/>
          <w:lang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cs="Times New Roman"/>
          <w:b/>
          <w:bCs/>
          <w:sz w:val="20"/>
          <w:szCs w:val="20"/>
          <w:lang w:val="en-US"/>
        </w:rPr>
      </w:pPr>
      <w:r>
        <w:rPr>
          <w:rFonts w:hint="default" w:ascii="Times New Roman" w:hAnsi="Times New Roman" w:eastAsia="等线" w:cs="Times New Roman"/>
          <w:b/>
          <w:bCs/>
          <w:kern w:val="2"/>
          <w:position w:val="20"/>
          <w:sz w:val="20"/>
          <w:szCs w:val="20"/>
          <w:lang w:val="en-US" w:eastAsia="zh-CN" w:bidi="ar"/>
        </w:rPr>
        <w:t>Supplementary Table S2 The characteristics of study population by outcome events.</w:t>
      </w:r>
    </w:p>
    <w:tbl>
      <w:tblPr>
        <w:tblStyle w:val="6"/>
        <w:tblpPr w:leftFromText="180" w:rightFromText="180" w:vertAnchor="page" w:horzAnchor="page" w:tblpX="656" w:tblpY="5168"/>
        <w:tblW w:w="11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00"/>
        <w:gridCol w:w="1296"/>
        <w:gridCol w:w="1165"/>
        <w:gridCol w:w="728"/>
        <w:gridCol w:w="1132"/>
        <w:gridCol w:w="1092"/>
        <w:gridCol w:w="690"/>
        <w:gridCol w:w="1054"/>
        <w:gridCol w:w="1135"/>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1" w:hRule="atLeast"/>
        </w:trPr>
        <w:tc>
          <w:tcPr>
            <w:tcW w:w="2200" w:type="dxa"/>
            <w:tcBorders>
              <w:top w:val="single" w:color="auto" w:sz="4" w:space="0"/>
              <w:left w:val="nil"/>
              <w:bottom w:val="nil"/>
              <w:right w:val="nil"/>
            </w:tcBorders>
            <w:shd w:val="clear" w:color="auto" w:fill="auto"/>
            <w:vAlign w:val="center"/>
          </w:tcPr>
          <w:p>
            <w:pPr>
              <w:keepNext w:val="0"/>
              <w:keepLines w:val="0"/>
              <w:suppressLineNumbers w:val="0"/>
              <w:spacing w:before="0" w:beforeAutospacing="0" w:after="0" w:afterAutospacing="0"/>
              <w:ind w:left="0" w:right="0"/>
              <w:jc w:val="both"/>
              <w:rPr>
                <w:rFonts w:hint="default" w:ascii="Times New Roman" w:hAnsi="Times New Roman" w:eastAsia="Times New Roman" w:cs="Times New Roman"/>
                <w:sz w:val="20"/>
                <w:szCs w:val="20"/>
              </w:rPr>
            </w:pPr>
          </w:p>
        </w:tc>
        <w:tc>
          <w:tcPr>
            <w:tcW w:w="3189" w:type="dxa"/>
            <w:gridSpan w:val="3"/>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HBV undetectable</w:t>
            </w:r>
          </w:p>
        </w:tc>
        <w:tc>
          <w:tcPr>
            <w:tcW w:w="2914" w:type="dxa"/>
            <w:gridSpan w:val="3"/>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HBeAg loss</w:t>
            </w:r>
          </w:p>
        </w:tc>
        <w:tc>
          <w:tcPr>
            <w:tcW w:w="2898" w:type="dxa"/>
            <w:gridSpan w:val="3"/>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HBsAg &lt; 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p>
        </w:tc>
        <w:tc>
          <w:tcPr>
            <w:tcW w:w="1296"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Yes</w:t>
            </w:r>
          </w:p>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(n=17)</w:t>
            </w:r>
          </w:p>
        </w:tc>
        <w:tc>
          <w:tcPr>
            <w:tcW w:w="1165"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No</w:t>
            </w:r>
          </w:p>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(n=5)</w:t>
            </w:r>
          </w:p>
        </w:tc>
        <w:tc>
          <w:tcPr>
            <w:tcW w:w="728"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i/>
                <w:iCs/>
                <w:kern w:val="0"/>
                <w:position w:val="20"/>
                <w:sz w:val="20"/>
                <w:szCs w:val="20"/>
                <w:lang w:val="en-US" w:eastAsia="zh-CN" w:bidi="ar"/>
              </w:rPr>
              <w:t>P</w:t>
            </w:r>
            <w:r>
              <w:rPr>
                <w:rFonts w:hint="default" w:ascii="Times New Roman" w:hAnsi="Times New Roman" w:eastAsia="Times New Roman" w:cs="Times New Roman"/>
                <w:kern w:val="0"/>
                <w:position w:val="20"/>
                <w:sz w:val="20"/>
                <w:szCs w:val="20"/>
                <w:lang w:val="en-US" w:eastAsia="zh-CN" w:bidi="ar"/>
              </w:rPr>
              <w:t>1</w:t>
            </w:r>
          </w:p>
        </w:tc>
        <w:tc>
          <w:tcPr>
            <w:tcW w:w="113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Yes</w:t>
            </w:r>
          </w:p>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(n=5)</w:t>
            </w:r>
          </w:p>
        </w:tc>
        <w:tc>
          <w:tcPr>
            <w:tcW w:w="109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No</w:t>
            </w:r>
          </w:p>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(n=17)</w:t>
            </w:r>
          </w:p>
        </w:tc>
        <w:tc>
          <w:tcPr>
            <w:tcW w:w="690"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i/>
                <w:iCs/>
                <w:kern w:val="0"/>
                <w:position w:val="20"/>
                <w:sz w:val="20"/>
                <w:szCs w:val="20"/>
                <w:lang w:val="en-US" w:eastAsia="zh-CN" w:bidi="ar"/>
              </w:rPr>
              <w:t>P</w:t>
            </w:r>
            <w:r>
              <w:rPr>
                <w:rFonts w:hint="default" w:ascii="Times New Roman" w:hAnsi="Times New Roman" w:eastAsia="Times New Roman" w:cs="Times New Roman"/>
                <w:kern w:val="0"/>
                <w:position w:val="20"/>
                <w:sz w:val="20"/>
                <w:szCs w:val="20"/>
                <w:lang w:val="en-US" w:eastAsia="zh-CN" w:bidi="ar"/>
              </w:rPr>
              <w:t>2</w:t>
            </w:r>
          </w:p>
        </w:tc>
        <w:tc>
          <w:tcPr>
            <w:tcW w:w="1054"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Yes</w:t>
            </w:r>
          </w:p>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(n=8)</w:t>
            </w:r>
          </w:p>
        </w:tc>
        <w:tc>
          <w:tcPr>
            <w:tcW w:w="1135"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No</w:t>
            </w:r>
          </w:p>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(n=14)</w:t>
            </w:r>
          </w:p>
        </w:tc>
        <w:tc>
          <w:tcPr>
            <w:tcW w:w="709"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i/>
                <w:iCs/>
                <w:kern w:val="0"/>
                <w:position w:val="20"/>
                <w:sz w:val="20"/>
                <w:szCs w:val="20"/>
                <w:lang w:val="en-US" w:eastAsia="zh-CN" w:bidi="ar"/>
              </w:rPr>
              <w:t>P</w:t>
            </w:r>
            <w:r>
              <w:rPr>
                <w:rFonts w:hint="default" w:ascii="Times New Roman" w:hAnsi="Times New Roman" w:eastAsia="Times New Roman" w:cs="Times New Roman"/>
                <w:kern w:val="0"/>
                <w:position w:val="20"/>
                <w:sz w:val="20"/>
                <w:szCs w:val="20"/>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single" w:color="auto"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Age, year</w:t>
            </w:r>
          </w:p>
        </w:tc>
        <w:tc>
          <w:tcPr>
            <w:tcW w:w="1296"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28.4±3.1</w:t>
            </w:r>
          </w:p>
        </w:tc>
        <w:tc>
          <w:tcPr>
            <w:tcW w:w="1165"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32.1±3.0</w:t>
            </w:r>
          </w:p>
        </w:tc>
        <w:tc>
          <w:tcPr>
            <w:tcW w:w="728"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0.041</w:t>
            </w:r>
          </w:p>
        </w:tc>
        <w:tc>
          <w:tcPr>
            <w:tcW w:w="113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27.8±2.8</w:t>
            </w:r>
          </w:p>
        </w:tc>
        <w:tc>
          <w:tcPr>
            <w:tcW w:w="1092"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29.6±3.5</w:t>
            </w:r>
          </w:p>
        </w:tc>
        <w:tc>
          <w:tcPr>
            <w:tcW w:w="690"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0.345</w:t>
            </w:r>
          </w:p>
        </w:tc>
        <w:tc>
          <w:tcPr>
            <w:tcW w:w="1054"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28.5±3.6</w:t>
            </w:r>
          </w:p>
        </w:tc>
        <w:tc>
          <w:tcPr>
            <w:tcW w:w="1135"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29.6±3.3</w:t>
            </w:r>
          </w:p>
        </w:tc>
        <w:tc>
          <w:tcPr>
            <w:tcW w:w="709" w:type="dxa"/>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Parity, n (%)</w:t>
            </w:r>
          </w:p>
        </w:tc>
        <w:tc>
          <w:tcPr>
            <w:tcW w:w="1296"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 (17.6%)</w:t>
            </w:r>
          </w:p>
        </w:tc>
        <w:tc>
          <w:tcPr>
            <w:tcW w:w="116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 (80.0)</w:t>
            </w:r>
          </w:p>
        </w:tc>
        <w:tc>
          <w:tcPr>
            <w:tcW w:w="728"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0.021</w:t>
            </w:r>
          </w:p>
        </w:tc>
        <w:tc>
          <w:tcPr>
            <w:tcW w:w="113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 (20.0%)</w:t>
            </w:r>
          </w:p>
        </w:tc>
        <w:tc>
          <w:tcPr>
            <w:tcW w:w="109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 (35.3%)</w:t>
            </w:r>
          </w:p>
        </w:tc>
        <w:tc>
          <w:tcPr>
            <w:tcW w:w="69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c>
          <w:tcPr>
            <w:tcW w:w="1054"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 (25.0%)</w:t>
            </w:r>
          </w:p>
        </w:tc>
        <w:tc>
          <w:tcPr>
            <w:tcW w:w="113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5 (35.7%)</w:t>
            </w:r>
          </w:p>
        </w:tc>
        <w:tc>
          <w:tcPr>
            <w:tcW w:w="709"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ALT flare, n (%)</w:t>
            </w:r>
          </w:p>
        </w:tc>
        <w:tc>
          <w:tcPr>
            <w:tcW w:w="1296"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12 (75.0)</w:t>
            </w:r>
          </w:p>
        </w:tc>
        <w:tc>
          <w:tcPr>
            <w:tcW w:w="116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 (60.0%)</w:t>
            </w:r>
          </w:p>
        </w:tc>
        <w:tc>
          <w:tcPr>
            <w:tcW w:w="728"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0.598</w:t>
            </w:r>
          </w:p>
        </w:tc>
        <w:tc>
          <w:tcPr>
            <w:tcW w:w="113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 (100%)</w:t>
            </w:r>
          </w:p>
        </w:tc>
        <w:tc>
          <w:tcPr>
            <w:tcW w:w="109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11 (64.7%)</w:t>
            </w:r>
          </w:p>
        </w:tc>
        <w:tc>
          <w:tcPr>
            <w:tcW w:w="69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0.281</w:t>
            </w:r>
          </w:p>
        </w:tc>
        <w:tc>
          <w:tcPr>
            <w:tcW w:w="1054"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 (87.5%)</w:t>
            </w:r>
          </w:p>
        </w:tc>
        <w:tc>
          <w:tcPr>
            <w:tcW w:w="113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8 (61.5%)</w:t>
            </w:r>
          </w:p>
        </w:tc>
        <w:tc>
          <w:tcPr>
            <w:tcW w:w="709"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TDF treatment, n (%)</w:t>
            </w:r>
          </w:p>
        </w:tc>
        <w:tc>
          <w:tcPr>
            <w:tcW w:w="1296"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13 (76.5%)</w:t>
            </w:r>
          </w:p>
        </w:tc>
        <w:tc>
          <w:tcPr>
            <w:tcW w:w="116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 (80.0%)</w:t>
            </w:r>
          </w:p>
        </w:tc>
        <w:tc>
          <w:tcPr>
            <w:tcW w:w="728"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c>
          <w:tcPr>
            <w:tcW w:w="113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 (80.0%)</w:t>
            </w:r>
          </w:p>
        </w:tc>
        <w:tc>
          <w:tcPr>
            <w:tcW w:w="109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13 (76.5%)</w:t>
            </w:r>
          </w:p>
        </w:tc>
        <w:tc>
          <w:tcPr>
            <w:tcW w:w="69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c>
          <w:tcPr>
            <w:tcW w:w="1054"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 (87.5%)</w:t>
            </w:r>
          </w:p>
        </w:tc>
        <w:tc>
          <w:tcPr>
            <w:tcW w:w="113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 (71.4%)</w:t>
            </w:r>
          </w:p>
        </w:tc>
        <w:tc>
          <w:tcPr>
            <w:tcW w:w="709"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Treatment duration, month</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28.1±13.1</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21.9±6.1</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0.411</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24.8±11.9</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27.3±12.3</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0.724</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31.3±12.8</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24.1±11.2</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b/>
                <w:bCs/>
                <w:kern w:val="0"/>
                <w:position w:val="20"/>
                <w:sz w:val="20"/>
                <w:szCs w:val="20"/>
                <w:lang w:val="en-US" w:eastAsia="zh-CN" w:bidi="ar"/>
              </w:rPr>
              <w:t>24 - 28 weeks gestation</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sz w:val="20"/>
                <w:szCs w:val="20"/>
                <w:lang w:val="en-US"/>
              </w:rPr>
            </w:pPr>
          </w:p>
        </w:tc>
        <w:tc>
          <w:tcPr>
            <w:tcW w:w="113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09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054"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13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HBsAg, log IU/mL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4.3±0.4</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4.7±0.2</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0.020</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4.6±0.3</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4.4±0.4</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0.571</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4.4±0.5</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4.5±0.3</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HBeAg, log PEIU/mL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3.1±0.6</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3.4±0.1</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0.045</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3.3±0.1</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3.1±0.6</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0.571</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3.1±0.2</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3.2±0.7</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HBV-DNA, log IU/mL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7.1±0.8</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7.6±0.4</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0.147</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7.1±0.9</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7.3±0.7</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0.875</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6.9±0.8</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7.4±0.6</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ALT, U/L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44.9±54.0</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27.2±10.1</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0.666</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43.0±20.8</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40.2±53.9</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0.255</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28.3±17.4</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48.1±58.3</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End of treatment</w:t>
            </w:r>
          </w:p>
        </w:tc>
        <w:tc>
          <w:tcPr>
            <w:tcW w:w="1296"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16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13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09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69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054"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13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sz w:val="20"/>
                <w:szCs w:val="20"/>
                <w:lang w:val="en-US"/>
              </w:rPr>
            </w:pPr>
          </w:p>
        </w:tc>
        <w:tc>
          <w:tcPr>
            <w:tcW w:w="709"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HBsAg, log IU/mL </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4.4±0.6</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4.6±0.2</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4.5±0.5</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0.223</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4.5±0.2</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4.5±0.5</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HBeAg, log PEIU/mL </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2.9±0.3</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3.2±0.1</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0.088</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3.1±0.3</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0.602</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2.8±0.1</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3.2±0.2</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HBV DNA, log IU/mL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2.8±1.0</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3.8±0.9</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0.066</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3.0±0.8</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3.0±1.1</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0.668</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3.0±0.5</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3.0±1.3</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ALT, U/L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45.4±17.1</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51.0±13.2</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0.611</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48.0±2.8</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46.5±17.4</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0.488</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53.5±11.1</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43.7±17.3</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b/>
                <w:bCs/>
                <w:kern w:val="0"/>
                <w:position w:val="20"/>
                <w:sz w:val="20"/>
                <w:szCs w:val="20"/>
                <w:lang w:val="en-US" w:eastAsia="zh-CN" w:bidi="ar"/>
              </w:rPr>
              <w:t>Re-treatment</w:t>
            </w:r>
          </w:p>
        </w:tc>
        <w:tc>
          <w:tcPr>
            <w:tcW w:w="1296"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16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p>
        </w:tc>
        <w:tc>
          <w:tcPr>
            <w:tcW w:w="113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092"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690"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054"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c>
          <w:tcPr>
            <w:tcW w:w="1135"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sz w:val="20"/>
                <w:szCs w:val="20"/>
                <w:lang w:val="en-US"/>
              </w:rPr>
            </w:pPr>
          </w:p>
        </w:tc>
        <w:tc>
          <w:tcPr>
            <w:tcW w:w="709" w:type="dxa"/>
            <w:tcBorders>
              <w:top w:val="nil"/>
              <w:left w:val="nil"/>
              <w:bottom w:val="nil"/>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left"/>
              <w:rPr>
                <w:rFonts w:hint="default" w:ascii="Times New Roman" w:hAnsi="Times New Roman" w:eastAsia="Times New Roman" w:cs="Times New Roman"/>
                <w:kern w:val="0"/>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HBsAg, log IU/mL </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4.3±0.5</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4.8±0.3</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0.236</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4.4±0.5</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4.3±0.6</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0.758</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4.4±0.6</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4.3±0.5</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HBeAg, PEIU /mL </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3.0±0.7</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3.3±0.0</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0.844</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3.1±0.3</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3.0±0.7</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0.643</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3.1±0.3</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2.9±0.8</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HBV DNA, log IU/mL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6.7±0.6</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8.2±0.3</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0.001</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6.5±0.4</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7.3±0.8</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0.048</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6.6±0.3</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7.4±0.9</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nil"/>
              <w:right w:val="nil"/>
            </w:tcBorders>
            <w:shd w:val="clear" w:color="auto" w:fill="auto"/>
            <w:vAlign w:val="center"/>
          </w:tcPr>
          <w:p>
            <w:pPr>
              <w:pStyle w:val="4"/>
              <w:keepNext w:val="0"/>
              <w:keepLines w:val="0"/>
              <w:widowControl/>
              <w:suppressLineNumbers w:val="0"/>
              <w:spacing w:line="480" w:lineRule="auto"/>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ALT, U/L</w:t>
            </w:r>
          </w:p>
        </w:tc>
        <w:tc>
          <w:tcPr>
            <w:tcW w:w="1296"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170.4±109.7</w:t>
            </w:r>
          </w:p>
        </w:tc>
        <w:tc>
          <w:tcPr>
            <w:tcW w:w="116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144.2±132.5</w:t>
            </w:r>
          </w:p>
        </w:tc>
        <w:tc>
          <w:tcPr>
            <w:tcW w:w="728"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0.256</w:t>
            </w:r>
          </w:p>
        </w:tc>
        <w:tc>
          <w:tcPr>
            <w:tcW w:w="113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165.8±113.7</w:t>
            </w:r>
          </w:p>
        </w:tc>
        <w:tc>
          <w:tcPr>
            <w:tcW w:w="1092"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164.0±115.6</w:t>
            </w:r>
          </w:p>
        </w:tc>
        <w:tc>
          <w:tcPr>
            <w:tcW w:w="690"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0.724</w:t>
            </w:r>
          </w:p>
        </w:tc>
        <w:tc>
          <w:tcPr>
            <w:tcW w:w="1054"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145.8±96.8</w:t>
            </w:r>
          </w:p>
        </w:tc>
        <w:tc>
          <w:tcPr>
            <w:tcW w:w="113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175.1±122.6</w:t>
            </w:r>
          </w:p>
        </w:tc>
        <w:tc>
          <w:tcPr>
            <w:tcW w:w="709"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200" w:type="dxa"/>
            <w:tcBorders>
              <w:top w:val="nil"/>
              <w:left w:val="nil"/>
              <w:bottom w:val="single" w:color="auto" w:sz="4" w:space="0"/>
              <w:right w:val="nil"/>
            </w:tcBorders>
            <w:shd w:val="clear" w:color="auto" w:fill="auto"/>
            <w:vAlign w:val="center"/>
          </w:tcPr>
          <w:p>
            <w:pPr>
              <w:keepNext w:val="0"/>
              <w:keepLines w:val="0"/>
              <w:widowControl w:val="0"/>
              <w:suppressLineNumbers w:val="0"/>
              <w:spacing w:before="0" w:beforeAutospacing="0" w:after="0" w:afterAutospacing="0" w:line="480" w:lineRule="auto"/>
              <w:ind w:left="0" w:right="0"/>
              <w:jc w:val="both"/>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Elevated ALT after 1 month of treatment, n (%)</w:t>
            </w:r>
          </w:p>
        </w:tc>
        <w:tc>
          <w:tcPr>
            <w:tcW w:w="1296"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12 (70.6%)</w:t>
            </w:r>
          </w:p>
        </w:tc>
        <w:tc>
          <w:tcPr>
            <w:tcW w:w="1165"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 (75.0%)</w:t>
            </w:r>
          </w:p>
        </w:tc>
        <w:tc>
          <w:tcPr>
            <w:tcW w:w="728"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c>
          <w:tcPr>
            <w:tcW w:w="1132"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3 (60.0%)</w:t>
            </w:r>
          </w:p>
        </w:tc>
        <w:tc>
          <w:tcPr>
            <w:tcW w:w="1092"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 (66.7%)</w:t>
            </w:r>
          </w:p>
        </w:tc>
        <w:tc>
          <w:tcPr>
            <w:tcW w:w="690"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1.000</w:t>
            </w:r>
          </w:p>
        </w:tc>
        <w:tc>
          <w:tcPr>
            <w:tcW w:w="105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4 (50.0%)</w:t>
            </w:r>
          </w:p>
        </w:tc>
        <w:tc>
          <w:tcPr>
            <w:tcW w:w="1135"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9(81.8%)</w:t>
            </w:r>
          </w:p>
        </w:tc>
        <w:tc>
          <w:tcPr>
            <w:tcW w:w="70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80" w:lineRule="auto"/>
              <w:ind w:left="0" w:right="0"/>
              <w:jc w:val="left"/>
              <w:textAlignment w:val="center"/>
              <w:rPr>
                <w:rFonts w:hint="default" w:ascii="Times New Roman" w:hAnsi="Times New Roman" w:eastAsia="Times New Roman" w:cs="Times New Roman"/>
                <w:kern w:val="0"/>
                <w:sz w:val="20"/>
                <w:szCs w:val="20"/>
                <w:lang w:val="en-US"/>
              </w:rPr>
            </w:pPr>
            <w:r>
              <w:rPr>
                <w:rFonts w:hint="default" w:ascii="Times New Roman" w:hAnsi="Times New Roman" w:eastAsia="Times New Roman" w:cs="Times New Roman"/>
                <w:kern w:val="0"/>
                <w:position w:val="20"/>
                <w:sz w:val="20"/>
                <w:szCs w:val="20"/>
                <w:lang w:val="en-US" w:eastAsia="zh-CN" w:bidi="ar"/>
              </w:rPr>
              <w:t>0.319</w:t>
            </w:r>
          </w:p>
        </w:tc>
      </w:tr>
    </w:tbl>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r>
        <w:rPr>
          <w:rFonts w:hint="default" w:ascii="Times New Roman" w:hAnsi="Times New Roman" w:eastAsia="等线" w:cs="Times New Roman"/>
          <w:kern w:val="2"/>
          <w:position w:val="20"/>
          <w:sz w:val="20"/>
          <w:szCs w:val="20"/>
          <w:lang w:val="en-US" w:eastAsia="zh-CN" w:bidi="ar"/>
        </w:rPr>
        <w:t>Note: * No sufficient data to calculate. Continuous variables were expressed as mean ± standard deviation. Categorical variables were expressed as counts and percentages.  ALT, alanine aminotransaminase; CI, confidence interval; DNA, deoxyribonucleic acid; HBV, hepatitis B virus; HBeAg, hepatitis B e antigen; HBsAg, hepatitis B surface antigen; TDF, tenofovir disoproxil fumarate.</w:t>
      </w: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b/>
          <w:bCs/>
          <w:kern w:val="2"/>
          <w:position w:val="20"/>
          <w:sz w:val="20"/>
          <w:szCs w:val="20"/>
          <w:lang w:val="en-US" w:eastAsia="zh-CN" w:bidi="ar"/>
        </w:rPr>
      </w:pPr>
      <w:r>
        <w:rPr>
          <w:rFonts w:hint="default" w:ascii="Times New Roman" w:hAnsi="Times New Roman" w:eastAsia="等线" w:cs="Times New Roman"/>
          <w:b/>
          <w:bCs/>
          <w:kern w:val="2"/>
          <w:position w:val="20"/>
          <w:sz w:val="20"/>
          <w:szCs w:val="20"/>
          <w:lang w:val="en-US" w:eastAsia="zh-CN" w:bidi="ar"/>
        </w:rPr>
        <w:t>Supplementary figures</w:t>
      </w:r>
    </w:p>
    <w:p>
      <w:pPr>
        <w:keepNext w:val="0"/>
        <w:keepLines w:val="0"/>
        <w:widowControl/>
        <w:suppressLineNumbers w:val="0"/>
        <w:adjustRightInd w:val="0"/>
        <w:spacing w:before="0" w:beforeAutospacing="0" w:after="0" w:afterAutospacing="0" w:line="480" w:lineRule="auto"/>
        <w:ind w:left="0" w:right="0"/>
        <w:jc w:val="center"/>
        <w:rPr>
          <w:rFonts w:hint="default" w:ascii="Times New Roman" w:hAnsi="Times New Roman" w:eastAsia="等线" w:cs="Times New Roman"/>
          <w:b/>
          <w:bCs/>
          <w:kern w:val="2"/>
          <w:position w:val="20"/>
          <w:sz w:val="20"/>
          <w:szCs w:val="20"/>
          <w:lang w:val="en-US" w:eastAsia="zh-CN" w:bidi="ar"/>
        </w:rPr>
      </w:pPr>
      <w:r>
        <w:rPr>
          <w:rFonts w:hint="default" w:ascii="Times New Roman" w:hAnsi="Times New Roman" w:eastAsia="等线" w:cs="Times New Roman"/>
          <w:b/>
          <w:bCs/>
          <w:kern w:val="2"/>
          <w:position w:val="20"/>
          <w:sz w:val="20"/>
          <w:szCs w:val="20"/>
          <w:lang w:val="en-US" w:eastAsia="zh-CN" w:bidi="ar"/>
        </w:rPr>
        <w:drawing>
          <wp:inline distT="0" distB="0" distL="114300" distR="114300">
            <wp:extent cx="5042535" cy="5327015"/>
            <wp:effectExtent l="0" t="0" r="5715" b="6985"/>
            <wp:docPr id="1" name="图片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1"/>
                    <pic:cNvPicPr>
                      <a:picLocks noChangeAspect="1"/>
                    </pic:cNvPicPr>
                  </pic:nvPicPr>
                  <pic:blipFill>
                    <a:blip r:embed="rId5"/>
                    <a:stretch>
                      <a:fillRect/>
                    </a:stretch>
                  </pic:blipFill>
                  <pic:spPr>
                    <a:xfrm>
                      <a:off x="0" y="0"/>
                      <a:ext cx="5042535" cy="5327015"/>
                    </a:xfrm>
                    <a:prstGeom prst="rect">
                      <a:avLst/>
                    </a:prstGeom>
                  </pic:spPr>
                </pic:pic>
              </a:graphicData>
            </a:graphic>
          </wp:inline>
        </w:drawing>
      </w: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cs="Times New Roman"/>
          <w:sz w:val="20"/>
          <w:szCs w:val="20"/>
          <w:lang w:val="en-US"/>
        </w:rPr>
      </w:pPr>
      <w:r>
        <w:rPr>
          <w:rFonts w:hint="default" w:ascii="Times New Roman" w:hAnsi="Times New Roman" w:eastAsia="等线" w:cs="Times New Roman"/>
          <w:b/>
          <w:bCs/>
          <w:kern w:val="2"/>
          <w:position w:val="20"/>
          <w:sz w:val="20"/>
          <w:szCs w:val="20"/>
          <w:lang w:val="en-US" w:eastAsia="zh-CN" w:bidi="ar"/>
        </w:rPr>
        <w:t xml:space="preserve">Fig. </w:t>
      </w:r>
      <w:r>
        <w:rPr>
          <w:rFonts w:hint="eastAsia" w:ascii="Times New Roman" w:hAnsi="Times New Roman" w:eastAsia="等线" w:cs="Times New Roman"/>
          <w:b/>
          <w:bCs/>
          <w:kern w:val="2"/>
          <w:position w:val="20"/>
          <w:sz w:val="20"/>
          <w:szCs w:val="20"/>
          <w:lang w:val="en-US" w:eastAsia="zh-CN" w:bidi="ar"/>
        </w:rPr>
        <w:t>S</w:t>
      </w:r>
      <w:r>
        <w:rPr>
          <w:rFonts w:hint="default" w:ascii="Times New Roman" w:hAnsi="Times New Roman" w:eastAsia="等线" w:cs="Times New Roman"/>
          <w:b/>
          <w:bCs/>
          <w:kern w:val="2"/>
          <w:position w:val="20"/>
          <w:sz w:val="20"/>
          <w:szCs w:val="20"/>
          <w:lang w:val="en-US" w:eastAsia="zh-CN" w:bidi="ar"/>
        </w:rPr>
        <w:t xml:space="preserve">1 The flowchart of study participants. </w:t>
      </w:r>
      <w:r>
        <w:rPr>
          <w:rFonts w:hint="default" w:ascii="Times New Roman" w:hAnsi="Times New Roman" w:eastAsia="等线" w:cs="Times New Roman"/>
          <w:kern w:val="2"/>
          <w:position w:val="20"/>
          <w:sz w:val="20"/>
          <w:szCs w:val="20"/>
          <w:lang w:val="en-US" w:eastAsia="zh-CN" w:bidi="ar"/>
        </w:rPr>
        <w:t>CHB, chronic hepatitis B; NAs, nucleoside analogues; HBeAg, hepatitis B e antigen.</w:t>
      </w:r>
    </w:p>
    <w:p>
      <w:pPr>
        <w:keepNext w:val="0"/>
        <w:keepLines w:val="0"/>
        <w:widowControl/>
        <w:suppressLineNumbers w:val="0"/>
        <w:adjustRightInd w:val="0"/>
        <w:spacing w:before="0" w:beforeAutospacing="0" w:after="0" w:afterAutospacing="0" w:line="480" w:lineRule="auto"/>
        <w:ind w:left="0" w:right="0"/>
        <w:jc w:val="left"/>
        <w:rPr>
          <w:rFonts w:hint="default" w:ascii="Times New Roman" w:hAnsi="Times New Roman" w:eastAsia="等线" w:cs="Times New Roman"/>
          <w:kern w:val="2"/>
          <w:position w:val="20"/>
          <w:sz w:val="20"/>
          <w:szCs w:val="20"/>
          <w:lang w:val="en-US" w:eastAsia="zh-CN" w:bidi="ar"/>
        </w:rPr>
      </w:pPr>
    </w:p>
    <w:p>
      <w:pPr>
        <w:adjustRightInd w:val="0"/>
        <w:spacing w:line="480" w:lineRule="auto"/>
        <w:rPr>
          <w:rFonts w:hint="default" w:ascii="Times New Roman" w:hAnsi="Times New Roman" w:eastAsia="等线" w:cs="Times New Roman"/>
          <w:sz w:val="20"/>
          <w:szCs w:val="20"/>
          <w:lang w:eastAsia="zh-CN" w:bidi="ar"/>
        </w:rPr>
      </w:pPr>
      <w:r>
        <w:rPr>
          <w:rFonts w:hint="default" w:ascii="Times New Roman" w:hAnsi="Times New Roman" w:eastAsia="等线" w:cs="Times New Roman"/>
          <w:sz w:val="20"/>
          <w:szCs w:val="20"/>
          <w:lang w:eastAsia="zh-CN" w:bidi="ar"/>
        </w:rPr>
        <w:drawing>
          <wp:inline distT="0" distB="0" distL="114300" distR="114300">
            <wp:extent cx="4572000" cy="4335780"/>
            <wp:effectExtent l="0" t="0" r="0" b="7620"/>
            <wp:docPr id="3" name="图片 3"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1"/>
                    <pic:cNvPicPr>
                      <a:picLocks noChangeAspect="1"/>
                    </pic:cNvPicPr>
                  </pic:nvPicPr>
                  <pic:blipFill>
                    <a:blip r:embed="rId6"/>
                    <a:stretch>
                      <a:fillRect/>
                    </a:stretch>
                  </pic:blipFill>
                  <pic:spPr>
                    <a:xfrm>
                      <a:off x="0" y="0"/>
                      <a:ext cx="4572000" cy="4335780"/>
                    </a:xfrm>
                    <a:prstGeom prst="rect">
                      <a:avLst/>
                    </a:prstGeom>
                  </pic:spPr>
                </pic:pic>
              </a:graphicData>
            </a:graphic>
          </wp:inline>
        </w:drawing>
      </w:r>
    </w:p>
    <w:p>
      <w:pPr>
        <w:widowControl/>
        <w:adjustRightInd w:val="0"/>
        <w:spacing w:line="480" w:lineRule="auto"/>
        <w:jc w:val="left"/>
        <w:rPr>
          <w:rFonts w:hint="default" w:ascii="Times New Roman" w:hAnsi="Times New Roman" w:eastAsia="等线" w:cs="Times New Roman"/>
          <w:sz w:val="20"/>
          <w:szCs w:val="20"/>
          <w:lang w:bidi="ar"/>
        </w:rPr>
      </w:pPr>
      <w:r>
        <w:rPr>
          <w:rFonts w:hint="default" w:ascii="Times New Roman" w:hAnsi="Times New Roman" w:eastAsia="等线" w:cs="Times New Roman"/>
          <w:b/>
          <w:bCs/>
          <w:sz w:val="20"/>
          <w:szCs w:val="20"/>
          <w:lang w:bidi="ar"/>
        </w:rPr>
        <w:t xml:space="preserve">Fig. </w:t>
      </w:r>
      <w:r>
        <w:rPr>
          <w:rFonts w:hint="default" w:ascii="Times New Roman" w:hAnsi="Times New Roman" w:eastAsia="等线" w:cs="Times New Roman"/>
          <w:b/>
          <w:bCs/>
          <w:sz w:val="20"/>
          <w:szCs w:val="20"/>
          <w:lang w:val="en-US" w:eastAsia="zh-CN" w:bidi="ar"/>
        </w:rPr>
        <w:t>S</w:t>
      </w:r>
      <w:r>
        <w:rPr>
          <w:rFonts w:hint="eastAsia" w:ascii="Times New Roman" w:hAnsi="Times New Roman" w:eastAsia="等线" w:cs="Times New Roman"/>
          <w:b/>
          <w:bCs/>
          <w:sz w:val="20"/>
          <w:szCs w:val="20"/>
          <w:lang w:val="en-US" w:eastAsia="zh-CN" w:bidi="ar"/>
        </w:rPr>
        <w:t>2</w:t>
      </w:r>
      <w:r>
        <w:rPr>
          <w:rFonts w:hint="default" w:ascii="Times New Roman" w:hAnsi="Times New Roman" w:eastAsia="等线" w:cs="Times New Roman"/>
          <w:b/>
          <w:bCs/>
          <w:sz w:val="20"/>
          <w:szCs w:val="20"/>
          <w:lang w:bidi="ar"/>
        </w:rPr>
        <w:t xml:space="preserve"> The kinetics of serum ALT, HBsAg, HBeAg and HBV DNA in patients discontinuing treatment postpartum. </w:t>
      </w:r>
      <w:r>
        <w:rPr>
          <w:rFonts w:hint="default" w:ascii="Times New Roman" w:hAnsi="Times New Roman" w:eastAsia="等线" w:cs="Times New Roman"/>
          <w:sz w:val="20"/>
          <w:szCs w:val="20"/>
          <w:lang w:bidi="ar"/>
        </w:rPr>
        <w:t xml:space="preserve">Supplementary Fig. </w:t>
      </w:r>
      <w:r>
        <w:rPr>
          <w:rFonts w:hint="default" w:ascii="Times New Roman" w:hAnsi="Times New Roman" w:eastAsia="等线" w:cs="Times New Roman"/>
          <w:sz w:val="20"/>
          <w:szCs w:val="20"/>
          <w:lang w:val="en-US" w:eastAsia="zh-CN" w:bidi="ar"/>
        </w:rPr>
        <w:t>S</w:t>
      </w:r>
      <w:r>
        <w:rPr>
          <w:rFonts w:hint="eastAsia" w:ascii="Times New Roman" w:hAnsi="Times New Roman" w:eastAsia="等线" w:cs="Times New Roman"/>
          <w:sz w:val="20"/>
          <w:szCs w:val="20"/>
          <w:lang w:val="en-US" w:eastAsia="zh-CN" w:bidi="ar"/>
        </w:rPr>
        <w:t>2</w:t>
      </w:r>
      <w:r>
        <w:rPr>
          <w:rFonts w:hint="default" w:ascii="Times New Roman" w:hAnsi="Times New Roman" w:eastAsia="等线" w:cs="Times New Roman"/>
          <w:sz w:val="20"/>
          <w:szCs w:val="20"/>
          <w:lang w:val="en-US" w:eastAsia="zh-CN" w:bidi="ar"/>
        </w:rPr>
        <w:t>a</w:t>
      </w:r>
      <w:r>
        <w:rPr>
          <w:rFonts w:hint="default" w:ascii="Times New Roman" w:hAnsi="Times New Roman" w:eastAsia="等线" w:cs="Times New Roman"/>
          <w:sz w:val="20"/>
          <w:szCs w:val="20"/>
          <w:lang w:bidi="ar"/>
        </w:rPr>
        <w:t>-</w:t>
      </w:r>
      <w:r>
        <w:rPr>
          <w:rFonts w:hint="eastAsia" w:ascii="Times New Roman" w:hAnsi="Times New Roman" w:eastAsia="等线" w:cs="Times New Roman"/>
          <w:sz w:val="20"/>
          <w:szCs w:val="20"/>
          <w:lang w:val="en-US" w:eastAsia="zh-CN" w:bidi="ar"/>
        </w:rPr>
        <w:t>2</w:t>
      </w:r>
      <w:r>
        <w:rPr>
          <w:rFonts w:hint="default" w:ascii="Times New Roman" w:hAnsi="Times New Roman" w:eastAsia="等线" w:cs="Times New Roman"/>
          <w:sz w:val="20"/>
          <w:szCs w:val="20"/>
          <w:lang w:val="en-US" w:eastAsia="zh-CN" w:bidi="ar"/>
        </w:rPr>
        <w:t>d</w:t>
      </w:r>
      <w:r>
        <w:rPr>
          <w:rFonts w:hint="default" w:ascii="Times New Roman" w:hAnsi="Times New Roman" w:eastAsia="等线" w:cs="Times New Roman"/>
          <w:sz w:val="20"/>
          <w:szCs w:val="20"/>
          <w:lang w:bidi="ar"/>
        </w:rPr>
        <w:t xml:space="preserve"> described the kinetics of serum ALT, HBeAg, HBsAg and HBV DNA in patients discontinuing treatment postpartum, respectively. The horizontal axis represents different time points, and the vertical axis represents the levels of variables. </w:t>
      </w:r>
      <w:r>
        <w:rPr>
          <w:rFonts w:hint="default" w:ascii="Times New Roman" w:hAnsi="Times New Roman" w:cs="Times New Roman"/>
          <w:sz w:val="20"/>
          <w:szCs w:val="20"/>
        </w:rPr>
        <w:t>P &lt; 0.05 is marked by *, P &lt; 0.01 is marked by ** and P &lt; 0.001 is marked by ***.</w:t>
      </w:r>
      <w:r>
        <w:rPr>
          <w:rFonts w:hint="default" w:ascii="Times New Roman" w:hAnsi="Times New Roman" w:eastAsia="等线" w:cs="Times New Roman"/>
          <w:sz w:val="20"/>
          <w:szCs w:val="20"/>
          <w:lang w:bidi="ar"/>
        </w:rPr>
        <w:t xml:space="preserve"> ALT, alanine aminotransaminase; DNA, deoxyribonucleic acid; EOT, end of treatment; HBeAg, hepatitis B e antigen; HBV, hepatitis B virus; HBsAg, hepatitis B surface antigen.</w:t>
      </w:r>
    </w:p>
    <w:p>
      <w:pPr>
        <w:widowControl/>
        <w:adjustRightInd w:val="0"/>
        <w:spacing w:line="480" w:lineRule="auto"/>
        <w:jc w:val="left"/>
        <w:rPr>
          <w:rFonts w:hint="default" w:ascii="Times New Roman" w:hAnsi="Times New Roman" w:eastAsia="等线" w:cs="Times New Roman"/>
          <w:sz w:val="20"/>
          <w:szCs w:val="20"/>
          <w:lang w:eastAsia="zh-CN" w:bidi="ar"/>
        </w:rPr>
      </w:pPr>
      <w:r>
        <w:rPr>
          <w:rFonts w:hint="default" w:ascii="Times New Roman" w:hAnsi="Times New Roman" w:eastAsia="等线" w:cs="Times New Roman"/>
          <w:sz w:val="20"/>
          <w:szCs w:val="20"/>
          <w:lang w:eastAsia="zh-CN" w:bidi="ar"/>
        </w:rPr>
        <w:drawing>
          <wp:inline distT="0" distB="0" distL="114300" distR="114300">
            <wp:extent cx="4572000" cy="3573780"/>
            <wp:effectExtent l="0" t="0" r="0" b="7620"/>
            <wp:docPr id="4" name="图片 4"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S2"/>
                    <pic:cNvPicPr>
                      <a:picLocks noChangeAspect="1"/>
                    </pic:cNvPicPr>
                  </pic:nvPicPr>
                  <pic:blipFill>
                    <a:blip r:embed="rId7"/>
                    <a:stretch>
                      <a:fillRect/>
                    </a:stretch>
                  </pic:blipFill>
                  <pic:spPr>
                    <a:xfrm>
                      <a:off x="0" y="0"/>
                      <a:ext cx="4572000" cy="3573780"/>
                    </a:xfrm>
                    <a:prstGeom prst="rect">
                      <a:avLst/>
                    </a:prstGeom>
                  </pic:spPr>
                </pic:pic>
              </a:graphicData>
            </a:graphic>
          </wp:inline>
        </w:drawing>
      </w:r>
    </w:p>
    <w:p>
      <w:pPr>
        <w:widowControl/>
        <w:adjustRightInd w:val="0"/>
        <w:spacing w:line="480" w:lineRule="auto"/>
        <w:jc w:val="left"/>
        <w:rPr>
          <w:rFonts w:hint="default" w:ascii="Times New Roman" w:hAnsi="Times New Roman" w:eastAsia="等线" w:cs="Times New Roman"/>
          <w:sz w:val="20"/>
          <w:szCs w:val="20"/>
          <w:lang w:bidi="ar"/>
        </w:rPr>
      </w:pPr>
      <w:r>
        <w:rPr>
          <w:rFonts w:hint="default" w:ascii="Times New Roman" w:hAnsi="Times New Roman" w:eastAsia="等线" w:cs="Times New Roman"/>
          <w:b/>
          <w:bCs/>
          <w:sz w:val="20"/>
          <w:szCs w:val="20"/>
          <w:lang w:bidi="ar"/>
        </w:rPr>
        <w:t xml:space="preserve">Fig. </w:t>
      </w:r>
      <w:r>
        <w:rPr>
          <w:rFonts w:hint="default" w:ascii="Times New Roman" w:hAnsi="Times New Roman" w:eastAsia="等线" w:cs="Times New Roman"/>
          <w:b/>
          <w:bCs/>
          <w:sz w:val="20"/>
          <w:szCs w:val="20"/>
          <w:lang w:val="en-US" w:eastAsia="zh-CN" w:bidi="ar"/>
        </w:rPr>
        <w:t>S</w:t>
      </w:r>
      <w:r>
        <w:rPr>
          <w:rFonts w:hint="eastAsia" w:ascii="Times New Roman" w:hAnsi="Times New Roman" w:eastAsia="等线" w:cs="Times New Roman"/>
          <w:b/>
          <w:bCs/>
          <w:sz w:val="20"/>
          <w:szCs w:val="20"/>
          <w:lang w:val="en-US" w:eastAsia="zh-CN" w:bidi="ar"/>
        </w:rPr>
        <w:t>3</w:t>
      </w:r>
      <w:r>
        <w:rPr>
          <w:rFonts w:hint="default" w:ascii="Times New Roman" w:hAnsi="Times New Roman" w:eastAsia="等线" w:cs="Times New Roman"/>
          <w:b/>
          <w:bCs/>
          <w:sz w:val="20"/>
          <w:szCs w:val="20"/>
          <w:lang w:bidi="ar"/>
        </w:rPr>
        <w:t xml:space="preserve"> The kinetics of serum ALT, HBsAg, HBeAg and HBV DNA in patients with HBeAg loss after discontinuing treatment postpartum. </w:t>
      </w:r>
      <w:r>
        <w:rPr>
          <w:rFonts w:hint="default" w:ascii="Times New Roman" w:hAnsi="Times New Roman" w:eastAsia="等线" w:cs="Times New Roman"/>
          <w:sz w:val="20"/>
          <w:szCs w:val="20"/>
          <w:lang w:bidi="ar"/>
        </w:rPr>
        <w:t xml:space="preserve">Supplementary Fig. </w:t>
      </w:r>
      <w:r>
        <w:rPr>
          <w:rFonts w:hint="default" w:ascii="Times New Roman" w:hAnsi="Times New Roman" w:eastAsia="等线" w:cs="Times New Roman"/>
          <w:sz w:val="20"/>
          <w:szCs w:val="20"/>
          <w:lang w:val="en-US" w:eastAsia="zh-CN" w:bidi="ar"/>
        </w:rPr>
        <w:t>S</w:t>
      </w:r>
      <w:r>
        <w:rPr>
          <w:rFonts w:hint="eastAsia" w:ascii="Times New Roman" w:hAnsi="Times New Roman" w:eastAsia="等线" w:cs="Times New Roman"/>
          <w:sz w:val="20"/>
          <w:szCs w:val="20"/>
          <w:lang w:val="en-US" w:eastAsia="zh-CN" w:bidi="ar"/>
        </w:rPr>
        <w:t>3</w:t>
      </w:r>
      <w:r>
        <w:rPr>
          <w:rFonts w:hint="default" w:ascii="Times New Roman" w:hAnsi="Times New Roman" w:eastAsia="等线" w:cs="Times New Roman"/>
          <w:sz w:val="20"/>
          <w:szCs w:val="20"/>
          <w:lang w:val="en-US" w:eastAsia="zh-CN" w:bidi="ar"/>
        </w:rPr>
        <w:t>a</w:t>
      </w:r>
      <w:r>
        <w:rPr>
          <w:rFonts w:hint="default" w:ascii="Times New Roman" w:hAnsi="Times New Roman" w:eastAsia="等线" w:cs="Times New Roman"/>
          <w:sz w:val="20"/>
          <w:szCs w:val="20"/>
          <w:lang w:bidi="ar"/>
        </w:rPr>
        <w:t>-</w:t>
      </w:r>
      <w:r>
        <w:rPr>
          <w:rFonts w:hint="eastAsia" w:ascii="Times New Roman" w:hAnsi="Times New Roman" w:eastAsia="等线" w:cs="Times New Roman"/>
          <w:sz w:val="20"/>
          <w:szCs w:val="20"/>
          <w:lang w:val="en-US" w:eastAsia="zh-CN" w:bidi="ar"/>
        </w:rPr>
        <w:t>3</w:t>
      </w:r>
      <w:r>
        <w:rPr>
          <w:rFonts w:hint="default" w:ascii="Times New Roman" w:hAnsi="Times New Roman" w:eastAsia="等线" w:cs="Times New Roman"/>
          <w:sz w:val="20"/>
          <w:szCs w:val="20"/>
          <w:lang w:val="en-US" w:eastAsia="zh-CN" w:bidi="ar"/>
        </w:rPr>
        <w:t>d</w:t>
      </w:r>
      <w:r>
        <w:rPr>
          <w:rFonts w:hint="default" w:ascii="Times New Roman" w:hAnsi="Times New Roman" w:eastAsia="等线" w:cs="Times New Roman"/>
          <w:sz w:val="20"/>
          <w:szCs w:val="20"/>
          <w:lang w:bidi="ar"/>
        </w:rPr>
        <w:t xml:space="preserve"> described the kinetics of serum ALT, HBeAg, HBsAg and HBV DNA in patients with HBeAg loss after discontinuing treatment postpartum, respectively. The lines with different colors represent different patients. The vertical dashed lines represent the time of HBeAg loss. The horizontal dashed line in Supplementary Fig. </w:t>
      </w:r>
      <w:r>
        <w:rPr>
          <w:rFonts w:hint="default" w:ascii="Times New Roman" w:hAnsi="Times New Roman" w:eastAsia="等线" w:cs="Times New Roman"/>
          <w:sz w:val="20"/>
          <w:szCs w:val="20"/>
          <w:lang w:val="en-US" w:eastAsia="zh-CN" w:bidi="ar"/>
        </w:rPr>
        <w:t>S</w:t>
      </w:r>
      <w:r>
        <w:rPr>
          <w:rFonts w:hint="eastAsia" w:ascii="Times New Roman" w:hAnsi="Times New Roman" w:eastAsia="等线" w:cs="Times New Roman"/>
          <w:sz w:val="20"/>
          <w:szCs w:val="20"/>
          <w:lang w:val="en-US" w:eastAsia="zh-CN" w:bidi="ar"/>
        </w:rPr>
        <w:t>3</w:t>
      </w:r>
      <w:r>
        <w:rPr>
          <w:rFonts w:hint="default" w:ascii="Times New Roman" w:hAnsi="Times New Roman" w:eastAsia="等线" w:cs="Times New Roman"/>
          <w:sz w:val="20"/>
          <w:szCs w:val="20"/>
          <w:lang w:val="en-US" w:eastAsia="zh-CN" w:bidi="ar"/>
        </w:rPr>
        <w:t>a</w:t>
      </w:r>
      <w:r>
        <w:rPr>
          <w:rFonts w:hint="default" w:ascii="Times New Roman" w:hAnsi="Times New Roman" w:eastAsia="等线" w:cs="Times New Roman"/>
          <w:sz w:val="20"/>
          <w:szCs w:val="20"/>
          <w:lang w:bidi="ar"/>
        </w:rPr>
        <w:t xml:space="preserve"> represents an ALT level of 40 U/L. The horizontal axis represents different time points, and the vertical axis represents the levels of variables. ALT, alanine aminotransaminase; DNA, deoxyribonucleic acid; EOT, end of treatment; HBeAg, hepatitis B e antigen; HBV, hepatitis B virus; HBsAg, hepatitis B surface antigen.</w:t>
      </w:r>
    </w:p>
    <w:p>
      <w:pPr>
        <w:widowControl/>
        <w:adjustRightInd w:val="0"/>
        <w:spacing w:line="480" w:lineRule="auto"/>
        <w:jc w:val="left"/>
        <w:rPr>
          <w:rFonts w:hint="default" w:ascii="Times New Roman" w:hAnsi="Times New Roman" w:eastAsia="等线" w:cs="Times New Roman"/>
          <w:sz w:val="20"/>
          <w:szCs w:val="20"/>
          <w:lang w:bidi="ar"/>
        </w:rPr>
      </w:pPr>
    </w:p>
    <w:p>
      <w:pPr>
        <w:widowControl/>
        <w:adjustRightInd w:val="0"/>
        <w:spacing w:line="480" w:lineRule="auto"/>
        <w:jc w:val="left"/>
        <w:rPr>
          <w:rFonts w:hint="default" w:ascii="Times New Roman" w:hAnsi="Times New Roman" w:eastAsia="等线" w:cs="Times New Roman"/>
          <w:sz w:val="20"/>
          <w:szCs w:val="20"/>
          <w:lang w:eastAsia="zh-CN" w:bidi="ar"/>
        </w:rPr>
      </w:pPr>
      <w:r>
        <w:rPr>
          <w:rFonts w:hint="default" w:ascii="Times New Roman" w:hAnsi="Times New Roman" w:eastAsia="等线" w:cs="Times New Roman"/>
          <w:sz w:val="20"/>
          <w:szCs w:val="20"/>
          <w:lang w:eastAsia="zh-CN" w:bidi="ar"/>
        </w:rPr>
        <w:drawing>
          <wp:inline distT="0" distB="0" distL="114300" distR="114300">
            <wp:extent cx="4572000" cy="4136390"/>
            <wp:effectExtent l="0" t="0" r="0" b="16510"/>
            <wp:docPr id="2" name="图片 2"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3"/>
                    <pic:cNvPicPr>
                      <a:picLocks noChangeAspect="1"/>
                    </pic:cNvPicPr>
                  </pic:nvPicPr>
                  <pic:blipFill>
                    <a:blip r:embed="rId8"/>
                    <a:stretch>
                      <a:fillRect/>
                    </a:stretch>
                  </pic:blipFill>
                  <pic:spPr>
                    <a:xfrm>
                      <a:off x="0" y="0"/>
                      <a:ext cx="4572000" cy="4136390"/>
                    </a:xfrm>
                    <a:prstGeom prst="rect">
                      <a:avLst/>
                    </a:prstGeom>
                  </pic:spPr>
                </pic:pic>
              </a:graphicData>
            </a:graphic>
          </wp:inline>
        </w:drawing>
      </w:r>
    </w:p>
    <w:p>
      <w:pPr>
        <w:widowControl/>
        <w:adjustRightInd w:val="0"/>
        <w:spacing w:line="480" w:lineRule="auto"/>
        <w:jc w:val="left"/>
        <w:rPr>
          <w:rFonts w:hint="default" w:ascii="Times New Roman" w:hAnsi="Times New Roman" w:cs="Times New Roman"/>
          <w:sz w:val="20"/>
          <w:szCs w:val="20"/>
        </w:rPr>
      </w:pPr>
      <w:r>
        <w:rPr>
          <w:rFonts w:hint="default" w:ascii="Times New Roman" w:hAnsi="Times New Roman" w:cs="Times New Roman"/>
          <w:b/>
          <w:bCs/>
          <w:sz w:val="20"/>
          <w:szCs w:val="20"/>
        </w:rPr>
        <w:t>Fig.</w:t>
      </w:r>
      <w:r>
        <w:rPr>
          <w:rFonts w:hint="default" w:ascii="Times New Roman" w:hAnsi="Times New Roman" w:eastAsia="等线" w:cs="Times New Roman"/>
          <w:b/>
          <w:bCs/>
          <w:sz w:val="20"/>
          <w:szCs w:val="20"/>
        </w:rPr>
        <w:t xml:space="preserve"> </w:t>
      </w:r>
      <w:r>
        <w:rPr>
          <w:rFonts w:hint="default" w:ascii="Times New Roman" w:hAnsi="Times New Roman" w:eastAsia="等线" w:cs="Times New Roman"/>
          <w:b/>
          <w:bCs/>
          <w:sz w:val="20"/>
          <w:szCs w:val="20"/>
          <w:lang w:val="en-US" w:eastAsia="zh-CN"/>
        </w:rPr>
        <w:t>S</w:t>
      </w:r>
      <w:r>
        <w:rPr>
          <w:rFonts w:hint="eastAsia" w:ascii="Times New Roman" w:hAnsi="Times New Roman" w:eastAsia="等线" w:cs="Times New Roman"/>
          <w:b/>
          <w:bCs/>
          <w:sz w:val="20"/>
          <w:szCs w:val="20"/>
          <w:lang w:val="en-US" w:eastAsia="zh-CN"/>
        </w:rPr>
        <w:t>4</w:t>
      </w:r>
      <w:r>
        <w:rPr>
          <w:rFonts w:hint="default" w:ascii="Times New Roman" w:hAnsi="Times New Roman" w:cs="Times New Roman"/>
          <w:b/>
          <w:bCs/>
          <w:sz w:val="20"/>
          <w:szCs w:val="20"/>
        </w:rPr>
        <w:t xml:space="preserve"> The kinetics of serum ALT, HBsAg, HBeAg and HBV DNA in patients treated with LdT and TDF during pregnancy. </w:t>
      </w:r>
      <w:r>
        <w:rPr>
          <w:rFonts w:hint="default" w:ascii="Times New Roman" w:hAnsi="Times New Roman" w:cs="Times New Roman"/>
          <w:sz w:val="20"/>
          <w:szCs w:val="20"/>
        </w:rPr>
        <w:t>Supplemental Fig. 3</w:t>
      </w:r>
      <w:r>
        <w:rPr>
          <w:rFonts w:hint="default" w:ascii="Times New Roman" w:hAnsi="Times New Roman" w:cs="Times New Roman"/>
          <w:sz w:val="20"/>
          <w:szCs w:val="20"/>
          <w:lang w:val="en-US" w:eastAsia="zh-CN"/>
        </w:rPr>
        <w:t>a</w:t>
      </w:r>
      <w:r>
        <w:rPr>
          <w:rFonts w:hint="default" w:ascii="Times New Roman" w:hAnsi="Times New Roman" w:cs="Times New Roman"/>
          <w:sz w:val="20"/>
          <w:szCs w:val="20"/>
        </w:rPr>
        <w:t>-3</w:t>
      </w:r>
      <w:r>
        <w:rPr>
          <w:rFonts w:hint="default" w:ascii="Times New Roman" w:hAnsi="Times New Roman" w:cs="Times New Roman"/>
          <w:sz w:val="20"/>
          <w:szCs w:val="20"/>
          <w:lang w:val="en-US" w:eastAsia="zh-CN"/>
        </w:rPr>
        <w:t>d</w:t>
      </w:r>
      <w:r>
        <w:rPr>
          <w:rFonts w:hint="default" w:ascii="Times New Roman" w:hAnsi="Times New Roman" w:cs="Times New Roman"/>
          <w:sz w:val="20"/>
          <w:szCs w:val="20"/>
        </w:rPr>
        <w:t xml:space="preserve"> described the kinetics of serum ALT, HBeAg, HBsAg and HBV DNA in patients discontinuing treatment postpartum, respectively. The lines with different colors represent different patients. The red line and black line represent patients treated with LdT and TDF during pregnancy, respectively. The horizontal axis represents different time points, and the vertical axis represents the levels of variables.</w:t>
      </w:r>
    </w:p>
    <w:p>
      <w:pPr>
        <w:widowControl/>
        <w:adjustRightInd w:val="0"/>
        <w:spacing w:line="480" w:lineRule="auto"/>
        <w:jc w:val="left"/>
        <w:rPr>
          <w:rFonts w:hint="default" w:ascii="Times New Roman" w:hAnsi="Times New Roman" w:eastAsia="等线" w:cs="Times New Roman"/>
          <w:sz w:val="20"/>
          <w:szCs w:val="20"/>
          <w:lang w:val="en-US" w:eastAsia="zh-CN"/>
        </w:rPr>
      </w:pPr>
      <w:r>
        <w:rPr>
          <w:rFonts w:hint="default" w:ascii="Times New Roman" w:hAnsi="Times New Roman" w:cs="Times New Roman"/>
          <w:sz w:val="20"/>
          <w:szCs w:val="20"/>
        </w:rPr>
        <w:t>P &lt; 0.05 is marked by *, P &lt; 0.01 is marked by ** and P &lt; 0.001 is marked by ***.</w:t>
      </w:r>
      <w:r>
        <w:rPr>
          <w:rFonts w:hint="default" w:ascii="Times New Roman" w:hAnsi="Times New Roman" w:eastAsia="等线" w:cs="Times New Roman"/>
          <w:sz w:val="20"/>
          <w:szCs w:val="20"/>
          <w:lang w:bidi="ar"/>
        </w:rPr>
        <w:t xml:space="preserve"> </w:t>
      </w:r>
      <w:r>
        <w:rPr>
          <w:rFonts w:hint="default" w:ascii="Times New Roman" w:hAnsi="Times New Roman" w:eastAsia="等线" w:cs="Times New Roman"/>
          <w:sz w:val="20"/>
          <w:szCs w:val="20"/>
          <w:lang w:val="en-US" w:eastAsia="zh-CN" w:bidi="ar"/>
        </w:rPr>
        <w:t>Statistical differences between the two groups are marked with a blue *.</w:t>
      </w:r>
    </w:p>
    <w:p>
      <w:pPr>
        <w:widowControl/>
        <w:adjustRightInd w:val="0"/>
        <w:spacing w:line="480" w:lineRule="auto"/>
        <w:jc w:val="left"/>
        <w:rPr>
          <w:rFonts w:hint="default" w:ascii="Times New Roman" w:hAnsi="Times New Roman" w:eastAsia="等线" w:cs="Times New Roman"/>
          <w:sz w:val="20"/>
          <w:szCs w:val="20"/>
          <w:lang w:bidi="ar"/>
        </w:rPr>
      </w:pPr>
      <w:r>
        <w:rPr>
          <w:rFonts w:hint="default" w:ascii="Times New Roman" w:hAnsi="Times New Roman" w:eastAsia="等线" w:cs="Times New Roman"/>
          <w:sz w:val="20"/>
          <w:szCs w:val="20"/>
          <w:lang w:bidi="ar"/>
        </w:rPr>
        <w:t xml:space="preserve">ALT, alanine aminotransaminase; DNA, deoxyribonucleic acid; EOT, end of treatment; HBeAg, hepatitis B e antigen; HBV, hepatitis B virus; HBsAg, hepatitis B surface antigen; LdT, </w:t>
      </w:r>
      <w:r>
        <w:rPr>
          <w:rFonts w:hint="default" w:ascii="Times New Roman" w:hAnsi="Times New Roman" w:cs="Times New Roman"/>
          <w:sz w:val="20"/>
          <w:szCs w:val="20"/>
        </w:rPr>
        <w:t>telbivudine</w:t>
      </w:r>
      <w:r>
        <w:rPr>
          <w:rFonts w:hint="default" w:ascii="Times New Roman" w:hAnsi="Times New Roman" w:eastAsia="等线" w:cs="Times New Roman"/>
          <w:sz w:val="20"/>
          <w:szCs w:val="20"/>
          <w:lang w:bidi="ar"/>
        </w:rPr>
        <w:t xml:space="preserve">; TDF, </w:t>
      </w:r>
      <w:r>
        <w:rPr>
          <w:rFonts w:hint="default" w:ascii="Times New Roman" w:hAnsi="Times New Roman" w:cs="Times New Roman"/>
          <w:sz w:val="20"/>
          <w:szCs w:val="20"/>
        </w:rPr>
        <w:t>tenofovir disoproxil fumarate</w:t>
      </w:r>
      <w:r>
        <w:rPr>
          <w:rFonts w:hint="default" w:ascii="Times New Roman" w:hAnsi="Times New Roman" w:eastAsia="等线" w:cs="Times New Roman"/>
          <w:sz w:val="20"/>
          <w:szCs w:val="20"/>
          <w:lang w:bidi="ar"/>
        </w:rPr>
        <w:t>.</w:t>
      </w:r>
    </w:p>
    <w:p>
      <w:pPr>
        <w:widowControl/>
        <w:adjustRightInd w:val="0"/>
        <w:spacing w:line="480" w:lineRule="auto"/>
        <w:jc w:val="left"/>
        <w:rPr>
          <w:rFonts w:hint="default" w:ascii="Times New Roman" w:hAnsi="Times New Roman" w:eastAsia="等线" w:cs="Times New Roman"/>
          <w:sz w:val="20"/>
          <w:szCs w:val="20"/>
          <w:lang w:bidi="ar"/>
        </w:rPr>
      </w:pPr>
    </w:p>
    <w:p>
      <w:pPr>
        <w:widowControl/>
        <w:adjustRightInd w:val="0"/>
        <w:spacing w:line="480" w:lineRule="auto"/>
        <w:jc w:val="left"/>
        <w:rPr>
          <w:rFonts w:hint="default" w:ascii="Times New Roman" w:hAnsi="Times New Roman" w:cs="Times New Roman"/>
          <w:sz w:val="20"/>
          <w:szCs w:val="20"/>
        </w:rPr>
      </w:pPr>
      <w:r>
        <w:rPr>
          <w:rFonts w:hint="default" w:ascii="Times New Roman" w:hAnsi="Times New Roman" w:cs="Times New Roman"/>
          <w:sz w:val="20"/>
          <w:szCs w:val="20"/>
        </w:rPr>
        <w:drawing>
          <wp:inline distT="0" distB="0" distL="0" distR="0">
            <wp:extent cx="6348730" cy="2656840"/>
            <wp:effectExtent l="0" t="0" r="0" b="0"/>
            <wp:docPr id="17945252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25223"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70662" cy="2665956"/>
                    </a:xfrm>
                    <a:prstGeom prst="rect">
                      <a:avLst/>
                    </a:prstGeom>
                  </pic:spPr>
                </pic:pic>
              </a:graphicData>
            </a:graphic>
          </wp:inline>
        </w:drawing>
      </w:r>
    </w:p>
    <w:p>
      <w:pPr>
        <w:widowControl/>
        <w:adjustRightInd w:val="0"/>
        <w:spacing w:line="480" w:lineRule="auto"/>
        <w:jc w:val="left"/>
        <w:rPr>
          <w:rFonts w:hint="default" w:ascii="Times New Roman" w:hAnsi="Times New Roman" w:eastAsia="等线" w:cs="Times New Roman"/>
          <w:sz w:val="20"/>
          <w:szCs w:val="20"/>
          <w:lang w:bidi="ar"/>
        </w:rPr>
      </w:pPr>
      <w:r>
        <w:rPr>
          <w:rFonts w:hint="default" w:ascii="Times New Roman" w:hAnsi="Times New Roman" w:eastAsia="等线" w:cs="Times New Roman"/>
          <w:b/>
          <w:bCs/>
          <w:sz w:val="20"/>
          <w:szCs w:val="20"/>
          <w:lang w:bidi="ar"/>
        </w:rPr>
        <w:t xml:space="preserve">Fig. </w:t>
      </w:r>
      <w:r>
        <w:rPr>
          <w:rFonts w:hint="default" w:ascii="Times New Roman" w:hAnsi="Times New Roman" w:eastAsia="等线" w:cs="Times New Roman"/>
          <w:b/>
          <w:bCs/>
          <w:sz w:val="20"/>
          <w:szCs w:val="20"/>
          <w:lang w:val="en-US" w:eastAsia="zh-CN" w:bidi="ar"/>
        </w:rPr>
        <w:t>S</w:t>
      </w:r>
      <w:r>
        <w:rPr>
          <w:rFonts w:hint="eastAsia" w:ascii="Times New Roman" w:hAnsi="Times New Roman" w:eastAsia="等线" w:cs="Times New Roman"/>
          <w:b/>
          <w:bCs/>
          <w:sz w:val="20"/>
          <w:szCs w:val="20"/>
          <w:lang w:val="en-US" w:eastAsia="zh-CN" w:bidi="ar"/>
        </w:rPr>
        <w:t>5</w:t>
      </w:r>
      <w:r>
        <w:rPr>
          <w:rFonts w:hint="default" w:ascii="Times New Roman" w:hAnsi="Times New Roman" w:eastAsia="等线" w:cs="Times New Roman"/>
          <w:b/>
          <w:bCs/>
          <w:sz w:val="20"/>
          <w:szCs w:val="20"/>
          <w:lang w:bidi="ar"/>
        </w:rPr>
        <w:t xml:space="preserve"> The kinetics of serum ALT, HBsAg, HBeAg, and HBV DNA for each individual patient achieved HBsAg &lt;1000 IU/mL. </w:t>
      </w:r>
      <w:r>
        <w:rPr>
          <w:rFonts w:hint="default" w:ascii="Times New Roman" w:hAnsi="Times New Roman" w:eastAsia="等线" w:cs="Times New Roman"/>
          <w:sz w:val="20"/>
          <w:szCs w:val="20"/>
          <w:lang w:bidi="ar"/>
        </w:rPr>
        <w:t>The horizontal axis represents different time points, the red vertical axis represents the levels of ALT, the blue ve</w:t>
      </w:r>
      <w:bookmarkStart w:id="2" w:name="_GoBack"/>
      <w:bookmarkEnd w:id="2"/>
      <w:r>
        <w:rPr>
          <w:rFonts w:hint="default" w:ascii="Times New Roman" w:hAnsi="Times New Roman" w:eastAsia="等线" w:cs="Times New Roman"/>
          <w:sz w:val="20"/>
          <w:szCs w:val="20"/>
          <w:lang w:bidi="ar"/>
        </w:rPr>
        <w:t>rtical axis represents the levels of HBsAg, the green vertical axis represents the levels of HBeAg and the black vertical axis represents the levels of HBV DNA. ALT, alanine aminotransaminase; DNA, deoxyribonucleic acid; EOT, end of treatment; HBeAg, hepatitis B e antigen; HBV, hepatitis B virus; HBsAg, hepatitis B surface antigen.</w:t>
      </w:r>
    </w:p>
    <w:sectPr>
      <w:footerReference r:id="rId3" w:type="default"/>
      <w:pgSz w:w="11906" w:h="16838"/>
      <w:pgMar w:top="1440" w:right="1800" w:bottom="1440" w:left="1800" w:header="851" w:footer="992" w:gutter="0"/>
      <w:lnNumType w:countBy="0"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3175787"/>
      <w:docPartObj>
        <w:docPartGallery w:val="autotext"/>
      </w:docPartObj>
    </w:sdtPr>
    <w:sdtEndPr>
      <w:rPr>
        <w:rFonts w:ascii="Times New Roman" w:hAnsi="Times New Roman" w:cs="Times New Roman"/>
        <w:sz w:val="24"/>
        <w:szCs w:val="24"/>
      </w:rPr>
    </w:sdtEndPr>
    <w:sdtContent>
      <w:p>
        <w:pPr>
          <w:pStyle w:val="2"/>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wOGNhZTA0OTU2OGU0ZjdkMmIyNDFjYzQxYjhlY2UifQ=="/>
  </w:docVars>
  <w:rsids>
    <w:rsidRoot w:val="00E767D6"/>
    <w:rsid w:val="00004774"/>
    <w:rsid w:val="002716DE"/>
    <w:rsid w:val="00280B7B"/>
    <w:rsid w:val="002E22B2"/>
    <w:rsid w:val="002E38BB"/>
    <w:rsid w:val="00474E17"/>
    <w:rsid w:val="00530027"/>
    <w:rsid w:val="00746DDA"/>
    <w:rsid w:val="00A6183E"/>
    <w:rsid w:val="00AA1D3F"/>
    <w:rsid w:val="00B12C8A"/>
    <w:rsid w:val="00B91BB5"/>
    <w:rsid w:val="00C77131"/>
    <w:rsid w:val="00E767D6"/>
    <w:rsid w:val="00EA0DB3"/>
    <w:rsid w:val="00F05ADE"/>
    <w:rsid w:val="00FA1873"/>
    <w:rsid w:val="075E138C"/>
    <w:rsid w:val="1CC1153B"/>
    <w:rsid w:val="1CE71691"/>
    <w:rsid w:val="1ECD3215"/>
    <w:rsid w:val="20E24C44"/>
    <w:rsid w:val="2759380B"/>
    <w:rsid w:val="280902EB"/>
    <w:rsid w:val="282E7B3A"/>
    <w:rsid w:val="28865CF0"/>
    <w:rsid w:val="2ECE6548"/>
    <w:rsid w:val="34EC7728"/>
    <w:rsid w:val="35876DD8"/>
    <w:rsid w:val="48C63DF9"/>
    <w:rsid w:val="4F0A48CC"/>
    <w:rsid w:val="50960790"/>
    <w:rsid w:val="548A5D39"/>
    <w:rsid w:val="559612BE"/>
    <w:rsid w:val="5B764E89"/>
    <w:rsid w:val="5C0F1DCA"/>
    <w:rsid w:val="60FB2AEE"/>
    <w:rsid w:val="7C642A9F"/>
    <w:rsid w:val="7D1E1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position w:val="20"/>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11"/>
    <w:autoRedefine/>
    <w:unhideWhenUsed/>
    <w:qFormat/>
    <w:uiPriority w:val="99"/>
    <w:pP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position w:val="0"/>
      <w:sz w:val="24"/>
      <w:szCs w:val="24"/>
      <w:lang w:val="en-US" w:eastAsia="zh-CN" w:bidi="ar"/>
    </w:rPr>
  </w:style>
  <w:style w:type="table" w:styleId="6">
    <w:name w:val="Table Grid"/>
    <w:basedOn w:val="5"/>
    <w:autoRedefine/>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8">
    <w:name w:val="line number"/>
    <w:basedOn w:val="7"/>
    <w:autoRedefine/>
    <w:semiHidden/>
    <w:unhideWhenUsed/>
    <w:qFormat/>
    <w:uiPriority w:val="99"/>
  </w:style>
  <w:style w:type="character" w:styleId="9">
    <w:name w:val="Hyperlink"/>
    <w:basedOn w:val="7"/>
    <w:autoRedefine/>
    <w:semiHidden/>
    <w:unhideWhenUsed/>
    <w:qFormat/>
    <w:uiPriority w:val="99"/>
    <w:rPr>
      <w:color w:val="0000FF"/>
      <w:u w:val="single"/>
    </w:rPr>
  </w:style>
  <w:style w:type="character" w:customStyle="1" w:styleId="10">
    <w:name w:val="页脚 字符"/>
    <w:basedOn w:val="7"/>
    <w:link w:val="2"/>
    <w:autoRedefine/>
    <w:qFormat/>
    <w:uiPriority w:val="99"/>
    <w:rPr>
      <w:position w:val="20"/>
      <w:sz w:val="18"/>
      <w:szCs w:val="18"/>
    </w:rPr>
  </w:style>
  <w:style w:type="character" w:customStyle="1" w:styleId="11">
    <w:name w:val="页眉 字符"/>
    <w:basedOn w:val="7"/>
    <w:link w:val="3"/>
    <w:autoRedefine/>
    <w:qFormat/>
    <w:uiPriority w:val="99"/>
    <w:rPr>
      <w:position w:val="2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457</Words>
  <Characters>2638</Characters>
  <Lines>77</Lines>
  <Paragraphs>41</Paragraphs>
  <TotalTime>17</TotalTime>
  <ScaleCrop>false</ScaleCrop>
  <LinksUpToDate>false</LinksUpToDate>
  <CharactersWithSpaces>3054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2023-08-23T07:02:00Z</dcterms:created>
  <dc:creator>唐 巧</dc:creator>
  <cp:lastModifiedBy>唐巧</cp:lastModifiedBy>
  <dcterms:modified xsi:type="dcterms:W3CDTF">2024-06-17T03:26:20Z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C0100D7820C44BCE82E4E034773D7343_13</vt:lpwstr>
  </property>
</Properties>
</file>