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1AC1B" w14:textId="77777777" w:rsidR="00246E93" w:rsidRPr="00E419EA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96F">
        <w:rPr>
          <w:rFonts w:ascii="Times New Roman" w:hAnsi="Times New Roman" w:cs="Times New Roman"/>
          <w:b/>
          <w:sz w:val="24"/>
          <w:szCs w:val="24"/>
        </w:rPr>
        <w:t>Supplementary Text 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Details of the models used for trials analysis.</w:t>
      </w:r>
    </w:p>
    <w:p w14:paraId="1F6461E0" w14:textId="77777777" w:rsidR="00246E93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0B8E96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>Model 1</w:t>
      </w:r>
      <w:r>
        <w:rPr>
          <w:rFonts w:ascii="Times New Roman" w:hAnsi="Times New Roman" w:cs="Times New Roman"/>
          <w:sz w:val="24"/>
          <w:szCs w:val="24"/>
        </w:rPr>
        <w:t>: Blocking.</w:t>
      </w:r>
      <w:r w:rsidRPr="005009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Used</w:t>
      </w:r>
      <w:r w:rsidRPr="005009E2">
        <w:rPr>
          <w:rFonts w:ascii="Times New Roman" w:hAnsi="Times New Roman" w:cs="Times New Roman"/>
          <w:sz w:val="24"/>
          <w:szCs w:val="24"/>
        </w:rPr>
        <w:t xml:space="preserve"> a baseline model consisting of a fixed genotypic effect for MAGIC lines, a random block effect and an error term. The block effect consisted of different terms depending on the trial: ‘block’ for trial NIAB15, ‘rep/block’ for OSG15 and ROTH15 and ‘rep/block/</w:t>
      </w:r>
      <w:proofErr w:type="spellStart"/>
      <w:r w:rsidRPr="005009E2">
        <w:rPr>
          <w:rFonts w:ascii="Times New Roman" w:hAnsi="Times New Roman" w:cs="Times New Roman"/>
          <w:sz w:val="24"/>
          <w:szCs w:val="24"/>
        </w:rPr>
        <w:t>sub_block</w:t>
      </w:r>
      <w:proofErr w:type="spellEnd"/>
      <w:r w:rsidRPr="005009E2">
        <w:rPr>
          <w:rFonts w:ascii="Times New Roman" w:hAnsi="Times New Roman" w:cs="Times New Roman"/>
          <w:sz w:val="24"/>
          <w:szCs w:val="24"/>
        </w:rPr>
        <w:t>’ for NIAB16 and OSG16. The ‘/’ operator denotes nested terms. Model 1 can be formulated as:</w:t>
      </w:r>
    </w:p>
    <w:p w14:paraId="7B6A03E1" w14:textId="77777777" w:rsidR="00246E93" w:rsidRPr="005009E2" w:rsidRDefault="00246E93" w:rsidP="00246E93">
      <w:pPr>
        <w:pStyle w:val="Caption"/>
        <w:spacing w:after="0"/>
        <w:rPr>
          <w:rFonts w:ascii="Times New Roman" w:hAnsi="Times New Roman" w:cs="Times New Roman"/>
          <w:szCs w:val="24"/>
        </w:rPr>
      </w:pPr>
      <m:oMath>
        <m:r>
          <w:rPr>
            <w:rFonts w:ascii="Cambria Math" w:hAnsi="Cambria Math" w:cs="Times New Roman"/>
            <w:szCs w:val="24"/>
          </w:rPr>
          <m:t>y=</m:t>
        </m:r>
        <m:sSub>
          <m:sSubPr>
            <m:ctrlPr>
              <w:rPr>
                <w:rFonts w:ascii="Cambria Math" w:hAnsi="Cambria Math" w:cs="Times New Roman"/>
                <w:i/>
                <w:iCs w:val="0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Cs w:val="24"/>
          </w:rPr>
          <m:t>g+</m:t>
        </m:r>
        <m:r>
          <m:rPr>
            <m:sty m:val="b"/>
          </m:rPr>
          <w:rPr>
            <w:rFonts w:ascii="Cambria Math" w:hAnsi="Cambria Math" w:cs="Times New Roman"/>
            <w:szCs w:val="24"/>
          </w:rPr>
          <m:t>Z</m:t>
        </m:r>
        <m:r>
          <w:rPr>
            <w:rFonts w:ascii="Cambria Math" w:hAnsi="Cambria Math" w:cs="Times New Roman"/>
            <w:szCs w:val="24"/>
          </w:rPr>
          <m:t>u+e</m:t>
        </m:r>
      </m:oMath>
      <w:r w:rsidRPr="005009E2">
        <w:rPr>
          <w:rFonts w:ascii="Times New Roman" w:hAnsi="Times New Roman" w:cs="Times New Roman"/>
          <w:szCs w:val="24"/>
        </w:rPr>
        <w:t xml:space="preserve"> </w:t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</w:p>
    <w:p w14:paraId="2D23C474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is the vector of </w:t>
      </w:r>
      <w:r>
        <w:rPr>
          <w:rFonts w:ascii="Times New Roman" w:hAnsi="Times New Roman" w:cs="Times New Roman"/>
          <w:sz w:val="24"/>
          <w:szCs w:val="24"/>
        </w:rPr>
        <w:t>yellow rust (</w:t>
      </w:r>
      <w:r w:rsidRPr="005009E2">
        <w:rPr>
          <w:rFonts w:ascii="Times New Roman" w:hAnsi="Times New Roman" w:cs="Times New Roman"/>
          <w:sz w:val="24"/>
          <w:szCs w:val="24"/>
        </w:rPr>
        <w:t>YR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009E2">
        <w:rPr>
          <w:rFonts w:ascii="Times New Roman" w:hAnsi="Times New Roman" w:cs="Times New Roman"/>
          <w:sz w:val="24"/>
          <w:szCs w:val="24"/>
        </w:rPr>
        <w:t xml:space="preserve"> infection in a column x row matrix,  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contains the fixed effect for MAGIC lines,  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Z</m:t>
        </m:r>
        <m:r>
          <w:rPr>
            <w:rFonts w:ascii="Cambria Math" w:hAnsi="Cambria Math" w:cs="Times New Roman"/>
            <w:sz w:val="24"/>
            <w:szCs w:val="24"/>
          </w:rPr>
          <m:t>u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contains the random block effects and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is the residual error term. Model 1 was opti</w:t>
      </w:r>
      <w:proofErr w:type="spellStart"/>
      <w:r w:rsidRPr="005009E2">
        <w:rPr>
          <w:rFonts w:ascii="Times New Roman" w:hAnsi="Times New Roman" w:cs="Times New Roman"/>
          <w:sz w:val="24"/>
          <w:szCs w:val="24"/>
        </w:rPr>
        <w:t>mised</w:t>
      </w:r>
      <w:proofErr w:type="spellEnd"/>
      <w:r w:rsidRPr="005009E2">
        <w:rPr>
          <w:rFonts w:ascii="Times New Roman" w:hAnsi="Times New Roman" w:cs="Times New Roman"/>
          <w:sz w:val="24"/>
          <w:szCs w:val="24"/>
        </w:rPr>
        <w:t xml:space="preserve"> by independently fitting random terms for column and </w:t>
      </w:r>
      <w:proofErr w:type="spellStart"/>
      <w:r w:rsidRPr="005009E2">
        <w:rPr>
          <w:rFonts w:ascii="Times New Roman" w:hAnsi="Times New Roman" w:cs="Times New Roman"/>
          <w:sz w:val="24"/>
          <w:szCs w:val="24"/>
        </w:rPr>
        <w:t>ScO</w:t>
      </w:r>
      <w:proofErr w:type="spellEnd"/>
      <w:r w:rsidRPr="005009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0345767" w14:textId="77777777" w:rsidR="00246E93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09EC47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>Model 2: Spatial</w:t>
      </w:r>
      <w:r>
        <w:rPr>
          <w:rFonts w:ascii="Times New Roman" w:hAnsi="Times New Roman" w:cs="Times New Roman"/>
          <w:sz w:val="24"/>
          <w:szCs w:val="24"/>
        </w:rPr>
        <w:t>. M</w:t>
      </w:r>
      <w:r w:rsidRPr="005009E2">
        <w:rPr>
          <w:rFonts w:ascii="Times New Roman" w:hAnsi="Times New Roman" w:cs="Times New Roman"/>
          <w:sz w:val="24"/>
          <w:szCs w:val="24"/>
        </w:rPr>
        <w:t>AGIC lines were also included as fixed effects. Global trends were incorporated as trends aligned with rows and/or columns. Local trends were incorporated in the model with correlated residuals from the first-order autoregressive processes across rows and columns, now referred to as the AR1 x AR1 model. Model 2 can be formulated as:</w:t>
      </w:r>
    </w:p>
    <w:p w14:paraId="2EBA1BD0" w14:textId="77777777" w:rsidR="00246E93" w:rsidRPr="005009E2" w:rsidRDefault="00246E93" w:rsidP="00246E93">
      <w:pPr>
        <w:pStyle w:val="Caption"/>
        <w:spacing w:after="0"/>
        <w:rPr>
          <w:rFonts w:ascii="Times New Roman" w:hAnsi="Times New Roman" w:cs="Times New Roman"/>
          <w:szCs w:val="24"/>
        </w:rPr>
      </w:pPr>
      <m:oMath>
        <m:r>
          <w:rPr>
            <w:rFonts w:ascii="Cambria Math" w:hAnsi="Cambria Math" w:cs="Times New Roman"/>
            <w:szCs w:val="24"/>
          </w:rPr>
          <m:t>y=</m:t>
        </m:r>
        <m:sSub>
          <m:sSubPr>
            <m:ctrlPr>
              <w:rPr>
                <w:rFonts w:ascii="Cambria Math" w:hAnsi="Cambria Math" w:cs="Times New Roman"/>
                <w:i/>
                <w:iCs w:val="0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Cs w:val="24"/>
          </w:rPr>
          <m:t>g+</m:t>
        </m:r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Cs w:val="24"/>
              </w:rPr>
              <m:t>β</m:t>
            </m:r>
          </m:sub>
        </m:sSub>
        <m:r>
          <w:rPr>
            <w:rFonts w:ascii="Cambria Math" w:hAnsi="Cambria Math" w:cs="Times New Roman"/>
            <w:szCs w:val="24"/>
          </w:rPr>
          <m:t>β+ξ+e</m:t>
        </m:r>
      </m:oMath>
      <w:r w:rsidRPr="005009E2">
        <w:rPr>
          <w:rFonts w:ascii="Times New Roman" w:hAnsi="Times New Roman" w:cs="Times New Roman"/>
          <w:szCs w:val="24"/>
        </w:rPr>
        <w:t xml:space="preserve"> </w:t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</w:p>
    <w:p w14:paraId="34C9C100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contains the same fixed terms as Model 1 and vector </w:t>
      </w:r>
      <m:oMath>
        <m:r>
          <w:rPr>
            <w:rFonts w:ascii="Cambria Math" w:hAnsi="Cambria Math" w:cs="Times New Roman"/>
            <w:sz w:val="24"/>
            <w:szCs w:val="24"/>
          </w:rPr>
          <m:t>β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ξ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contain the spatial trends. Vector </w:t>
      </w:r>
      <m:oMath>
        <m:r>
          <w:rPr>
            <w:rFonts w:ascii="Cambria Math" w:hAnsi="Cambria Math" w:cs="Times New Roman"/>
            <w:sz w:val="24"/>
            <w:szCs w:val="24"/>
          </w:rPr>
          <m:t>β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may include linear global trends while </w:t>
      </w:r>
      <m:oMath>
        <m:r>
          <w:rPr>
            <w:rFonts w:ascii="Cambria Math" w:hAnsi="Cambria Math" w:cs="Times New Roman"/>
            <w:sz w:val="24"/>
            <w:szCs w:val="24"/>
          </w:rPr>
          <m:t>ξ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contains the local trends as the spatially correlated re</w:t>
      </w:r>
      <w:proofErr w:type="spellStart"/>
      <w:r w:rsidRPr="005009E2">
        <w:rPr>
          <w:rFonts w:ascii="Times New Roman" w:hAnsi="Times New Roman" w:cs="Times New Roman"/>
          <w:sz w:val="24"/>
          <w:szCs w:val="24"/>
        </w:rPr>
        <w:t>siduals</w:t>
      </w:r>
      <w:proofErr w:type="spellEnd"/>
      <w:r w:rsidRPr="005009E2">
        <w:rPr>
          <w:rFonts w:ascii="Times New Roman" w:hAnsi="Times New Roman" w:cs="Times New Roman"/>
          <w:sz w:val="24"/>
          <w:szCs w:val="24"/>
        </w:rPr>
        <w:t xml:space="preserve"> from the AR1 x AR1 model.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is the residual error term. Model 2 was optimised by fitting global trends and/or an additional random term for ScO. </w:t>
      </w:r>
    </w:p>
    <w:p w14:paraId="3AFDDD97" w14:textId="77777777" w:rsidR="00246E93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2AB35C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>Model 3: Blocking + Spatial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5009E2">
        <w:rPr>
          <w:rFonts w:ascii="Times New Roman" w:hAnsi="Times New Roman" w:cs="Times New Roman"/>
          <w:sz w:val="24"/>
          <w:szCs w:val="24"/>
        </w:rPr>
        <w:t>he non-spatial model serves as a baseline to the addition of spatial trend terms, following the sequential approach used by Gilmour et al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09E2">
        <w:rPr>
          <w:rFonts w:ascii="Times New Roman" w:hAnsi="Times New Roman" w:cs="Times New Roman"/>
          <w:sz w:val="24"/>
          <w:szCs w:val="24"/>
        </w:rPr>
        <w:t xml:space="preserve"> (1997). This combined model can be formulated as:</w:t>
      </w:r>
    </w:p>
    <w:p w14:paraId="592FB187" w14:textId="77777777" w:rsidR="00246E93" w:rsidRPr="005009E2" w:rsidRDefault="00246E93" w:rsidP="00246E93">
      <w:pPr>
        <w:pStyle w:val="Caption"/>
        <w:spacing w:after="0"/>
        <w:rPr>
          <w:rFonts w:ascii="Times New Roman" w:hAnsi="Times New Roman" w:cs="Times New Roman"/>
          <w:szCs w:val="24"/>
        </w:rPr>
      </w:pPr>
      <m:oMath>
        <m:r>
          <w:rPr>
            <w:rFonts w:ascii="Cambria Math" w:hAnsi="Cambria Math" w:cs="Times New Roman"/>
            <w:szCs w:val="24"/>
          </w:rPr>
          <m:t>y=</m:t>
        </m:r>
        <m:sSub>
          <m:sSubPr>
            <m:ctrlPr>
              <w:rPr>
                <w:rFonts w:ascii="Cambria Math" w:hAnsi="Cambria Math" w:cs="Times New Roman"/>
                <w:i/>
                <w:iCs w:val="0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Cs w:val="24"/>
          </w:rPr>
          <m:t>g+</m:t>
        </m:r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Cs w:val="24"/>
              </w:rPr>
              <m:t>β</m:t>
            </m:r>
          </m:sub>
        </m:sSub>
        <m:r>
          <w:rPr>
            <w:rFonts w:ascii="Cambria Math" w:hAnsi="Cambria Math" w:cs="Times New Roman"/>
            <w:szCs w:val="24"/>
          </w:rPr>
          <m:t>β+</m:t>
        </m:r>
        <m:r>
          <m:rPr>
            <m:sty m:val="b"/>
          </m:rPr>
          <w:rPr>
            <w:rFonts w:ascii="Cambria Math" w:hAnsi="Cambria Math" w:cs="Times New Roman"/>
            <w:szCs w:val="24"/>
          </w:rPr>
          <m:t>Z</m:t>
        </m:r>
        <m:r>
          <w:rPr>
            <w:rFonts w:ascii="Cambria Math" w:hAnsi="Cambria Math" w:cs="Times New Roman"/>
            <w:szCs w:val="24"/>
          </w:rPr>
          <m:t>u+ξ+e</m:t>
        </m:r>
      </m:oMath>
      <w:r w:rsidRPr="005009E2">
        <w:rPr>
          <w:rFonts w:ascii="Times New Roman" w:hAnsi="Times New Roman" w:cs="Times New Roman"/>
          <w:szCs w:val="24"/>
        </w:rPr>
        <w:t xml:space="preserve"> </w:t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  <w:r w:rsidRPr="005009E2">
        <w:rPr>
          <w:rFonts w:ascii="Times New Roman" w:hAnsi="Times New Roman" w:cs="Times New Roman"/>
          <w:szCs w:val="24"/>
        </w:rPr>
        <w:tab/>
      </w:r>
    </w:p>
    <w:p w14:paraId="15BA7178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β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Z</m:t>
        </m:r>
        <m:r>
          <w:rPr>
            <w:rFonts w:ascii="Cambria Math" w:hAnsi="Cambria Math" w:cs="Times New Roman"/>
            <w:sz w:val="24"/>
            <w:szCs w:val="24"/>
          </w:rPr>
          <m:t>u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ξ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Pr="005009E2">
        <w:rPr>
          <w:rFonts w:ascii="Times New Roman" w:hAnsi="Times New Roman" w:cs="Times New Roman"/>
          <w:sz w:val="24"/>
          <w:szCs w:val="24"/>
        </w:rPr>
        <w:t xml:space="preserve"> are defined as in model formulations (4) and (5).</w:t>
      </w:r>
    </w:p>
    <w:p w14:paraId="2C9FD1E0" w14:textId="77777777" w:rsidR="00246E93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434A95" w14:textId="77777777" w:rsidR="00246E93" w:rsidRDefault="00246E93" w:rsidP="00246E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290DF30" w14:textId="77777777" w:rsidR="00246E93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Text 2. </w:t>
      </w:r>
      <w:r>
        <w:rPr>
          <w:rFonts w:ascii="Times New Roman" w:hAnsi="Times New Roman" w:cs="Times New Roman"/>
          <w:sz w:val="24"/>
          <w:szCs w:val="24"/>
        </w:rPr>
        <w:t xml:space="preserve">Methodology used to determine a ‘consensus’ peak SNP at each QTL based on the four types of genetic analyses undertaken. </w:t>
      </w:r>
    </w:p>
    <w:p w14:paraId="1ACF22F6" w14:textId="77777777" w:rsidR="00246E93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7CE7C6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 xml:space="preserve">Firstly, the most significant marker at each QTL interval was manually selected for SMA and </w:t>
      </w:r>
      <w:r>
        <w:rPr>
          <w:rFonts w:ascii="Times New Roman" w:hAnsi="Times New Roman" w:cs="Times New Roman"/>
          <w:sz w:val="24"/>
          <w:szCs w:val="24"/>
        </w:rPr>
        <w:t>IBD</w:t>
      </w:r>
      <w:r w:rsidRPr="005009E2">
        <w:rPr>
          <w:rFonts w:ascii="Times New Roman" w:hAnsi="Times New Roman" w:cs="Times New Roman"/>
          <w:sz w:val="24"/>
          <w:szCs w:val="24"/>
        </w:rPr>
        <w:t xml:space="preserve"> approaches. These locations were then compared to t</w:t>
      </w:r>
      <w:r>
        <w:rPr>
          <w:rFonts w:ascii="Times New Roman" w:hAnsi="Times New Roman" w:cs="Times New Roman"/>
          <w:sz w:val="24"/>
          <w:szCs w:val="24"/>
        </w:rPr>
        <w:t>hose</w:t>
      </w:r>
      <w:r w:rsidRPr="005009E2">
        <w:rPr>
          <w:rFonts w:ascii="Times New Roman" w:hAnsi="Times New Roman" w:cs="Times New Roman"/>
          <w:sz w:val="24"/>
          <w:szCs w:val="24"/>
        </w:rPr>
        <w:t xml:space="preserve"> identified</w:t>
      </w:r>
      <w:r w:rsidRPr="001D24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5009E2">
        <w:rPr>
          <w:rFonts w:ascii="Times New Roman" w:hAnsi="Times New Roman" w:cs="Times New Roman"/>
          <w:sz w:val="24"/>
          <w:szCs w:val="24"/>
        </w:rPr>
        <w:t xml:space="preserve"> the IM and CIM approaches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Pr="001D245D">
        <w:rPr>
          <w:rFonts w:ascii="Times New Roman" w:hAnsi="Times New Roman"/>
          <w:sz w:val="24"/>
          <w:szCs w:val="24"/>
        </w:rPr>
        <w:t>R/</w:t>
      </w:r>
      <w:proofErr w:type="spellStart"/>
      <w:r w:rsidRPr="001D245D">
        <w:rPr>
          <w:rFonts w:ascii="Times New Roman" w:hAnsi="Times New Roman"/>
          <w:sz w:val="24"/>
          <w:szCs w:val="24"/>
        </w:rPr>
        <w:t>mpMap</w:t>
      </w:r>
      <w:proofErr w:type="spellEnd"/>
      <w:r w:rsidRPr="001D245D">
        <w:rPr>
          <w:rFonts w:ascii="Times New Roman" w:hAnsi="Times New Roman"/>
          <w:sz w:val="24"/>
          <w:szCs w:val="24"/>
        </w:rPr>
        <w:t xml:space="preserve"> </w:t>
      </w:r>
      <w:r w:rsidRPr="005009E2">
        <w:rPr>
          <w:rFonts w:ascii="Times New Roman" w:hAnsi="Times New Roman" w:cs="Times New Roman"/>
          <w:sz w:val="24"/>
          <w:szCs w:val="24"/>
        </w:rPr>
        <w:t>and ‘</w:t>
      </w:r>
      <w:r>
        <w:rPr>
          <w:rFonts w:ascii="Times New Roman" w:hAnsi="Times New Roman" w:cs="Times New Roman"/>
          <w:sz w:val="24"/>
          <w:szCs w:val="24"/>
        </w:rPr>
        <w:t>consensus</w:t>
      </w:r>
      <w:r w:rsidRPr="005009E2">
        <w:rPr>
          <w:rFonts w:ascii="Times New Roman" w:hAnsi="Times New Roman" w:cs="Times New Roman"/>
          <w:sz w:val="24"/>
          <w:szCs w:val="24"/>
        </w:rPr>
        <w:t xml:space="preserve">’ overall peak markers were selected using the following criteria: </w:t>
      </w:r>
    </w:p>
    <w:p w14:paraId="2DD45772" w14:textId="77777777" w:rsidR="00246E93" w:rsidRPr="005009E2" w:rsidRDefault="00246E93" w:rsidP="00246E9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5009E2">
        <w:rPr>
          <w:rFonts w:ascii="Times New Roman" w:hAnsi="Times New Roman" w:cs="Times New Roman"/>
          <w:szCs w:val="24"/>
        </w:rPr>
        <w:t>Consensus between the different mapping approaches</w:t>
      </w:r>
      <w:r>
        <w:rPr>
          <w:rFonts w:ascii="Times New Roman" w:hAnsi="Times New Roman" w:cs="Times New Roman"/>
          <w:szCs w:val="24"/>
        </w:rPr>
        <w:t>:</w:t>
      </w:r>
      <w:r w:rsidRPr="005009E2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</w:t>
      </w:r>
      <w:r w:rsidRPr="005009E2">
        <w:rPr>
          <w:rFonts w:ascii="Times New Roman" w:hAnsi="Times New Roman" w:cs="Times New Roman"/>
          <w:szCs w:val="24"/>
        </w:rPr>
        <w:t>or each QTL mapping approaches, the peak marker at a given QTL interval was the marker with the most significant p and q values. This value was compared across all mapping approaches. Markers found significant only with CIM 10 covariates were not considered.</w:t>
      </w:r>
    </w:p>
    <w:p w14:paraId="462B72F3" w14:textId="77777777" w:rsidR="00246E93" w:rsidRDefault="00246E93" w:rsidP="00246E9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Cs w:val="24"/>
        </w:rPr>
      </w:pPr>
      <w:r w:rsidRPr="005009E2">
        <w:rPr>
          <w:rFonts w:ascii="Times New Roman" w:hAnsi="Times New Roman" w:cs="Times New Roman"/>
          <w:szCs w:val="24"/>
        </w:rPr>
        <w:t>Consensus between the different YR scores across 2015 and 2016</w:t>
      </w:r>
      <w:r>
        <w:rPr>
          <w:rFonts w:ascii="Times New Roman" w:hAnsi="Times New Roman" w:cs="Times New Roman"/>
          <w:szCs w:val="24"/>
        </w:rPr>
        <w:t>:</w:t>
      </w:r>
      <w:r w:rsidRPr="005009E2">
        <w:rPr>
          <w:rFonts w:ascii="Times New Roman" w:hAnsi="Times New Roman" w:cs="Times New Roman"/>
          <w:szCs w:val="24"/>
        </w:rPr>
        <w:t xml:space="preserve"> A marker was selected as an overall peak marker at a given QTL interval when it was the most significant in at least two YR scores in a trial.</w:t>
      </w:r>
    </w:p>
    <w:p w14:paraId="0BE5B982" w14:textId="77777777" w:rsidR="00246E93" w:rsidRPr="005009E2" w:rsidRDefault="00246E93" w:rsidP="00246E93">
      <w:pPr>
        <w:pStyle w:val="ListParagraph"/>
        <w:spacing w:after="0" w:line="240" w:lineRule="auto"/>
        <w:ind w:left="360"/>
        <w:rPr>
          <w:rFonts w:ascii="Times New Roman" w:hAnsi="Times New Roman" w:cs="Times New Roman"/>
          <w:szCs w:val="24"/>
        </w:rPr>
      </w:pPr>
    </w:p>
    <w:p w14:paraId="070A72EB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 xml:space="preserve">In addition, the genomic context (centromere, </w:t>
      </w:r>
      <w:proofErr w:type="spellStart"/>
      <w:r w:rsidRPr="005009E2">
        <w:rPr>
          <w:rFonts w:ascii="Times New Roman" w:hAnsi="Times New Roman" w:cs="Times New Roman"/>
          <w:sz w:val="24"/>
          <w:szCs w:val="24"/>
        </w:rPr>
        <w:t>introgressions</w:t>
      </w:r>
      <w:proofErr w:type="spellEnd"/>
      <w:r w:rsidRPr="005009E2">
        <w:rPr>
          <w:rFonts w:ascii="Times New Roman" w:hAnsi="Times New Roman" w:cs="Times New Roman"/>
          <w:sz w:val="24"/>
          <w:szCs w:val="24"/>
        </w:rPr>
        <w:t>, translocations) and marker density were also taken into consideration when selecting an overall peak marker.</w:t>
      </w:r>
    </w:p>
    <w:p w14:paraId="36E747CF" w14:textId="77777777" w:rsidR="00246E93" w:rsidRPr="005009E2" w:rsidRDefault="00246E93" w:rsidP="00246E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9E2">
        <w:rPr>
          <w:rFonts w:ascii="Times New Roman" w:hAnsi="Times New Roman" w:cs="Times New Roman"/>
          <w:sz w:val="24"/>
          <w:szCs w:val="24"/>
        </w:rPr>
        <w:t xml:space="preserve">A single peak marker was then identified by examining the physical map position </w:t>
      </w:r>
      <w:r>
        <w:rPr>
          <w:rFonts w:ascii="Times New Roman" w:hAnsi="Times New Roman" w:cs="Times New Roman"/>
          <w:sz w:val="24"/>
          <w:szCs w:val="24"/>
        </w:rPr>
        <w:t>of each peak marker candidate in the reference wheat genome generated from cv. Chinese Spring 42 (RefSeq v1.0; IWGSC 2018)</w:t>
      </w:r>
      <w:r w:rsidRPr="005009E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471AE99" w14:textId="77777777" w:rsidR="00246E93" w:rsidRDefault="00246E93">
      <w:bookmarkStart w:id="0" w:name="_GoBack"/>
      <w:bookmarkEnd w:id="0"/>
    </w:p>
    <w:sectPr w:rsidR="00246E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62791"/>
    <w:multiLevelType w:val="hybridMultilevel"/>
    <w:tmpl w:val="2110E28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1285ECC"/>
    <w:multiLevelType w:val="hybridMultilevel"/>
    <w:tmpl w:val="F4D89C2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E93"/>
    <w:rsid w:val="0024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C6437"/>
  <w15:chartTrackingRefBased/>
  <w15:docId w15:val="{1A66E66C-B171-4FB8-8541-706224F1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E9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E93"/>
    <w:pPr>
      <w:spacing w:after="160" w:line="259" w:lineRule="auto"/>
      <w:ind w:left="720"/>
      <w:contextualSpacing/>
      <w:jc w:val="both"/>
    </w:pPr>
    <w:rPr>
      <w:sz w:val="24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246E93"/>
    <w:pPr>
      <w:spacing w:line="240" w:lineRule="auto"/>
      <w:jc w:val="both"/>
    </w:pPr>
    <w:rPr>
      <w:i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1</cp:revision>
  <dcterms:created xsi:type="dcterms:W3CDTF">2021-04-22T11:32:00Z</dcterms:created>
  <dcterms:modified xsi:type="dcterms:W3CDTF">2021-04-22T11:32:00Z</dcterms:modified>
</cp:coreProperties>
</file>