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27DDF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S1 MR effect size for serum Magnesium on MS. MR, Mendelian randomization; MS, Multiple Sclerosis.</w:t>
      </w:r>
    </w:p>
    <w:p w14:paraId="0A43835F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 xml:space="preserve">Figure. S2 MR effect </w:t>
      </w:r>
      <w:proofErr w:type="gramStart"/>
      <w:r>
        <w:rPr>
          <w:rFonts w:ascii="Times New Roman" w:eastAsia="SimSun" w:hAnsi="Times New Roman" w:cs="Times New Roman"/>
          <w:sz w:val="24"/>
          <w:shd w:val="clear" w:color="auto" w:fill="FFFFFF"/>
        </w:rPr>
        <w:t>size  for</w:t>
      </w:r>
      <w:proofErr w:type="gramEnd"/>
      <w:r>
        <w:rPr>
          <w:rFonts w:ascii="Times New Roman" w:eastAsia="SimSun" w:hAnsi="Times New Roman" w:cs="Times New Roman"/>
          <w:sz w:val="24"/>
          <w:shd w:val="clear" w:color="auto" w:fill="FFFFFF"/>
        </w:rPr>
        <w:t xml:space="preserve"> serum Iron on MG. MR, Mendelian randomization; MG, Myasthenia Gravis.</w:t>
      </w:r>
    </w:p>
    <w:p w14:paraId="5B137F32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S3 MR leave-one-out sensitivity analysis for serum Magnesium on MS. MR, Mendelian randomization; MS, Multiple Sclerosis.</w:t>
      </w:r>
    </w:p>
    <w:p w14:paraId="16037709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S4 MR leave-one-out sensitivity analysis for serum Iron on MG. MR, Mendelian randomization; MG, Myasthenia Gravis.</w:t>
      </w:r>
    </w:p>
    <w:p w14:paraId="1DFA4DE4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S5 Scatter plots to show the associations of serum Magnesium against MS. MS, Multiple Sclerosis.</w:t>
      </w:r>
    </w:p>
    <w:p w14:paraId="268AF175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S6 Scatter plots to show the associations of serum Iron against MG. MG, Myasthenia Gravis.</w:t>
      </w:r>
    </w:p>
    <w:p w14:paraId="3B5DCFE0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S7 Funnel plot of SNPs associated with serum Magnesium and their risk of MS. MS, Multiple Sclerosis.</w:t>
      </w:r>
    </w:p>
    <w:p w14:paraId="18FC8AF6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Figure. S8 Funnel plot of SNPs associated with serum Iron and their risk of MG. MG, Myasthenia Gravis.</w:t>
      </w:r>
    </w:p>
    <w:p w14:paraId="17FAF6F0" w14:textId="77777777" w:rsidR="00AD1398" w:rsidRDefault="00AD1398"/>
    <w:p w14:paraId="5E541328" w14:textId="77777777" w:rsidR="009A2757" w:rsidRDefault="009A2757"/>
    <w:p w14:paraId="5C97A4B0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Supplementary Table S1 SNPs associated with serum micronutrients.</w:t>
      </w:r>
    </w:p>
    <w:p w14:paraId="4095D8B7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Supplementary Table S2 All GWAS data information.</w:t>
      </w:r>
    </w:p>
    <w:p w14:paraId="4FA7CA15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Supplementary Table S3 MR results of causal links between micronutrients and MS.</w:t>
      </w:r>
    </w:p>
    <w:p w14:paraId="73006D27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Supplementary Table S4 MR results of causal links between micronutrients and MG.</w:t>
      </w:r>
    </w:p>
    <w:p w14:paraId="72687617" w14:textId="77777777" w:rsidR="009A2757" w:rsidRDefault="009A2757" w:rsidP="009A2757">
      <w:pPr>
        <w:spacing w:line="360" w:lineRule="auto"/>
        <w:rPr>
          <w:rFonts w:ascii="Times New Roman" w:eastAsia="SimSun" w:hAnsi="Times New Roman" w:cs="Times New Roman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  <w:shd w:val="clear" w:color="auto" w:fill="FFFFFF"/>
        </w:rPr>
        <w:t>Supplementary Table S5 MR results of causal links between micronutrients and GBS.</w:t>
      </w:r>
    </w:p>
    <w:p w14:paraId="2C873330" w14:textId="77777777" w:rsidR="009A2757" w:rsidRDefault="009A2757" w:rsidP="009A2757">
      <w:pPr>
        <w:rPr>
          <w:rFonts w:ascii="Times New Roman" w:eastAsia="SimSun" w:hAnsi="Times New Roman" w:cs="Times New Roman"/>
          <w:sz w:val="24"/>
          <w:shd w:val="clear" w:color="auto" w:fill="FFFFFF"/>
        </w:rPr>
      </w:pPr>
    </w:p>
    <w:p w14:paraId="0D2164C6" w14:textId="77777777" w:rsidR="009A2757" w:rsidRDefault="009A2757"/>
    <w:sectPr w:rsidR="009A2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757"/>
    <w:rsid w:val="004E0782"/>
    <w:rsid w:val="005374DE"/>
    <w:rsid w:val="00871FE1"/>
    <w:rsid w:val="009A275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BB388"/>
  <w15:chartTrackingRefBased/>
  <w15:docId w15:val="{914AF584-3004-471E-B83D-B153EBEF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9A2757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75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75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757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757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757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757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757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757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757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7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7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7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7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7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7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7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7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7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75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2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75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2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757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27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757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27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7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7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7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9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>Springer Nature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2024-07-10T05:50:00Z</dcterms:created>
  <dcterms:modified xsi:type="dcterms:W3CDTF">2024-07-10T05:51:00Z</dcterms:modified>
</cp:coreProperties>
</file>