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924509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</w:rPr>
        <w:t xml:space="preserve">Supplemental </w:t>
      </w:r>
      <w:r w:rsidRPr="00E934E2">
        <w:rPr>
          <w:b/>
          <w:bCs/>
          <w:i/>
          <w:iCs/>
          <w:color w:val="000000" w:themeColor="text1"/>
        </w:rPr>
        <w:t xml:space="preserve">Figure </w:t>
      </w:r>
      <w:r>
        <w:rPr>
          <w:b/>
          <w:bCs/>
          <w:i/>
          <w:iCs/>
          <w:color w:val="000000" w:themeColor="text1"/>
        </w:rPr>
        <w:t>1:</w:t>
      </w:r>
      <w:r w:rsidRPr="00E934E2">
        <w:rPr>
          <w:b/>
          <w:bCs/>
          <w:i/>
          <w:iCs/>
          <w:color w:val="000000" w:themeColor="text1"/>
        </w:rPr>
        <w:t xml:space="preserve"> SARS-CoV-2</w:t>
      </w:r>
      <w:r>
        <w:rPr>
          <w:b/>
          <w:bCs/>
          <w:i/>
          <w:iCs/>
          <w:color w:val="000000" w:themeColor="text1"/>
        </w:rPr>
        <w:t xml:space="preserve"> Antigen</w:t>
      </w:r>
      <w:r w:rsidRPr="00E934E2">
        <w:rPr>
          <w:b/>
          <w:bCs/>
          <w:i/>
          <w:iCs/>
          <w:color w:val="000000" w:themeColor="text1"/>
        </w:rPr>
        <w:t xml:space="preserve"> </w:t>
      </w:r>
      <w:r>
        <w:rPr>
          <w:b/>
          <w:bCs/>
          <w:i/>
          <w:iCs/>
          <w:color w:val="000000" w:themeColor="text1"/>
        </w:rPr>
        <w:t>Labeling, 1:200 antibody dilution, IHC experiment 1</w:t>
      </w:r>
      <w:r w:rsidRPr="00E934E2">
        <w:rPr>
          <w:i/>
          <w:iCs/>
          <w:color w:val="000000" w:themeColor="text1"/>
        </w:rPr>
        <w:t xml:space="preserve">. </w:t>
      </w:r>
      <w:r>
        <w:rPr>
          <w:i/>
          <w:iCs/>
          <w:color w:val="000000" w:themeColor="text1"/>
        </w:rPr>
        <w:t>The tongue thin sections were</w:t>
      </w:r>
      <w:r w:rsidRPr="00E934E2">
        <w:rPr>
          <w:i/>
          <w:iCs/>
          <w:color w:val="000000" w:themeColor="text1"/>
        </w:rPr>
        <w:t xml:space="preserve"> labeled for SARS-CoV-2 antigen</w:t>
      </w:r>
      <w:r>
        <w:rPr>
          <w:i/>
          <w:iCs/>
          <w:color w:val="000000" w:themeColor="text1"/>
        </w:rPr>
        <w:t xml:space="preserve"> and counter-stained with hematoxylin</w:t>
      </w:r>
      <w:r w:rsidRPr="00E934E2">
        <w:rPr>
          <w:i/>
          <w:iCs/>
          <w:color w:val="000000" w:themeColor="text1"/>
        </w:rPr>
        <w:t xml:space="preserve">. </w:t>
      </w:r>
      <w:r>
        <w:rPr>
          <w:i/>
          <w:iCs/>
          <w:color w:val="000000" w:themeColor="text1"/>
        </w:rPr>
        <w:t xml:space="preserve">Representative images are presented to further illustrate the relationship between histology images and tongue anatomy and further compare positive and negative staining. </w:t>
      </w:r>
      <w:r w:rsidRPr="00E934E2">
        <w:rPr>
          <w:i/>
          <w:iCs/>
          <w:color w:val="000000" w:themeColor="text1"/>
        </w:rPr>
        <w:t xml:space="preserve">Left </w:t>
      </w:r>
      <w:r>
        <w:rPr>
          <w:i/>
          <w:iCs/>
          <w:color w:val="000000" w:themeColor="text1"/>
        </w:rPr>
        <w:t>column: Diagram of structures within the tongue, with red dashed rectangles indicating location of associated immunohistochemistry images. Middle column</w:t>
      </w:r>
      <w:r w:rsidRPr="00E934E2">
        <w:rPr>
          <w:i/>
          <w:iCs/>
          <w:color w:val="000000" w:themeColor="text1"/>
        </w:rPr>
        <w:t>: control groups.</w:t>
      </w:r>
      <w:r>
        <w:rPr>
          <w:i/>
          <w:iCs/>
          <w:color w:val="000000" w:themeColor="text1"/>
        </w:rPr>
        <w:t xml:space="preserve"> Right column: infected groups. Upper row: salivary glands. Middle row: ganglia. Lower row: CV papillae. </w:t>
      </w:r>
      <w:r w:rsidRPr="00E934E2">
        <w:rPr>
          <w:i/>
          <w:iCs/>
          <w:color w:val="000000" w:themeColor="text1"/>
        </w:rPr>
        <w:t>Autonomic ganglia</w:t>
      </w:r>
      <w:r>
        <w:rPr>
          <w:i/>
          <w:iCs/>
          <w:color w:val="000000" w:themeColor="text1"/>
        </w:rPr>
        <w:t xml:space="preserve"> that are </w:t>
      </w:r>
      <w:r w:rsidRPr="00E934E2">
        <w:rPr>
          <w:i/>
          <w:iCs/>
          <w:color w:val="000000" w:themeColor="text1"/>
        </w:rPr>
        <w:t xml:space="preserve">adjacent to nerves and </w:t>
      </w:r>
      <w:r>
        <w:rPr>
          <w:i/>
          <w:iCs/>
          <w:color w:val="000000" w:themeColor="text1"/>
        </w:rPr>
        <w:t>which</w:t>
      </w:r>
      <w:r w:rsidRPr="00E934E2">
        <w:rPr>
          <w:i/>
          <w:iCs/>
          <w:color w:val="000000" w:themeColor="text1"/>
        </w:rPr>
        <w:t xml:space="preserve"> innervate salivary glands in the posterior tongue </w:t>
      </w:r>
      <w:r>
        <w:rPr>
          <w:i/>
          <w:iCs/>
          <w:color w:val="000000" w:themeColor="text1"/>
        </w:rPr>
        <w:t>were labeled</w:t>
      </w:r>
      <w:r w:rsidRPr="00E934E2">
        <w:rPr>
          <w:i/>
          <w:iCs/>
          <w:color w:val="000000" w:themeColor="text1"/>
        </w:rPr>
        <w:t xml:space="preserve"> positively for SARS-CoV-2 antigen as a result of infection.</w:t>
      </w:r>
      <w:r>
        <w:rPr>
          <w:i/>
          <w:iCs/>
          <w:color w:val="000000" w:themeColor="text1"/>
        </w:rPr>
        <w:t xml:space="preserve"> </w:t>
      </w:r>
      <w:r w:rsidRPr="00E934E2">
        <w:rPr>
          <w:i/>
          <w:iCs/>
          <w:color w:val="000000" w:themeColor="text1"/>
        </w:rPr>
        <w:t xml:space="preserve">Taste buds of </w:t>
      </w:r>
      <w:r>
        <w:rPr>
          <w:i/>
          <w:iCs/>
          <w:color w:val="000000" w:themeColor="text1"/>
        </w:rPr>
        <w:t>CV</w:t>
      </w:r>
      <w:r w:rsidRPr="00E934E2">
        <w:rPr>
          <w:i/>
          <w:iCs/>
          <w:color w:val="000000" w:themeColor="text1"/>
        </w:rPr>
        <w:t xml:space="preserve"> papillae located within the grooves of the papillae were also </w:t>
      </w:r>
      <w:r>
        <w:rPr>
          <w:i/>
          <w:iCs/>
          <w:color w:val="000000" w:themeColor="text1"/>
        </w:rPr>
        <w:t>positive for</w:t>
      </w:r>
      <w:r w:rsidRPr="00E934E2">
        <w:rPr>
          <w:i/>
          <w:iCs/>
          <w:color w:val="000000" w:themeColor="text1"/>
        </w:rPr>
        <w:t xml:space="preserve"> SARS-CoV-2 antigen as a result of infection. Serous salivary glands, which release saliva to dissolve tastants, were also positively </w:t>
      </w:r>
      <w:r>
        <w:rPr>
          <w:i/>
          <w:iCs/>
          <w:color w:val="000000" w:themeColor="text1"/>
        </w:rPr>
        <w:t>labeled</w:t>
      </w:r>
      <w:r w:rsidRPr="00E934E2">
        <w:rPr>
          <w:i/>
          <w:iCs/>
          <w:color w:val="000000" w:themeColor="text1"/>
        </w:rPr>
        <w:t>.</w:t>
      </w:r>
      <w:r>
        <w:rPr>
          <w:i/>
          <w:iCs/>
          <w:color w:val="000000" w:themeColor="text1"/>
        </w:rPr>
        <w:t xml:space="preserve"> Scale bars indicate 100 </w:t>
      </w:r>
      <w:r w:rsidRPr="0042067B">
        <w:rPr>
          <w:i/>
          <w:iCs/>
          <w:color w:val="000000" w:themeColor="text1"/>
        </w:rPr>
        <w:t>μ</w:t>
      </w:r>
      <w:r>
        <w:rPr>
          <w:i/>
          <w:iCs/>
          <w:color w:val="000000" w:themeColor="text1"/>
        </w:rPr>
        <w:t>m.</w:t>
      </w:r>
    </w:p>
    <w:p w14:paraId="566F1DD2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</w:p>
    <w:p w14:paraId="7FD7D9ED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</w:rPr>
        <w:t xml:space="preserve">Supplementary </w:t>
      </w:r>
      <w:r w:rsidRPr="00193AF6">
        <w:rPr>
          <w:b/>
          <w:bCs/>
          <w:i/>
          <w:iCs/>
          <w:color w:val="000000" w:themeColor="text1"/>
        </w:rPr>
        <w:t xml:space="preserve">Figure </w:t>
      </w:r>
      <w:r>
        <w:rPr>
          <w:b/>
          <w:bCs/>
          <w:i/>
          <w:iCs/>
          <w:color w:val="000000" w:themeColor="text1"/>
        </w:rPr>
        <w:t>2</w:t>
      </w:r>
      <w:r w:rsidRPr="00193AF6">
        <w:rPr>
          <w:b/>
          <w:bCs/>
          <w:i/>
          <w:iCs/>
          <w:color w:val="000000" w:themeColor="text1"/>
        </w:rPr>
        <w:t>: SARS-CoV-2 Antibody Staining</w:t>
      </w:r>
      <w:r>
        <w:rPr>
          <w:b/>
          <w:bCs/>
          <w:i/>
          <w:iCs/>
          <w:color w:val="000000" w:themeColor="text1"/>
        </w:rPr>
        <w:t>, 1:1,000 antibody dilution, IHC experiment 2</w:t>
      </w:r>
      <w:r w:rsidRPr="00193AF6">
        <w:rPr>
          <w:b/>
          <w:bCs/>
          <w:i/>
          <w:iCs/>
          <w:color w:val="000000" w:themeColor="text1"/>
        </w:rPr>
        <w:t>.</w:t>
      </w:r>
      <w:r>
        <w:rPr>
          <w:b/>
          <w:bCs/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The tongue thin sections were</w:t>
      </w:r>
      <w:r w:rsidRPr="00E934E2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stained with SARS-CoV-2 antibodies</w:t>
      </w:r>
      <w:r w:rsidRPr="00E934E2">
        <w:rPr>
          <w:i/>
          <w:iCs/>
          <w:color w:val="000000" w:themeColor="text1"/>
        </w:rPr>
        <w:t xml:space="preserve">. </w:t>
      </w:r>
      <w:r>
        <w:rPr>
          <w:i/>
          <w:iCs/>
          <w:color w:val="000000" w:themeColor="text1"/>
        </w:rPr>
        <w:t xml:space="preserve">Representative images are presented. Columns are organized by structure. Rows are organized by days post infection (dpi) or Mock (control) group. Black arrows indicate taste buds which scored a 0 or 1 upon grading. Red arrows indicate taste buds which scored a 2 upon grading. Red arrowheads indicate salivary glands which scored a 2 upon grading. White arrowheads indicate autonomic ganglia which scored a 2 upon grading. Scale bar measures 100 </w:t>
      </w:r>
      <w:r w:rsidRPr="00CC7F14">
        <w:rPr>
          <w:i/>
          <w:iCs/>
          <w:color w:val="000000" w:themeColor="text1"/>
        </w:rPr>
        <w:t>μ</w:t>
      </w:r>
      <w:r>
        <w:rPr>
          <w:i/>
          <w:iCs/>
          <w:color w:val="000000" w:themeColor="text1"/>
        </w:rPr>
        <w:t xml:space="preserve">m. </w:t>
      </w:r>
    </w:p>
    <w:p w14:paraId="16D054BB" w14:textId="77777777" w:rsidR="007830CD" w:rsidRDefault="007830CD" w:rsidP="007830CD">
      <w:pPr>
        <w:spacing w:line="480" w:lineRule="auto"/>
        <w:rPr>
          <w:i/>
          <w:iCs/>
          <w:noProof/>
          <w:color w:val="000000" w:themeColor="text1"/>
        </w:rPr>
      </w:pPr>
    </w:p>
    <w:p w14:paraId="514F58AF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  <w:sectPr w:rsidR="007830CD" w:rsidSect="007830C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b/>
          <w:bCs/>
          <w:i/>
          <w:iCs/>
          <w:color w:val="000000" w:themeColor="text1"/>
        </w:rPr>
        <w:lastRenderedPageBreak/>
        <w:t xml:space="preserve">Supplementary </w:t>
      </w:r>
      <w:r w:rsidRPr="00193AF6">
        <w:rPr>
          <w:b/>
          <w:bCs/>
          <w:i/>
          <w:iCs/>
          <w:color w:val="000000" w:themeColor="text1"/>
        </w:rPr>
        <w:t>Figure 3: Hematoxylin and Eosin Staining.</w:t>
      </w:r>
      <w:r>
        <w:rPr>
          <w:b/>
          <w:bCs/>
          <w:color w:val="000000" w:themeColor="text1"/>
        </w:rPr>
        <w:t xml:space="preserve">  </w:t>
      </w:r>
      <w:r>
        <w:rPr>
          <w:i/>
          <w:iCs/>
          <w:color w:val="000000" w:themeColor="text1"/>
        </w:rPr>
        <w:t>The tongue thin sections were</w:t>
      </w:r>
      <w:r w:rsidRPr="00E934E2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stained with hematoxylin and eosin (H&amp;E)</w:t>
      </w:r>
      <w:r w:rsidRPr="00E934E2">
        <w:rPr>
          <w:i/>
          <w:iCs/>
          <w:color w:val="000000" w:themeColor="text1"/>
        </w:rPr>
        <w:t xml:space="preserve">. </w:t>
      </w:r>
      <w:r>
        <w:rPr>
          <w:i/>
          <w:iCs/>
          <w:color w:val="000000" w:themeColor="text1"/>
        </w:rPr>
        <w:t xml:space="preserve">Representative images are presented. Columns are organized by structure. Rows are organized by days post infection (dpi) or Mock (control) group. No notable de-epitheliazation or cellular infiltrates were noted within any of the structures at any time point. Scale bar measures 100 </w:t>
      </w:r>
      <w:r w:rsidRPr="00CC7F14">
        <w:rPr>
          <w:i/>
          <w:iCs/>
          <w:color w:val="000000" w:themeColor="text1"/>
        </w:rPr>
        <w:t>μ</w:t>
      </w:r>
      <w:r>
        <w:rPr>
          <w:i/>
          <w:iCs/>
          <w:color w:val="000000" w:themeColor="text1"/>
        </w:rPr>
        <w:t>m.</w:t>
      </w:r>
    </w:p>
    <w:p w14:paraId="6C0A07BD" w14:textId="77777777" w:rsidR="007830CD" w:rsidRDefault="007830CD" w:rsidP="007830CD">
      <w:pPr>
        <w:spacing w:line="480" w:lineRule="auto"/>
        <w:rPr>
          <w:i/>
          <w:iCs/>
          <w:noProof/>
          <w:color w:val="000000" w:themeColor="text1"/>
        </w:rPr>
      </w:pPr>
    </w:p>
    <w:p w14:paraId="57D7D984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 w:rsidRPr="00006789">
        <w:rPr>
          <w:b/>
          <w:bCs/>
          <w:i/>
          <w:iCs/>
          <w:color w:val="000000" w:themeColor="text1"/>
        </w:rPr>
        <w:t xml:space="preserve">Supplementary Figure </w:t>
      </w:r>
      <w:r>
        <w:rPr>
          <w:b/>
          <w:bCs/>
          <w:i/>
          <w:iCs/>
          <w:color w:val="000000" w:themeColor="text1"/>
        </w:rPr>
        <w:t>4</w:t>
      </w:r>
      <w:r w:rsidRPr="00006789">
        <w:rPr>
          <w:b/>
          <w:bCs/>
          <w:i/>
          <w:iCs/>
          <w:color w:val="000000" w:themeColor="text1"/>
        </w:rPr>
        <w:t>: SARS-CoV-2 Grading Example.</w:t>
      </w:r>
      <w:r w:rsidRPr="00006789">
        <w:rPr>
          <w:i/>
          <w:iCs/>
          <w:noProof/>
          <w:color w:val="000000" w:themeColor="text1"/>
        </w:rPr>
        <w:t xml:space="preserve"> </w:t>
      </w:r>
      <w:r>
        <w:rPr>
          <w:i/>
          <w:iCs/>
          <w:noProof/>
          <w:color w:val="000000" w:themeColor="text1"/>
        </w:rPr>
        <w:t xml:space="preserve">Structures of the tongue </w:t>
      </w:r>
      <w:r w:rsidRPr="00193AF6">
        <w:rPr>
          <w:i/>
          <w:iCs/>
          <w:color w:val="000000" w:themeColor="text1"/>
        </w:rPr>
        <w:t>were graded on a scale of 0-2 for the intensity of SARS-CoV-2 labeling. A score of 0 indicates no staining, 1 indicates mild staining, and 2 indicates strong staining</w:t>
      </w:r>
      <w:r>
        <w:rPr>
          <w:i/>
          <w:iCs/>
          <w:color w:val="000000" w:themeColor="text1"/>
        </w:rPr>
        <w:t xml:space="preserve">. This figure provides an example of the grading of circumvallate papillae taste buds (black arrows). Scale bar measures 100 </w:t>
      </w:r>
      <w:r w:rsidRPr="00CC7F14">
        <w:rPr>
          <w:i/>
          <w:iCs/>
          <w:color w:val="000000" w:themeColor="text1"/>
        </w:rPr>
        <w:t>μ</w:t>
      </w:r>
      <w:r>
        <w:rPr>
          <w:i/>
          <w:iCs/>
          <w:color w:val="000000" w:themeColor="text1"/>
        </w:rPr>
        <w:t xml:space="preserve">m. </w:t>
      </w:r>
    </w:p>
    <w:p w14:paraId="0EC08089" w14:textId="77777777" w:rsidR="007830CD" w:rsidRPr="00337C31" w:rsidRDefault="007830CD" w:rsidP="007830CD">
      <w:pPr>
        <w:spacing w:line="480" w:lineRule="auto"/>
        <w:rPr>
          <w:i/>
          <w:iCs/>
          <w:color w:val="000000" w:themeColor="text1"/>
        </w:rPr>
      </w:pPr>
    </w:p>
    <w:p w14:paraId="0A0FCA9C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 w:rsidRPr="009315B8">
        <w:rPr>
          <w:b/>
          <w:bCs/>
          <w:i/>
          <w:iCs/>
          <w:color w:val="000000" w:themeColor="text1"/>
        </w:rPr>
        <w:t>Supplementary Table 1: SARS-CoV-2 Grading, 1:200 dilution antibody, immunohistochemistry (IHC) experiment 1</w:t>
      </w:r>
      <w:r w:rsidRPr="006C6090">
        <w:rPr>
          <w:i/>
          <w:iCs/>
          <w:color w:val="000000" w:themeColor="text1"/>
        </w:rPr>
        <w:t xml:space="preserve">. </w:t>
      </w:r>
    </w:p>
    <w:p w14:paraId="1ADC770D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 w:rsidRPr="006C6090">
        <w:rPr>
          <w:i/>
          <w:iCs/>
          <w:color w:val="000000" w:themeColor="text1"/>
        </w:rPr>
        <w:t xml:space="preserve">Slides were graded by </w:t>
      </w:r>
      <w:r>
        <w:rPr>
          <w:i/>
          <w:iCs/>
          <w:color w:val="000000" w:themeColor="text1"/>
        </w:rPr>
        <w:t>4</w:t>
      </w:r>
      <w:r w:rsidRPr="006C6090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re</w:t>
      </w:r>
      <w:r w:rsidRPr="006C6090">
        <w:rPr>
          <w:i/>
          <w:iCs/>
          <w:color w:val="000000" w:themeColor="text1"/>
        </w:rPr>
        <w:t xml:space="preserve">viewers for intensity of </w:t>
      </w:r>
      <w:r>
        <w:rPr>
          <w:i/>
          <w:iCs/>
          <w:color w:val="000000" w:themeColor="text1"/>
        </w:rPr>
        <w:t xml:space="preserve">SARS-CoV-2 </w:t>
      </w:r>
      <w:r w:rsidRPr="006C6090">
        <w:rPr>
          <w:i/>
          <w:iCs/>
          <w:color w:val="000000" w:themeColor="text1"/>
        </w:rPr>
        <w:t>antibody</w:t>
      </w:r>
      <w:r>
        <w:rPr>
          <w:i/>
          <w:iCs/>
          <w:color w:val="000000" w:themeColor="text1"/>
        </w:rPr>
        <w:t xml:space="preserve"> (1:200 dilution)</w:t>
      </w:r>
      <w:r w:rsidRPr="006C6090">
        <w:rPr>
          <w:i/>
          <w:iCs/>
          <w:color w:val="000000" w:themeColor="text1"/>
        </w:rPr>
        <w:t xml:space="preserve"> labeling. The taste buds within the fungiform papillae, circumvallate papillae, serous salivary glands, mucous salivary glands, and autonomic ganglia were graded on a scale of 0-2 for the intensity of SARS-CoV-2 labeling. A score of 0 indicates no staining, 1 indicates mild staining, and 2 indicates strong staining. Structures </w:t>
      </w:r>
      <w:r>
        <w:rPr>
          <w:i/>
          <w:iCs/>
          <w:color w:val="000000" w:themeColor="text1"/>
        </w:rPr>
        <w:t xml:space="preserve">absent in the </w:t>
      </w:r>
      <w:r w:rsidRPr="006C6090">
        <w:rPr>
          <w:i/>
          <w:iCs/>
          <w:color w:val="000000" w:themeColor="text1"/>
        </w:rPr>
        <w:t xml:space="preserve">sample are denoted with a dash symbol. </w:t>
      </w:r>
    </w:p>
    <w:p w14:paraId="16CFDFED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The gray columns show the average score of each tongue sample, with the bottom cell showing the p-value of non-parametric Kruskal Wallis test comparing the scores of different timepoints with mock control. There was no difference in any timepoint in any structure (p&gt;0.05). </w:t>
      </w:r>
    </w:p>
    <w:p w14:paraId="3FCE5566" w14:textId="77777777" w:rsidR="007830CD" w:rsidRPr="006C6090" w:rsidRDefault="007830CD" w:rsidP="007830CD">
      <w:pPr>
        <w:spacing w:line="48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R1; reviewer 1, R2; reviewer2, R3; reviewer 3, R4;reviewer 4. </w:t>
      </w:r>
      <w:r w:rsidRPr="006C6090">
        <w:rPr>
          <w:i/>
          <w:iCs/>
          <w:color w:val="000000" w:themeColor="text1"/>
        </w:rPr>
        <w:t xml:space="preserve"> </w:t>
      </w:r>
      <w:r w:rsidRPr="00193AF6">
        <w:rPr>
          <w:i/>
          <w:iCs/>
          <w:color w:val="000000" w:themeColor="text1"/>
        </w:rPr>
        <w:t xml:space="preserve"> </w:t>
      </w:r>
    </w:p>
    <w:p w14:paraId="69AEFCC6" w14:textId="77777777" w:rsidR="007830CD" w:rsidRDefault="007830CD" w:rsidP="007830CD">
      <w:pPr>
        <w:spacing w:line="480" w:lineRule="auto"/>
        <w:rPr>
          <w:b/>
          <w:bCs/>
          <w:i/>
          <w:iCs/>
          <w:color w:val="000000" w:themeColor="text1"/>
        </w:rPr>
      </w:pPr>
    </w:p>
    <w:p w14:paraId="79242625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 w:rsidRPr="009315B8">
        <w:rPr>
          <w:b/>
          <w:bCs/>
          <w:i/>
          <w:iCs/>
          <w:color w:val="000000" w:themeColor="text1"/>
        </w:rPr>
        <w:t>Supplementary Table 2: SARS-CoV-2 Grading, 1:1,000 dilution antibody, immunohistochemistry (IHC) experiment 2</w:t>
      </w:r>
      <w:r w:rsidRPr="006C6090">
        <w:rPr>
          <w:i/>
          <w:iCs/>
          <w:color w:val="000000" w:themeColor="text1"/>
        </w:rPr>
        <w:t xml:space="preserve">. </w:t>
      </w:r>
    </w:p>
    <w:p w14:paraId="7AD8610F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 w:rsidRPr="006C6090">
        <w:rPr>
          <w:i/>
          <w:iCs/>
          <w:color w:val="000000" w:themeColor="text1"/>
        </w:rPr>
        <w:t xml:space="preserve">Slides were graded by </w:t>
      </w:r>
      <w:r>
        <w:rPr>
          <w:i/>
          <w:iCs/>
          <w:color w:val="000000" w:themeColor="text1"/>
        </w:rPr>
        <w:t>3</w:t>
      </w:r>
      <w:r w:rsidRPr="006C6090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re</w:t>
      </w:r>
      <w:r w:rsidRPr="006C6090">
        <w:rPr>
          <w:i/>
          <w:iCs/>
          <w:color w:val="000000" w:themeColor="text1"/>
        </w:rPr>
        <w:t xml:space="preserve">viewers for intensity of </w:t>
      </w:r>
      <w:r>
        <w:rPr>
          <w:i/>
          <w:iCs/>
          <w:color w:val="000000" w:themeColor="text1"/>
        </w:rPr>
        <w:t xml:space="preserve">SARS-CoV-2 </w:t>
      </w:r>
      <w:r w:rsidRPr="006C6090">
        <w:rPr>
          <w:i/>
          <w:iCs/>
          <w:color w:val="000000" w:themeColor="text1"/>
        </w:rPr>
        <w:t>antibody</w:t>
      </w:r>
      <w:r>
        <w:rPr>
          <w:i/>
          <w:iCs/>
          <w:color w:val="000000" w:themeColor="text1"/>
        </w:rPr>
        <w:t xml:space="preserve"> (1:1000 dilution)</w:t>
      </w:r>
      <w:r w:rsidRPr="006C6090">
        <w:rPr>
          <w:i/>
          <w:iCs/>
          <w:color w:val="000000" w:themeColor="text1"/>
        </w:rPr>
        <w:t xml:space="preserve"> labeling. The taste buds within the fungiform papillae, circumvallate papillae, serous salivary glands, mucous salivary glands, and autonomic ganglia were graded on a scale of 0-2 for the intensity of SARS-CoV-2 labeling. A score of 0 indicates no staining, 1 indicates mild staining, and 2 indicates strong staining. Structures </w:t>
      </w:r>
      <w:r>
        <w:rPr>
          <w:i/>
          <w:iCs/>
          <w:color w:val="000000" w:themeColor="text1"/>
        </w:rPr>
        <w:t xml:space="preserve">absent in the </w:t>
      </w:r>
      <w:r w:rsidRPr="006C6090">
        <w:rPr>
          <w:i/>
          <w:iCs/>
          <w:color w:val="000000" w:themeColor="text1"/>
        </w:rPr>
        <w:t xml:space="preserve">sample are denoted with a dash symbol.  </w:t>
      </w:r>
    </w:p>
    <w:p w14:paraId="5A1073F5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The gray columns show the average score of each tongue sample, with the bottom cell showing the p-value of non-parametric Kruskal Wallis test comparing the scores of different timepoints with mock control. There was no difference in any timepoint in any structure (p&gt;0.05). </w:t>
      </w:r>
    </w:p>
    <w:p w14:paraId="443D736B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R1; reviewer 1, R2; reviewer2, R3; reviewer 3. </w:t>
      </w:r>
    </w:p>
    <w:p w14:paraId="04819B8D" w14:textId="77777777" w:rsidR="007830CD" w:rsidRDefault="007830CD" w:rsidP="007830CD">
      <w:pPr>
        <w:spacing w:line="480" w:lineRule="auto"/>
        <w:rPr>
          <w:i/>
          <w:iCs/>
          <w:color w:val="000000" w:themeColor="text1"/>
        </w:rPr>
      </w:pPr>
      <w:r w:rsidRPr="00193AF6">
        <w:rPr>
          <w:i/>
          <w:iCs/>
          <w:color w:val="000000" w:themeColor="text1"/>
        </w:rPr>
        <w:t xml:space="preserve"> </w:t>
      </w:r>
    </w:p>
    <w:p w14:paraId="7B39353A" w14:textId="77777777" w:rsidR="007830CD" w:rsidRPr="00C71D95" w:rsidRDefault="007830CD" w:rsidP="007830CD">
      <w:pPr>
        <w:spacing w:line="480" w:lineRule="auto"/>
        <w:rPr>
          <w:i/>
          <w:iCs/>
          <w:color w:val="000000" w:themeColor="text1"/>
        </w:rPr>
      </w:pPr>
      <w:r w:rsidRPr="00AB7314">
        <w:rPr>
          <w:b/>
          <w:bCs/>
          <w:i/>
          <w:iCs/>
          <w:color w:val="000000" w:themeColor="text1"/>
        </w:rPr>
        <w:t xml:space="preserve">Supplementary Table 3: </w:t>
      </w:r>
      <w:r>
        <w:rPr>
          <w:b/>
          <w:bCs/>
          <w:i/>
          <w:iCs/>
          <w:color w:val="000000" w:themeColor="text1"/>
        </w:rPr>
        <w:t>Presence/absence of anatomical structures in tongue thin section slides</w:t>
      </w:r>
      <w:r w:rsidRPr="00AB7314">
        <w:rPr>
          <w:b/>
          <w:bCs/>
          <w:i/>
          <w:iCs/>
          <w:color w:val="000000" w:themeColor="text1"/>
        </w:rPr>
        <w:t>.</w:t>
      </w:r>
      <w:r w:rsidRPr="009315B8">
        <w:rPr>
          <w:i/>
          <w:iCs/>
          <w:color w:val="000000" w:themeColor="text1"/>
        </w:rPr>
        <w:t xml:space="preserve"> Structures identified are indicated in green with a “+” symbol. </w:t>
      </w:r>
      <w:r>
        <w:rPr>
          <w:i/>
          <w:iCs/>
          <w:color w:val="000000" w:themeColor="text1"/>
        </w:rPr>
        <w:t>S</w:t>
      </w:r>
      <w:r w:rsidRPr="009315B8">
        <w:rPr>
          <w:i/>
          <w:iCs/>
          <w:color w:val="000000" w:themeColor="text1"/>
        </w:rPr>
        <w:t>tructur</w:t>
      </w:r>
      <w:r>
        <w:rPr>
          <w:i/>
          <w:iCs/>
          <w:color w:val="000000" w:themeColor="text1"/>
        </w:rPr>
        <w:t>es that were</w:t>
      </w:r>
      <w:r w:rsidRPr="009315B8">
        <w:rPr>
          <w:i/>
          <w:iCs/>
          <w:color w:val="000000" w:themeColor="text1"/>
        </w:rPr>
        <w:t xml:space="preserve"> not found </w:t>
      </w:r>
      <w:r>
        <w:rPr>
          <w:i/>
          <w:iCs/>
          <w:color w:val="000000" w:themeColor="text1"/>
        </w:rPr>
        <w:t>are</w:t>
      </w:r>
      <w:r w:rsidRPr="009315B8">
        <w:rPr>
          <w:i/>
          <w:iCs/>
          <w:color w:val="000000" w:themeColor="text1"/>
        </w:rPr>
        <w:t xml:space="preserve"> indicated in grey with a “-” symbol. </w:t>
      </w:r>
      <w:r>
        <w:rPr>
          <w:i/>
          <w:iCs/>
          <w:color w:val="000000" w:themeColor="text1"/>
        </w:rPr>
        <w:t>Information on all slides used for grading</w:t>
      </w:r>
      <w:r w:rsidRPr="00F0640A">
        <w:rPr>
          <w:i/>
          <w:iCs/>
          <w:color w:val="000000" w:themeColor="text1"/>
        </w:rPr>
        <w:t xml:space="preserve"> H&amp;E, SARS-CoV-2 antibody (1:200), and SARS-CoV-2 antibody (1:1000)</w:t>
      </w:r>
      <w:r>
        <w:rPr>
          <w:i/>
          <w:iCs/>
          <w:color w:val="000000" w:themeColor="text1"/>
        </w:rPr>
        <w:t xml:space="preserve"> are listed. </w:t>
      </w:r>
    </w:p>
    <w:p w14:paraId="590098B4" w14:textId="77777777" w:rsidR="00755780" w:rsidRDefault="00755780"/>
    <w:sectPr w:rsidR="00755780" w:rsidSect="007830C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0CD"/>
    <w:rsid w:val="00331A6B"/>
    <w:rsid w:val="00755780"/>
    <w:rsid w:val="007830CD"/>
    <w:rsid w:val="008409CC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E54C0"/>
  <w15:chartTrackingRefBased/>
  <w15:docId w15:val="{9C670678-7A1A-4FBC-A7C4-96DC734C0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0C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30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0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0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0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0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0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0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0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0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0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0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0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0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0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0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0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0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0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0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3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0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30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0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30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0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30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0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0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0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698</Words>
  <Characters>3983</Characters>
  <Application>Microsoft Office Word</Application>
  <DocSecurity>0</DocSecurity>
  <Lines>33</Lines>
  <Paragraphs>9</Paragraphs>
  <ScaleCrop>false</ScaleCrop>
  <Company>Springer Nature</Company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2024-07-04T10:22:00Z</dcterms:created>
  <dcterms:modified xsi:type="dcterms:W3CDTF">2024-07-04T10:23:00Z</dcterms:modified>
</cp:coreProperties>
</file>