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8894" w14:textId="77777777" w:rsidR="00ED3CCD" w:rsidRPr="00306DF0" w:rsidRDefault="00ED3CCD" w:rsidP="00ED3CCD">
      <w:pPr>
        <w:pStyle w:val="Didascalia"/>
        <w:rPr>
          <w:sz w:val="22"/>
          <w:szCs w:val="22"/>
          <w:lang w:val="en-US"/>
        </w:rPr>
      </w:pPr>
      <w:r w:rsidRPr="00306DF0">
        <w:rPr>
          <w:sz w:val="22"/>
          <w:szCs w:val="22"/>
          <w:lang w:val="en-US"/>
        </w:rPr>
        <w:t xml:space="preserve">Supplementary Table 5. Univariable &amp; Multivariable Cox regression analyses investigating the association of energy source with recurrence in 188 patients treated with ERBT for primary non-muscle invasive bladder </w:t>
      </w:r>
      <w:proofErr w:type="gramStart"/>
      <w:r w:rsidRPr="00306DF0">
        <w:rPr>
          <w:sz w:val="22"/>
          <w:szCs w:val="22"/>
          <w:lang w:val="en-US"/>
        </w:rPr>
        <w:t>cancer</w:t>
      </w:r>
      <w:proofErr w:type="gramEnd"/>
    </w:p>
    <w:tbl>
      <w:tblPr>
        <w:tblStyle w:val="Grigliatabella"/>
        <w:tblW w:w="9675" w:type="dxa"/>
        <w:tblLook w:val="04A0" w:firstRow="1" w:lastRow="0" w:firstColumn="1" w:lastColumn="0" w:noHBand="0" w:noVBand="1"/>
      </w:tblPr>
      <w:tblGrid>
        <w:gridCol w:w="2370"/>
        <w:gridCol w:w="1125"/>
        <w:gridCol w:w="1500"/>
        <w:gridCol w:w="960"/>
        <w:gridCol w:w="1110"/>
        <w:gridCol w:w="1439"/>
        <w:gridCol w:w="1171"/>
      </w:tblGrid>
      <w:tr w:rsidR="00ED3CCD" w:rsidRPr="000D1056" w14:paraId="5362987C" w14:textId="77777777" w:rsidTr="00540B08">
        <w:trPr>
          <w:trHeight w:val="434"/>
        </w:trPr>
        <w:tc>
          <w:tcPr>
            <w:tcW w:w="2370" w:type="dxa"/>
            <w:noWrap/>
            <w:hideMark/>
          </w:tcPr>
          <w:p w14:paraId="21EF8FAD" w14:textId="77777777" w:rsidR="00ED3CCD" w:rsidRPr="000D1056" w:rsidRDefault="00ED3CCD" w:rsidP="00540B08">
            <w:pPr>
              <w:jc w:val="center"/>
              <w:rPr>
                <w:lang w:val="en-US"/>
              </w:rPr>
            </w:pPr>
            <w:proofErr w:type="spellStart"/>
            <w:r w:rsidRPr="008012F8">
              <w:rPr>
                <w:rFonts w:ascii="Aptos Narrow" w:hAnsi="Aptos Narrow"/>
                <w:color w:val="000000"/>
              </w:rPr>
              <w:t>Variable</w:t>
            </w:r>
            <w:proofErr w:type="spellEnd"/>
          </w:p>
        </w:tc>
        <w:tc>
          <w:tcPr>
            <w:tcW w:w="3585" w:type="dxa"/>
            <w:gridSpan w:val="3"/>
            <w:noWrap/>
            <w:hideMark/>
          </w:tcPr>
          <w:p w14:paraId="7E67A7A0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proofErr w:type="spellStart"/>
            <w:r w:rsidRPr="35D280DE">
              <w:rPr>
                <w:rFonts w:ascii="Aptos Narrow" w:hAnsi="Aptos Narrow"/>
                <w:b/>
                <w:bCs/>
                <w:color w:val="000000" w:themeColor="text1"/>
              </w:rPr>
              <w:t>Univariable</w:t>
            </w:r>
            <w:proofErr w:type="spellEnd"/>
          </w:p>
        </w:tc>
        <w:tc>
          <w:tcPr>
            <w:tcW w:w="3720" w:type="dxa"/>
            <w:gridSpan w:val="3"/>
            <w:noWrap/>
            <w:hideMark/>
          </w:tcPr>
          <w:p w14:paraId="6996A5C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proofErr w:type="spellStart"/>
            <w:r w:rsidRPr="35D280DE">
              <w:rPr>
                <w:rFonts w:ascii="Aptos Narrow" w:hAnsi="Aptos Narrow"/>
                <w:b/>
                <w:bCs/>
                <w:color w:val="000000" w:themeColor="text1"/>
              </w:rPr>
              <w:t>Multivariable</w:t>
            </w:r>
            <w:proofErr w:type="spellEnd"/>
          </w:p>
        </w:tc>
      </w:tr>
      <w:tr w:rsidR="00ED3CCD" w:rsidRPr="000D1056" w14:paraId="6F4BB8E0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0880BB0C" w14:textId="77777777" w:rsidR="00ED3CCD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  <w:p w14:paraId="4D94615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506770B1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HR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2B5B1C9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95%CI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1643148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p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3</w:t>
            </w:r>
          </w:p>
        </w:tc>
        <w:tc>
          <w:tcPr>
            <w:tcW w:w="1110" w:type="dxa"/>
            <w:noWrap/>
            <w:hideMark/>
          </w:tcPr>
          <w:p w14:paraId="5BC376FD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HR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1</w:t>
            </w:r>
          </w:p>
        </w:tc>
        <w:tc>
          <w:tcPr>
            <w:tcW w:w="1439" w:type="dxa"/>
            <w:noWrap/>
            <w:hideMark/>
          </w:tcPr>
          <w:p w14:paraId="74B8ADF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95%CI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6BF69F5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p</w:t>
            </w:r>
            <w:r w:rsidRPr="3E7B40D4">
              <w:rPr>
                <w:rFonts w:ascii="Aptos Narrow" w:hAnsi="Aptos Narrow"/>
                <w:b/>
                <w:bCs/>
                <w:color w:val="000000" w:themeColor="text1"/>
                <w:vertAlign w:val="superscript"/>
              </w:rPr>
              <w:t>3</w:t>
            </w:r>
          </w:p>
        </w:tc>
      </w:tr>
      <w:tr w:rsidR="00ED3CCD" w:rsidRPr="000D1056" w14:paraId="248A5574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47005559" w14:textId="77777777" w:rsidR="00ED3CCD" w:rsidRPr="00B12B2F" w:rsidRDefault="00ED3CCD" w:rsidP="00540B08">
            <w:pPr>
              <w:rPr>
                <w:rFonts w:ascii="Aptos Narrow" w:hAnsi="Aptos Narrow"/>
                <w:color w:val="000000" w:themeColor="text1"/>
                <w:lang w:val="en-US"/>
              </w:rPr>
            </w:pPr>
            <w:r w:rsidRPr="00B12B2F">
              <w:rPr>
                <w:rFonts w:ascii="Aptos Narrow" w:hAnsi="Aptos Narrow"/>
                <w:color w:val="000000" w:themeColor="text1"/>
                <w:lang w:val="en-US"/>
              </w:rPr>
              <w:t>Energy source</w:t>
            </w:r>
          </w:p>
          <w:p w14:paraId="72D7076D" w14:textId="77777777" w:rsidR="00ED3CCD" w:rsidRPr="00306DF0" w:rsidRDefault="00ED3CCD" w:rsidP="00540B08">
            <w:pPr>
              <w:jc w:val="right"/>
              <w:rPr>
                <w:rFonts w:ascii="Aptos Narrow" w:hAnsi="Aptos Narrow"/>
                <w:color w:val="000000" w:themeColor="text1"/>
                <w:lang w:val="en-US"/>
              </w:rPr>
            </w:pPr>
            <w:r w:rsidRPr="00306DF0">
              <w:rPr>
                <w:rFonts w:ascii="Aptos Narrow" w:hAnsi="Aptos Narrow"/>
                <w:color w:val="000000" w:themeColor="text1"/>
                <w:lang w:val="en-US"/>
              </w:rPr>
              <w:t>monopolar</w:t>
            </w:r>
          </w:p>
          <w:p w14:paraId="3E44E778" w14:textId="77777777" w:rsidR="00ED3CCD" w:rsidRPr="00306DF0" w:rsidRDefault="00ED3CCD" w:rsidP="00540B08">
            <w:pPr>
              <w:jc w:val="right"/>
              <w:rPr>
                <w:rFonts w:ascii="Aptos Narrow" w:hAnsi="Aptos Narrow"/>
                <w:color w:val="000000" w:themeColor="text1"/>
                <w:lang w:val="en-US"/>
              </w:rPr>
            </w:pPr>
            <w:r w:rsidRPr="00306DF0">
              <w:rPr>
                <w:rFonts w:ascii="Aptos Narrow" w:hAnsi="Aptos Narrow"/>
                <w:color w:val="000000" w:themeColor="text1"/>
                <w:lang w:val="en-US"/>
              </w:rPr>
              <w:t>bipolar</w:t>
            </w:r>
          </w:p>
          <w:p w14:paraId="7470BEA2" w14:textId="77777777" w:rsidR="00ED3CCD" w:rsidRPr="00B12B2F" w:rsidRDefault="00ED3CCD" w:rsidP="00540B08">
            <w:pPr>
              <w:jc w:val="right"/>
              <w:rPr>
                <w:rFonts w:ascii="Aptos Narrow" w:hAnsi="Aptos Narrow"/>
                <w:color w:val="000000"/>
                <w:lang w:val="en-US"/>
              </w:rPr>
            </w:pPr>
            <w:r w:rsidRPr="00B12B2F">
              <w:rPr>
                <w:rFonts w:ascii="Aptos Narrow" w:hAnsi="Aptos Narrow"/>
                <w:color w:val="000000" w:themeColor="text1"/>
                <w:lang w:val="en-US"/>
              </w:rPr>
              <w:t>laser</w:t>
            </w:r>
          </w:p>
        </w:tc>
        <w:tc>
          <w:tcPr>
            <w:tcW w:w="1125" w:type="dxa"/>
            <w:noWrap/>
            <w:hideMark/>
          </w:tcPr>
          <w:p w14:paraId="244E371A" w14:textId="77777777" w:rsidR="00ED3CCD" w:rsidRPr="00B12B2F" w:rsidRDefault="00ED3CCD" w:rsidP="00540B08">
            <w:pPr>
              <w:jc w:val="center"/>
              <w:rPr>
                <w:rFonts w:ascii="Aptos Narrow" w:hAnsi="Aptos Narrow"/>
                <w:color w:val="000000" w:themeColor="text1"/>
                <w:lang w:val="en-US"/>
              </w:rPr>
            </w:pPr>
          </w:p>
          <w:p w14:paraId="67A4A9A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-</w:t>
            </w:r>
          </w:p>
          <w:p w14:paraId="330D30E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0.34</w:t>
            </w:r>
          </w:p>
          <w:p w14:paraId="1C19E17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0.43</w:t>
            </w:r>
          </w:p>
        </w:tc>
        <w:tc>
          <w:tcPr>
            <w:tcW w:w="1500" w:type="dxa"/>
            <w:noWrap/>
            <w:hideMark/>
          </w:tcPr>
          <w:p w14:paraId="27EB5A0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0AE8FF62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-</w:t>
            </w:r>
          </w:p>
          <w:p w14:paraId="279A015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0.15-0.78</w:t>
            </w:r>
          </w:p>
          <w:p w14:paraId="5A32E71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0.17-1.06</w:t>
            </w:r>
          </w:p>
        </w:tc>
        <w:tc>
          <w:tcPr>
            <w:tcW w:w="960" w:type="dxa"/>
            <w:noWrap/>
            <w:hideMark/>
          </w:tcPr>
          <w:p w14:paraId="6DD8077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</w:p>
          <w:p w14:paraId="13A33D38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-</w:t>
            </w:r>
          </w:p>
          <w:p w14:paraId="787050D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0.01</w:t>
            </w:r>
          </w:p>
          <w:p w14:paraId="07DAAE4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0.07</w:t>
            </w:r>
          </w:p>
        </w:tc>
        <w:tc>
          <w:tcPr>
            <w:tcW w:w="1110" w:type="dxa"/>
            <w:noWrap/>
            <w:hideMark/>
          </w:tcPr>
          <w:p w14:paraId="6B5D005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69E39B1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-</w:t>
            </w:r>
          </w:p>
          <w:p w14:paraId="5BC1C11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0.24</w:t>
            </w:r>
          </w:p>
          <w:p w14:paraId="331A1D6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0.50</w:t>
            </w:r>
          </w:p>
        </w:tc>
        <w:tc>
          <w:tcPr>
            <w:tcW w:w="1439" w:type="dxa"/>
            <w:noWrap/>
            <w:hideMark/>
          </w:tcPr>
          <w:p w14:paraId="0BE69DD0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2940DA2E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-</w:t>
            </w:r>
          </w:p>
          <w:p w14:paraId="37FED13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0.10-0.60</w:t>
            </w:r>
          </w:p>
          <w:p w14:paraId="45AD98F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0.18-1.36</w:t>
            </w:r>
          </w:p>
        </w:tc>
        <w:tc>
          <w:tcPr>
            <w:tcW w:w="1171" w:type="dxa"/>
            <w:noWrap/>
            <w:hideMark/>
          </w:tcPr>
          <w:p w14:paraId="2FD19E4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</w:p>
          <w:p w14:paraId="17B2219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-</w:t>
            </w:r>
          </w:p>
          <w:p w14:paraId="27BFC49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0.002</w:t>
            </w:r>
          </w:p>
          <w:p w14:paraId="02E4F4A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0.17</w:t>
            </w:r>
          </w:p>
        </w:tc>
      </w:tr>
      <w:tr w:rsidR="00ED3CCD" w:rsidRPr="000D1056" w14:paraId="545A9E96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69FD121D" w14:textId="77777777" w:rsidR="00ED3CCD" w:rsidRDefault="00ED3CCD" w:rsidP="00540B08">
            <w:pPr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NMIBC</w:t>
            </w:r>
          </w:p>
          <w:p w14:paraId="2CACE49D" w14:textId="77777777" w:rsidR="00ED3CCD" w:rsidRDefault="00ED3CCD" w:rsidP="00540B08">
            <w:pPr>
              <w:jc w:val="right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LG</w:t>
            </w:r>
          </w:p>
          <w:p w14:paraId="7FCB1B18" w14:textId="77777777" w:rsidR="00ED3CCD" w:rsidRDefault="00ED3CCD" w:rsidP="00540B08">
            <w:pPr>
              <w:jc w:val="right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HG</w:t>
            </w:r>
          </w:p>
          <w:p w14:paraId="2DDB7389" w14:textId="77777777" w:rsidR="00ED3CCD" w:rsidRPr="000D1056" w:rsidRDefault="00ED3CCD" w:rsidP="00540B08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56EC265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3C887E3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5B5F32A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0.64</w:t>
            </w:r>
          </w:p>
        </w:tc>
        <w:tc>
          <w:tcPr>
            <w:tcW w:w="1500" w:type="dxa"/>
            <w:noWrap/>
            <w:hideMark/>
          </w:tcPr>
          <w:p w14:paraId="6E268090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561EFCF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7DDC464E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0.30-1.37</w:t>
            </w:r>
          </w:p>
        </w:tc>
        <w:tc>
          <w:tcPr>
            <w:tcW w:w="960" w:type="dxa"/>
            <w:noWrap/>
            <w:hideMark/>
          </w:tcPr>
          <w:p w14:paraId="06821AB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4847CC6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057950CE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1A1DA9F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7F0DDB8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51AC3E8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0.62</w:t>
            </w:r>
          </w:p>
        </w:tc>
        <w:tc>
          <w:tcPr>
            <w:tcW w:w="1439" w:type="dxa"/>
            <w:noWrap/>
            <w:hideMark/>
          </w:tcPr>
          <w:p w14:paraId="57E7DBE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74ECB18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37630B6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0.24-1.58</w:t>
            </w:r>
          </w:p>
        </w:tc>
        <w:tc>
          <w:tcPr>
            <w:tcW w:w="1171" w:type="dxa"/>
            <w:noWrap/>
            <w:hideMark/>
          </w:tcPr>
          <w:p w14:paraId="6DB9C217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0A57CB5E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652194E9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0.32</w:t>
            </w:r>
          </w:p>
        </w:tc>
      </w:tr>
      <w:tr w:rsidR="00ED3CCD" w:rsidRPr="000D1056" w14:paraId="569272A8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3382C892" w14:textId="77777777" w:rsidR="00ED3CCD" w:rsidRPr="000D1056" w:rsidRDefault="00ED3CCD" w:rsidP="00540B08">
            <w:pPr>
              <w:rPr>
                <w:rFonts w:ascii="Aptos Narrow" w:eastAsia="Aptos Narrow" w:hAnsi="Aptos Narrow" w:cs="Aptos Narrow"/>
                <w:color w:val="000000"/>
                <w:vertAlign w:val="superscript"/>
              </w:rPr>
            </w:pPr>
            <w:proofErr w:type="gramStart"/>
            <w:r w:rsidRPr="4F135F76">
              <w:rPr>
                <w:rFonts w:ascii="Aptos Narrow" w:eastAsia="Aptos Narrow" w:hAnsi="Aptos Narrow" w:cs="Aptos Narrow"/>
                <w:color w:val="000000" w:themeColor="text1"/>
              </w:rPr>
              <w:t>Early  instillation</w:t>
            </w:r>
            <w:proofErr w:type="gramEnd"/>
            <w:r w:rsidRPr="4F135F76">
              <w:rPr>
                <w:rFonts w:ascii="Aptos Narrow" w:eastAsia="Aptos Narrow" w:hAnsi="Aptos Narrow" w:cs="Aptos Narrow"/>
                <w:color w:val="000000" w:themeColor="text1"/>
                <w:vertAlign w:val="superscript"/>
              </w:rPr>
              <w:t>4</w:t>
            </w:r>
          </w:p>
        </w:tc>
        <w:tc>
          <w:tcPr>
            <w:tcW w:w="1125" w:type="dxa"/>
            <w:noWrap/>
            <w:hideMark/>
          </w:tcPr>
          <w:p w14:paraId="3B5547F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0.80</w:t>
            </w:r>
          </w:p>
        </w:tc>
        <w:tc>
          <w:tcPr>
            <w:tcW w:w="1500" w:type="dxa"/>
            <w:noWrap/>
            <w:hideMark/>
          </w:tcPr>
          <w:p w14:paraId="51B731D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0.40-1.55</w:t>
            </w:r>
          </w:p>
        </w:tc>
        <w:tc>
          <w:tcPr>
            <w:tcW w:w="960" w:type="dxa"/>
            <w:noWrap/>
            <w:hideMark/>
          </w:tcPr>
          <w:p w14:paraId="7BFFCDC8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0.5</w:t>
            </w:r>
          </w:p>
        </w:tc>
        <w:tc>
          <w:tcPr>
            <w:tcW w:w="1110" w:type="dxa"/>
            <w:noWrap/>
            <w:hideMark/>
          </w:tcPr>
          <w:p w14:paraId="1F86793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0.40</w:t>
            </w:r>
          </w:p>
        </w:tc>
        <w:tc>
          <w:tcPr>
            <w:tcW w:w="1439" w:type="dxa"/>
            <w:noWrap/>
            <w:hideMark/>
          </w:tcPr>
          <w:p w14:paraId="04E48A00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0.18-0.93</w:t>
            </w:r>
          </w:p>
        </w:tc>
        <w:tc>
          <w:tcPr>
            <w:tcW w:w="1171" w:type="dxa"/>
            <w:noWrap/>
            <w:hideMark/>
          </w:tcPr>
          <w:p w14:paraId="4E8EC7C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3E7B40D4">
              <w:rPr>
                <w:rFonts w:ascii="Aptos Narrow" w:hAnsi="Aptos Narrow"/>
                <w:b/>
                <w:bCs/>
                <w:color w:val="000000" w:themeColor="text1"/>
              </w:rPr>
              <w:t>0.03</w:t>
            </w:r>
          </w:p>
        </w:tc>
      </w:tr>
      <w:tr w:rsidR="00ED3CCD" w:rsidRPr="000D1056" w14:paraId="65E4FB71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4B4589AC" w14:textId="77777777" w:rsidR="00ED3CCD" w:rsidRPr="00306DF0" w:rsidRDefault="00ED3CCD" w:rsidP="00540B08">
            <w:pPr>
              <w:rPr>
                <w:rFonts w:ascii="Aptos Narrow" w:hAnsi="Aptos Narrow"/>
                <w:color w:val="000000" w:themeColor="text1"/>
                <w:lang w:val="en-US"/>
              </w:rPr>
            </w:pPr>
            <w:r w:rsidRPr="00306DF0">
              <w:rPr>
                <w:rFonts w:ascii="Aptos Narrow" w:hAnsi="Aptos Narrow"/>
                <w:color w:val="000000" w:themeColor="text1"/>
                <w:lang w:val="en-US"/>
              </w:rPr>
              <w:t>Adjuvant instillation</w:t>
            </w:r>
          </w:p>
          <w:p w14:paraId="45BF61E0" w14:textId="77777777" w:rsidR="00ED3CCD" w:rsidRPr="00B12B2F" w:rsidRDefault="00ED3CCD" w:rsidP="00540B08">
            <w:pPr>
              <w:jc w:val="right"/>
              <w:rPr>
                <w:rFonts w:ascii="Aptos Narrow" w:hAnsi="Aptos Narrow"/>
                <w:color w:val="000000" w:themeColor="text1"/>
                <w:lang w:val="en-US"/>
              </w:rPr>
            </w:pPr>
            <w:r w:rsidRPr="00B12B2F">
              <w:rPr>
                <w:rFonts w:ascii="Aptos Narrow" w:hAnsi="Aptos Narrow"/>
                <w:color w:val="000000" w:themeColor="text1"/>
                <w:lang w:val="en-US"/>
              </w:rPr>
              <w:t>None</w:t>
            </w:r>
          </w:p>
          <w:p w14:paraId="5A1AB8C6" w14:textId="77777777" w:rsidR="00ED3CCD" w:rsidRPr="00B12B2F" w:rsidRDefault="00ED3CCD" w:rsidP="00540B08">
            <w:pPr>
              <w:jc w:val="right"/>
              <w:rPr>
                <w:rFonts w:ascii="Aptos Narrow" w:hAnsi="Aptos Narrow"/>
                <w:color w:val="000000" w:themeColor="text1"/>
                <w:lang w:val="en-US"/>
              </w:rPr>
            </w:pPr>
            <w:r w:rsidRPr="00B12B2F">
              <w:rPr>
                <w:rFonts w:ascii="Aptos Narrow" w:hAnsi="Aptos Narrow"/>
                <w:color w:val="000000" w:themeColor="text1"/>
                <w:lang w:val="en-US"/>
              </w:rPr>
              <w:t>BCG</w:t>
            </w:r>
          </w:p>
          <w:p w14:paraId="4E2F5B12" w14:textId="77777777" w:rsidR="00ED3CCD" w:rsidRPr="00306DF0" w:rsidRDefault="00ED3CCD" w:rsidP="00540B08">
            <w:pPr>
              <w:jc w:val="right"/>
              <w:rPr>
                <w:rFonts w:ascii="Aptos Narrow" w:hAnsi="Aptos Narrow"/>
                <w:color w:val="000000"/>
                <w:lang w:val="en-US"/>
              </w:rPr>
            </w:pPr>
            <w:r w:rsidRPr="00306DF0">
              <w:rPr>
                <w:rFonts w:ascii="Aptos Narrow" w:hAnsi="Aptos Narrow"/>
                <w:color w:val="000000" w:themeColor="text1"/>
                <w:lang w:val="en-US"/>
              </w:rPr>
              <w:t>Chemotherapy agent</w:t>
            </w:r>
          </w:p>
        </w:tc>
        <w:tc>
          <w:tcPr>
            <w:tcW w:w="1125" w:type="dxa"/>
            <w:noWrap/>
            <w:hideMark/>
          </w:tcPr>
          <w:p w14:paraId="09C5A4E6" w14:textId="77777777" w:rsidR="00ED3CCD" w:rsidRPr="00B12B2F" w:rsidRDefault="00ED3CCD" w:rsidP="00540B08">
            <w:pPr>
              <w:jc w:val="center"/>
              <w:rPr>
                <w:rFonts w:ascii="Aptos Narrow" w:hAnsi="Aptos Narrow"/>
                <w:color w:val="000000" w:themeColor="text1"/>
                <w:lang w:val="en-US"/>
              </w:rPr>
            </w:pPr>
          </w:p>
          <w:p w14:paraId="7E53B97B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6CFFB12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0.82</w:t>
            </w:r>
          </w:p>
          <w:p w14:paraId="283BD63F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1.19</w:t>
            </w:r>
          </w:p>
        </w:tc>
        <w:tc>
          <w:tcPr>
            <w:tcW w:w="1500" w:type="dxa"/>
            <w:noWrap/>
            <w:hideMark/>
          </w:tcPr>
          <w:p w14:paraId="1A9707D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2F141AC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3154C23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0.28-2.40</w:t>
            </w:r>
          </w:p>
          <w:p w14:paraId="1BABF4CD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0.56-2.54</w:t>
            </w:r>
          </w:p>
        </w:tc>
        <w:tc>
          <w:tcPr>
            <w:tcW w:w="960" w:type="dxa"/>
            <w:noWrap/>
            <w:hideMark/>
          </w:tcPr>
          <w:p w14:paraId="2EDB2C1F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29387E5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7753008E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0.72</w:t>
            </w:r>
          </w:p>
          <w:p w14:paraId="46492F9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0.64</w:t>
            </w:r>
          </w:p>
        </w:tc>
        <w:tc>
          <w:tcPr>
            <w:tcW w:w="1110" w:type="dxa"/>
            <w:noWrap/>
            <w:hideMark/>
          </w:tcPr>
          <w:p w14:paraId="00B36BD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7E3C71C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6FE6410D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0.73</w:t>
            </w:r>
          </w:p>
          <w:p w14:paraId="6F5A7FE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1.28</w:t>
            </w:r>
          </w:p>
        </w:tc>
        <w:tc>
          <w:tcPr>
            <w:tcW w:w="1439" w:type="dxa"/>
            <w:noWrap/>
            <w:hideMark/>
          </w:tcPr>
          <w:p w14:paraId="7DE9248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742AE24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2C3871AD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0.19-2.80</w:t>
            </w:r>
          </w:p>
          <w:p w14:paraId="0C6DBB43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0.52-3.17</w:t>
            </w:r>
          </w:p>
        </w:tc>
        <w:tc>
          <w:tcPr>
            <w:tcW w:w="1171" w:type="dxa"/>
            <w:noWrap/>
            <w:hideMark/>
          </w:tcPr>
          <w:p w14:paraId="68B5C2C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</w:p>
          <w:p w14:paraId="1FFDD9B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-</w:t>
            </w:r>
          </w:p>
          <w:p w14:paraId="6895BBEF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 w:themeColor="text1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0.65</w:t>
            </w:r>
          </w:p>
          <w:p w14:paraId="5357AF18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0.60</w:t>
            </w:r>
          </w:p>
        </w:tc>
      </w:tr>
      <w:tr w:rsidR="00ED3CCD" w:rsidRPr="000D1056" w14:paraId="267DBCA7" w14:textId="77777777" w:rsidTr="00540B08">
        <w:trPr>
          <w:trHeight w:val="320"/>
        </w:trPr>
        <w:tc>
          <w:tcPr>
            <w:tcW w:w="2370" w:type="dxa"/>
            <w:noWrap/>
            <w:hideMark/>
          </w:tcPr>
          <w:p w14:paraId="1C8F0215" w14:textId="77777777" w:rsidR="00ED3CCD" w:rsidRPr="000D1056" w:rsidRDefault="00ED3CCD" w:rsidP="00540B08">
            <w:pPr>
              <w:rPr>
                <w:rFonts w:ascii="Aptos Narrow" w:hAnsi="Aptos Narrow"/>
                <w:color w:val="000000"/>
              </w:rPr>
            </w:pPr>
            <w:r w:rsidRPr="000D1056">
              <w:rPr>
                <w:rFonts w:ascii="Aptos Narrow" w:hAnsi="Aptos Narrow"/>
                <w:color w:val="000000"/>
              </w:rPr>
              <w:t>ReTURB</w:t>
            </w:r>
          </w:p>
        </w:tc>
        <w:tc>
          <w:tcPr>
            <w:tcW w:w="1125" w:type="dxa"/>
            <w:noWrap/>
            <w:hideMark/>
          </w:tcPr>
          <w:p w14:paraId="354FA5EA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1.06</w:t>
            </w:r>
          </w:p>
        </w:tc>
        <w:tc>
          <w:tcPr>
            <w:tcW w:w="1500" w:type="dxa"/>
            <w:noWrap/>
            <w:hideMark/>
          </w:tcPr>
          <w:p w14:paraId="4B9CC405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0.41-2.75</w:t>
            </w:r>
          </w:p>
        </w:tc>
        <w:tc>
          <w:tcPr>
            <w:tcW w:w="960" w:type="dxa"/>
            <w:noWrap/>
            <w:hideMark/>
          </w:tcPr>
          <w:p w14:paraId="5818CEA1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0.9</w:t>
            </w:r>
          </w:p>
        </w:tc>
        <w:tc>
          <w:tcPr>
            <w:tcW w:w="1110" w:type="dxa"/>
            <w:noWrap/>
            <w:hideMark/>
          </w:tcPr>
          <w:p w14:paraId="4ABBD606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2.22</w:t>
            </w:r>
          </w:p>
        </w:tc>
        <w:tc>
          <w:tcPr>
            <w:tcW w:w="1439" w:type="dxa"/>
            <w:noWrap/>
            <w:hideMark/>
          </w:tcPr>
          <w:p w14:paraId="230E6E5C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0.68-7.25</w:t>
            </w:r>
          </w:p>
        </w:tc>
        <w:tc>
          <w:tcPr>
            <w:tcW w:w="1171" w:type="dxa"/>
            <w:noWrap/>
            <w:hideMark/>
          </w:tcPr>
          <w:p w14:paraId="7BAC9284" w14:textId="77777777" w:rsidR="00ED3CCD" w:rsidRPr="000D1056" w:rsidRDefault="00ED3CCD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3E7B40D4">
              <w:rPr>
                <w:rFonts w:ascii="Aptos Narrow" w:hAnsi="Aptos Narrow"/>
                <w:color w:val="000000" w:themeColor="text1"/>
              </w:rPr>
              <w:t>0.19</w:t>
            </w:r>
          </w:p>
        </w:tc>
      </w:tr>
    </w:tbl>
    <w:p w14:paraId="65AD5FA8" w14:textId="77777777" w:rsidR="00ED3CCD" w:rsidRDefault="00ED3CCD" w:rsidP="00ED3CCD">
      <w:pPr>
        <w:pStyle w:val="Didascalia"/>
        <w:rPr>
          <w:sz w:val="22"/>
          <w:szCs w:val="22"/>
          <w:lang w:val="en-US"/>
        </w:rPr>
      </w:pPr>
      <w:r w:rsidRPr="3E7B40D4">
        <w:rPr>
          <w:sz w:val="22"/>
          <w:szCs w:val="22"/>
          <w:lang w:val="en-US"/>
        </w:rPr>
        <w:t xml:space="preserve">Supplementary Table 5. </w:t>
      </w:r>
      <w:proofErr w:type="spellStart"/>
      <w:proofErr w:type="gramStart"/>
      <w:r w:rsidRPr="3E7B40D4">
        <w:rPr>
          <w:sz w:val="22"/>
          <w:szCs w:val="22"/>
          <w:lang w:val="en-US"/>
        </w:rPr>
        <w:t>Abbreviations:NMIBC</w:t>
      </w:r>
      <w:proofErr w:type="spellEnd"/>
      <w:proofErr w:type="gramEnd"/>
      <w:r w:rsidRPr="3E7B40D4">
        <w:rPr>
          <w:sz w:val="22"/>
          <w:szCs w:val="22"/>
          <w:lang w:val="en-US"/>
        </w:rPr>
        <w:t>= non-muscle invasive bladder cancer; LG=low grade; HG=High grade; BCG= Bacillus of Calmette-</w:t>
      </w:r>
      <w:proofErr w:type="spellStart"/>
      <w:r w:rsidRPr="3E7B40D4">
        <w:rPr>
          <w:sz w:val="22"/>
          <w:szCs w:val="22"/>
          <w:lang w:val="en-US"/>
        </w:rPr>
        <w:t>Guèrin</w:t>
      </w:r>
      <w:proofErr w:type="spellEnd"/>
      <w:r w:rsidRPr="3E7B40D4">
        <w:rPr>
          <w:sz w:val="22"/>
          <w:szCs w:val="22"/>
          <w:lang w:val="en-US"/>
        </w:rPr>
        <w:t>; TURB= Transurethral resection of the bladder.</w:t>
      </w:r>
    </w:p>
    <w:p w14:paraId="473BAC30" w14:textId="77777777" w:rsidR="00ED3CCD" w:rsidRDefault="00ED3CCD" w:rsidP="00ED3CCD">
      <w:pPr>
        <w:pStyle w:val="Didascalia"/>
        <w:rPr>
          <w:sz w:val="22"/>
          <w:szCs w:val="22"/>
          <w:lang w:val="en-US"/>
        </w:rPr>
      </w:pPr>
      <w:r w:rsidRPr="00306DF0">
        <w:rPr>
          <w:sz w:val="22"/>
          <w:szCs w:val="22"/>
          <w:vertAlign w:val="superscript"/>
          <w:lang w:val="en-US"/>
        </w:rPr>
        <w:t>1</w:t>
      </w:r>
      <w:r w:rsidRPr="00306DF0">
        <w:rPr>
          <w:sz w:val="22"/>
          <w:szCs w:val="22"/>
          <w:lang w:val="en-US"/>
        </w:rPr>
        <w:t xml:space="preserve">Hazard ratio; </w:t>
      </w:r>
      <w:r w:rsidRPr="00306DF0">
        <w:rPr>
          <w:sz w:val="22"/>
          <w:szCs w:val="22"/>
          <w:vertAlign w:val="superscript"/>
          <w:lang w:val="en-US"/>
        </w:rPr>
        <w:t>2</w:t>
      </w:r>
      <w:r w:rsidRPr="00306DF0">
        <w:rPr>
          <w:sz w:val="22"/>
          <w:szCs w:val="22"/>
          <w:lang w:val="en-US"/>
        </w:rPr>
        <w:t xml:space="preserve">Confidence interval; </w:t>
      </w:r>
      <w:r w:rsidRPr="00306DF0">
        <w:rPr>
          <w:sz w:val="22"/>
          <w:szCs w:val="22"/>
          <w:vertAlign w:val="superscript"/>
          <w:lang w:val="en-US"/>
        </w:rPr>
        <w:t>3</w:t>
      </w:r>
      <w:r w:rsidRPr="00306DF0">
        <w:rPr>
          <w:sz w:val="22"/>
          <w:szCs w:val="22"/>
          <w:lang w:val="en-US"/>
        </w:rPr>
        <w:t xml:space="preserve">p-value; </w:t>
      </w:r>
      <w:r w:rsidRPr="00306DF0">
        <w:rPr>
          <w:sz w:val="22"/>
          <w:szCs w:val="22"/>
          <w:vertAlign w:val="superscript"/>
          <w:lang w:val="en-US"/>
        </w:rPr>
        <w:t>4</w:t>
      </w:r>
      <w:r w:rsidRPr="00306DF0">
        <w:rPr>
          <w:sz w:val="22"/>
          <w:szCs w:val="22"/>
          <w:lang w:val="en-US"/>
        </w:rPr>
        <w:t>Early intravesical instillation after TURB</w:t>
      </w:r>
    </w:p>
    <w:p w14:paraId="6E16DFF9" w14:textId="77777777" w:rsidR="0095270B" w:rsidRPr="0089721C" w:rsidRDefault="0095270B">
      <w:pPr>
        <w:rPr>
          <w:lang w:val="en-US"/>
        </w:rPr>
      </w:pPr>
    </w:p>
    <w:sectPr w:rsidR="0095270B" w:rsidRPr="008972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A6"/>
    <w:rsid w:val="00001289"/>
    <w:rsid w:val="00034CCB"/>
    <w:rsid w:val="000A6E9C"/>
    <w:rsid w:val="00315C96"/>
    <w:rsid w:val="00491510"/>
    <w:rsid w:val="0089721C"/>
    <w:rsid w:val="0095270B"/>
    <w:rsid w:val="00A23710"/>
    <w:rsid w:val="00A31668"/>
    <w:rsid w:val="00AC57E0"/>
    <w:rsid w:val="00B66822"/>
    <w:rsid w:val="00BE683E"/>
    <w:rsid w:val="00CA1EA6"/>
    <w:rsid w:val="00CC21A9"/>
    <w:rsid w:val="00ED3CCD"/>
    <w:rsid w:val="00F23BC2"/>
    <w:rsid w:val="00F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261012"/>
  <w15:chartTrackingRefBased/>
  <w15:docId w15:val="{B289A94D-39C3-B246-89C5-44EF15FF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CC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1E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1E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1E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1E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1E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1E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1E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1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1E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1E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1E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1E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1E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1E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1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A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1E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1EA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1E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1EA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A1E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1E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1EA6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ED3CCD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59"/>
    <w:rsid w:val="00ED3CCD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Mancon</dc:creator>
  <cp:keywords/>
  <dc:description/>
  <cp:lastModifiedBy>Stefano Mancon</cp:lastModifiedBy>
  <cp:revision>7</cp:revision>
  <dcterms:created xsi:type="dcterms:W3CDTF">2024-04-25T17:09:00Z</dcterms:created>
  <dcterms:modified xsi:type="dcterms:W3CDTF">2024-04-25T17:09:00Z</dcterms:modified>
</cp:coreProperties>
</file>