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5B60B" w14:textId="77777777" w:rsidR="003459D3" w:rsidRPr="00306DF0" w:rsidRDefault="003459D3" w:rsidP="003459D3">
      <w:pPr>
        <w:keepNext/>
        <w:rPr>
          <w:i/>
          <w:iCs/>
          <w:color w:val="0E2841" w:themeColor="text2"/>
          <w:sz w:val="22"/>
          <w:szCs w:val="22"/>
          <w:lang w:val="en-US"/>
        </w:rPr>
      </w:pPr>
      <w:r w:rsidRPr="00306DF0">
        <w:rPr>
          <w:i/>
          <w:iCs/>
          <w:color w:val="0E2841" w:themeColor="text2"/>
          <w:sz w:val="22"/>
          <w:szCs w:val="22"/>
          <w:lang w:val="en-US"/>
        </w:rPr>
        <w:t>Supplementary Table 2. Perioperative outcomes of 188 patients treated with ERBT for primary non-muscle invasive bladder cancer, stratified by tumor location</w:t>
      </w:r>
    </w:p>
    <w:p w14:paraId="6D55638A" w14:textId="77777777" w:rsidR="003459D3" w:rsidRDefault="003459D3" w:rsidP="003459D3">
      <w:pPr>
        <w:rPr>
          <w:rFonts w:asciiTheme="minorHAnsi" w:eastAsiaTheme="minorEastAsia" w:hAnsiTheme="minorHAnsi" w:cstheme="minorBidi"/>
          <w:i/>
          <w:iCs/>
          <w:color w:val="0E2841" w:themeColor="text2"/>
          <w:sz w:val="22"/>
          <w:szCs w:val="22"/>
          <w:lang w:val="en-US"/>
        </w:rPr>
      </w:pPr>
    </w:p>
    <w:tbl>
      <w:tblPr>
        <w:tblStyle w:val="Grigliatabella"/>
        <w:tblW w:w="9739" w:type="dxa"/>
        <w:tblLook w:val="04A0" w:firstRow="1" w:lastRow="0" w:firstColumn="1" w:lastColumn="0" w:noHBand="0" w:noVBand="1"/>
      </w:tblPr>
      <w:tblGrid>
        <w:gridCol w:w="2339"/>
        <w:gridCol w:w="1242"/>
        <w:gridCol w:w="1019"/>
        <w:gridCol w:w="1000"/>
        <w:gridCol w:w="1335"/>
        <w:gridCol w:w="1112"/>
        <w:gridCol w:w="1146"/>
        <w:gridCol w:w="778"/>
      </w:tblGrid>
      <w:tr w:rsidR="003459D3" w:rsidRPr="00DC23D3" w14:paraId="5DDCD29C" w14:textId="77777777" w:rsidTr="00540B08">
        <w:trPr>
          <w:trHeight w:val="287"/>
        </w:trPr>
        <w:tc>
          <w:tcPr>
            <w:tcW w:w="2339" w:type="dxa"/>
            <w:noWrap/>
            <w:hideMark/>
          </w:tcPr>
          <w:p w14:paraId="7FD89107" w14:textId="77777777" w:rsidR="003459D3" w:rsidRPr="00DC23D3" w:rsidRDefault="003459D3" w:rsidP="00540B08">
            <w:pPr>
              <w:rPr>
                <w:lang w:val="en-US"/>
              </w:rPr>
            </w:pPr>
          </w:p>
        </w:tc>
        <w:tc>
          <w:tcPr>
            <w:tcW w:w="1125" w:type="dxa"/>
            <w:noWrap/>
            <w:hideMark/>
          </w:tcPr>
          <w:p w14:paraId="3240B480" w14:textId="77777777" w:rsidR="003459D3" w:rsidRPr="00DC23D3" w:rsidRDefault="003459D3" w:rsidP="00540B0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  <w:noWrap/>
            <w:hideMark/>
          </w:tcPr>
          <w:p w14:paraId="77596F2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1432AF93">
              <w:rPr>
                <w:rFonts w:ascii="Aptos Narrow" w:hAnsi="Aptos Narrow"/>
                <w:b/>
                <w:bCs/>
                <w:color w:val="000000" w:themeColor="text1"/>
              </w:rPr>
              <w:t>Anterior wall</w:t>
            </w:r>
          </w:p>
        </w:tc>
        <w:tc>
          <w:tcPr>
            <w:tcW w:w="1000" w:type="dxa"/>
            <w:noWrap/>
            <w:hideMark/>
          </w:tcPr>
          <w:p w14:paraId="3D0B525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1432AF93">
              <w:rPr>
                <w:rFonts w:ascii="Aptos Narrow" w:hAnsi="Aptos Narrow"/>
                <w:b/>
                <w:bCs/>
                <w:color w:val="000000" w:themeColor="text1"/>
              </w:rPr>
              <w:t>Left wall</w:t>
            </w:r>
          </w:p>
        </w:tc>
        <w:tc>
          <w:tcPr>
            <w:tcW w:w="1335" w:type="dxa"/>
            <w:noWrap/>
            <w:hideMark/>
          </w:tcPr>
          <w:p w14:paraId="7663900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1432AF93">
              <w:rPr>
                <w:rFonts w:ascii="Aptos Narrow" w:hAnsi="Aptos Narrow"/>
                <w:b/>
                <w:bCs/>
                <w:color w:val="000000" w:themeColor="text1"/>
              </w:rPr>
              <w:t>Posterior wall</w:t>
            </w:r>
          </w:p>
        </w:tc>
        <w:tc>
          <w:tcPr>
            <w:tcW w:w="1112" w:type="dxa"/>
            <w:noWrap/>
            <w:hideMark/>
          </w:tcPr>
          <w:p w14:paraId="6499390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1432AF93">
              <w:rPr>
                <w:rFonts w:ascii="Aptos Narrow" w:hAnsi="Aptos Narrow"/>
                <w:b/>
                <w:bCs/>
                <w:color w:val="000000" w:themeColor="text1"/>
              </w:rPr>
              <w:t>Right wall</w:t>
            </w:r>
          </w:p>
        </w:tc>
        <w:tc>
          <w:tcPr>
            <w:tcW w:w="1033" w:type="dxa"/>
            <w:noWrap/>
            <w:hideMark/>
          </w:tcPr>
          <w:p w14:paraId="652CBAB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1432AF93">
              <w:rPr>
                <w:rFonts w:ascii="Aptos Narrow" w:hAnsi="Aptos Narrow"/>
                <w:b/>
                <w:bCs/>
                <w:color w:val="000000" w:themeColor="text1"/>
              </w:rPr>
              <w:t>Trigonum</w:t>
            </w:r>
          </w:p>
        </w:tc>
        <w:tc>
          <w:tcPr>
            <w:tcW w:w="778" w:type="dxa"/>
            <w:noWrap/>
            <w:hideMark/>
          </w:tcPr>
          <w:p w14:paraId="000513F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1432AF93">
              <w:rPr>
                <w:rFonts w:ascii="Aptos Narrow" w:hAnsi="Aptos Narrow"/>
                <w:b/>
                <w:bCs/>
                <w:color w:val="000000" w:themeColor="text1"/>
              </w:rPr>
              <w:t>p-value</w:t>
            </w:r>
          </w:p>
        </w:tc>
      </w:tr>
      <w:tr w:rsidR="003459D3" w:rsidRPr="00DC23D3" w14:paraId="55B09031" w14:textId="77777777" w:rsidTr="00540B08">
        <w:trPr>
          <w:trHeight w:val="287"/>
        </w:trPr>
        <w:tc>
          <w:tcPr>
            <w:tcW w:w="3464" w:type="dxa"/>
            <w:gridSpan w:val="2"/>
            <w:noWrap/>
            <w:hideMark/>
          </w:tcPr>
          <w:p w14:paraId="7B88949E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Number of patients</w:t>
            </w:r>
            <w:r>
              <w:rPr>
                <w:rFonts w:ascii="Aptos Narrow" w:hAnsi="Aptos Narrow"/>
                <w:color w:val="000000"/>
              </w:rPr>
              <w:t xml:space="preserve"> (N)</w:t>
            </w:r>
          </w:p>
        </w:tc>
        <w:tc>
          <w:tcPr>
            <w:tcW w:w="1017" w:type="dxa"/>
            <w:noWrap/>
            <w:hideMark/>
          </w:tcPr>
          <w:p w14:paraId="41BA795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N=</w:t>
            </w:r>
            <w:r w:rsidRPr="00DC23D3"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1000" w:type="dxa"/>
            <w:noWrap/>
            <w:hideMark/>
          </w:tcPr>
          <w:p w14:paraId="29CD054C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N=</w:t>
            </w:r>
            <w:r w:rsidRPr="00DC23D3">
              <w:rPr>
                <w:rFonts w:ascii="Aptos Narrow" w:hAnsi="Aptos Narrow"/>
                <w:color w:val="000000"/>
              </w:rPr>
              <w:t>65</w:t>
            </w:r>
          </w:p>
        </w:tc>
        <w:tc>
          <w:tcPr>
            <w:tcW w:w="1335" w:type="dxa"/>
            <w:noWrap/>
            <w:hideMark/>
          </w:tcPr>
          <w:p w14:paraId="39510B8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N=</w:t>
            </w:r>
            <w:r w:rsidRPr="00DC23D3">
              <w:rPr>
                <w:rFonts w:ascii="Aptos Narrow" w:hAnsi="Aptos Narrow"/>
                <w:color w:val="000000"/>
              </w:rPr>
              <w:t>31</w:t>
            </w:r>
          </w:p>
        </w:tc>
        <w:tc>
          <w:tcPr>
            <w:tcW w:w="1112" w:type="dxa"/>
            <w:noWrap/>
            <w:hideMark/>
          </w:tcPr>
          <w:p w14:paraId="7534087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N=</w:t>
            </w:r>
            <w:r w:rsidRPr="00DC23D3">
              <w:rPr>
                <w:rFonts w:ascii="Aptos Narrow" w:hAnsi="Aptos Narrow"/>
                <w:color w:val="000000"/>
              </w:rPr>
              <w:t>50</w:t>
            </w:r>
          </w:p>
        </w:tc>
        <w:tc>
          <w:tcPr>
            <w:tcW w:w="1033" w:type="dxa"/>
            <w:noWrap/>
            <w:hideMark/>
          </w:tcPr>
          <w:p w14:paraId="6836AA6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N=33</w:t>
            </w:r>
          </w:p>
        </w:tc>
        <w:tc>
          <w:tcPr>
            <w:tcW w:w="778" w:type="dxa"/>
            <w:noWrap/>
            <w:hideMark/>
          </w:tcPr>
          <w:p w14:paraId="143523F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62C02209" w14:textId="77777777" w:rsidTr="00540B08">
        <w:trPr>
          <w:trHeight w:val="287"/>
        </w:trPr>
        <w:tc>
          <w:tcPr>
            <w:tcW w:w="3464" w:type="dxa"/>
            <w:gridSpan w:val="2"/>
            <w:noWrap/>
            <w:hideMark/>
          </w:tcPr>
          <w:p w14:paraId="7198981E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Operative time (median,IQR)</w:t>
            </w:r>
          </w:p>
        </w:tc>
        <w:tc>
          <w:tcPr>
            <w:tcW w:w="1017" w:type="dxa"/>
            <w:noWrap/>
            <w:hideMark/>
          </w:tcPr>
          <w:p w14:paraId="06109B75" w14:textId="77777777" w:rsidR="003459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 xml:space="preserve">30 </w:t>
            </w:r>
          </w:p>
          <w:p w14:paraId="462881D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(20-36)</w:t>
            </w:r>
          </w:p>
        </w:tc>
        <w:tc>
          <w:tcPr>
            <w:tcW w:w="1000" w:type="dxa"/>
            <w:noWrap/>
            <w:hideMark/>
          </w:tcPr>
          <w:p w14:paraId="1B09E0A3" w14:textId="77777777" w:rsidR="003459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 xml:space="preserve">26 </w:t>
            </w:r>
          </w:p>
          <w:p w14:paraId="64FB844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(20-40)</w:t>
            </w:r>
          </w:p>
        </w:tc>
        <w:tc>
          <w:tcPr>
            <w:tcW w:w="1335" w:type="dxa"/>
            <w:noWrap/>
            <w:hideMark/>
          </w:tcPr>
          <w:p w14:paraId="200ED1C4" w14:textId="77777777" w:rsidR="003459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 xml:space="preserve">30 </w:t>
            </w:r>
          </w:p>
          <w:p w14:paraId="73921F9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(20-45)</w:t>
            </w:r>
          </w:p>
        </w:tc>
        <w:tc>
          <w:tcPr>
            <w:tcW w:w="1112" w:type="dxa"/>
            <w:noWrap/>
            <w:hideMark/>
          </w:tcPr>
          <w:p w14:paraId="47D310CA" w14:textId="77777777" w:rsidR="003459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 xml:space="preserve">24.5 </w:t>
            </w:r>
          </w:p>
          <w:p w14:paraId="0737F7E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(15-30)</w:t>
            </w:r>
          </w:p>
        </w:tc>
        <w:tc>
          <w:tcPr>
            <w:tcW w:w="1033" w:type="dxa"/>
            <w:noWrap/>
            <w:hideMark/>
          </w:tcPr>
          <w:p w14:paraId="092EA061" w14:textId="77777777" w:rsidR="003459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 xml:space="preserve">29 </w:t>
            </w:r>
          </w:p>
          <w:p w14:paraId="5CCB70F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(20-38)</w:t>
            </w:r>
          </w:p>
        </w:tc>
        <w:tc>
          <w:tcPr>
            <w:tcW w:w="778" w:type="dxa"/>
            <w:noWrap/>
            <w:hideMark/>
          </w:tcPr>
          <w:p w14:paraId="03B8C73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</w:t>
            </w:r>
            <w:r>
              <w:rPr>
                <w:rFonts w:ascii="Aptos Narrow" w:hAnsi="Aptos Narrow"/>
                <w:color w:val="000000"/>
              </w:rPr>
              <w:t>4</w:t>
            </w:r>
          </w:p>
        </w:tc>
      </w:tr>
      <w:tr w:rsidR="003459D3" w:rsidRPr="00DC23D3" w14:paraId="18FA427D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7FE699EB" w14:textId="77777777" w:rsidR="003459D3" w:rsidRPr="00DC23D3" w:rsidRDefault="003459D3" w:rsidP="00540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0D0E">
              <w:rPr>
                <w:rFonts w:ascii="Aptos Narrow" w:hAnsi="Aptos Narrow"/>
                <w:color w:val="000000"/>
              </w:rPr>
              <w:t>Irrigation, n (%)</w:t>
            </w:r>
          </w:p>
        </w:tc>
        <w:tc>
          <w:tcPr>
            <w:tcW w:w="1125" w:type="dxa"/>
            <w:noWrap/>
            <w:hideMark/>
          </w:tcPr>
          <w:p w14:paraId="4CABC6BB" w14:textId="77777777" w:rsidR="003459D3" w:rsidRPr="00DC23D3" w:rsidRDefault="003459D3" w:rsidP="00540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23D3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74F3BF3C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 (22%)</w:t>
            </w:r>
          </w:p>
        </w:tc>
        <w:tc>
          <w:tcPr>
            <w:tcW w:w="1000" w:type="dxa"/>
            <w:noWrap/>
            <w:hideMark/>
          </w:tcPr>
          <w:p w14:paraId="45FC4FB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27 (42%)</w:t>
            </w:r>
          </w:p>
        </w:tc>
        <w:tc>
          <w:tcPr>
            <w:tcW w:w="1335" w:type="dxa"/>
            <w:noWrap/>
            <w:hideMark/>
          </w:tcPr>
          <w:p w14:paraId="7B8A0C8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16 (53%)</w:t>
            </w:r>
          </w:p>
        </w:tc>
        <w:tc>
          <w:tcPr>
            <w:tcW w:w="1112" w:type="dxa"/>
            <w:noWrap/>
            <w:hideMark/>
          </w:tcPr>
          <w:p w14:paraId="7A10292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23 (46%)</w:t>
            </w:r>
          </w:p>
        </w:tc>
        <w:tc>
          <w:tcPr>
            <w:tcW w:w="1033" w:type="dxa"/>
            <w:noWrap/>
            <w:hideMark/>
          </w:tcPr>
          <w:p w14:paraId="5906C1C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5 (15%)</w:t>
            </w:r>
          </w:p>
        </w:tc>
        <w:tc>
          <w:tcPr>
            <w:tcW w:w="778" w:type="dxa"/>
            <w:vMerge w:val="restart"/>
            <w:noWrap/>
            <w:hideMark/>
          </w:tcPr>
          <w:p w14:paraId="7344298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0.010</w:t>
            </w:r>
          </w:p>
        </w:tc>
      </w:tr>
      <w:tr w:rsidR="003459D3" w:rsidRPr="00DC23D3" w14:paraId="7FBA97B3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53D58775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41BA695F" w14:textId="77777777" w:rsidR="003459D3" w:rsidRPr="00DC23D3" w:rsidRDefault="003459D3" w:rsidP="00540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23D3">
              <w:rPr>
                <w:rFonts w:ascii="Calibri" w:hAnsi="Calibr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17" w:type="dxa"/>
            <w:noWrap/>
            <w:hideMark/>
          </w:tcPr>
          <w:p w14:paraId="2769417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7 (78%)</w:t>
            </w:r>
          </w:p>
        </w:tc>
        <w:tc>
          <w:tcPr>
            <w:tcW w:w="1000" w:type="dxa"/>
            <w:noWrap/>
            <w:hideMark/>
          </w:tcPr>
          <w:p w14:paraId="0C0272C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38 (58%)</w:t>
            </w:r>
          </w:p>
        </w:tc>
        <w:tc>
          <w:tcPr>
            <w:tcW w:w="1335" w:type="dxa"/>
            <w:noWrap/>
            <w:hideMark/>
          </w:tcPr>
          <w:p w14:paraId="54F9839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14 (47%)</w:t>
            </w:r>
          </w:p>
        </w:tc>
        <w:tc>
          <w:tcPr>
            <w:tcW w:w="1112" w:type="dxa"/>
            <w:noWrap/>
            <w:hideMark/>
          </w:tcPr>
          <w:p w14:paraId="033964F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27 (54%)</w:t>
            </w:r>
          </w:p>
        </w:tc>
        <w:tc>
          <w:tcPr>
            <w:tcW w:w="1033" w:type="dxa"/>
            <w:noWrap/>
            <w:hideMark/>
          </w:tcPr>
          <w:p w14:paraId="4BE3F56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28 (85%)</w:t>
            </w:r>
          </w:p>
        </w:tc>
        <w:tc>
          <w:tcPr>
            <w:tcW w:w="778" w:type="dxa"/>
            <w:vMerge/>
            <w:noWrap/>
            <w:hideMark/>
          </w:tcPr>
          <w:p w14:paraId="034B6DA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0DD6F382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345AADC9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Early  instillation</w:t>
            </w:r>
            <w:r w:rsidRPr="4F135F76">
              <w:rPr>
                <w:rFonts w:ascii="Aptos Narrow" w:hAnsi="Aptos Narrow"/>
                <w:color w:val="000000" w:themeColor="text1"/>
                <w:vertAlign w:val="superscript"/>
              </w:rPr>
              <w:t>1</w:t>
            </w:r>
            <w:r w:rsidRPr="4F135F76">
              <w:rPr>
                <w:rFonts w:ascii="Aptos Narrow" w:hAnsi="Aptos Narrow"/>
                <w:color w:val="000000" w:themeColor="text1"/>
              </w:rPr>
              <w:t>, n (%)</w:t>
            </w:r>
          </w:p>
        </w:tc>
        <w:tc>
          <w:tcPr>
            <w:tcW w:w="1125" w:type="dxa"/>
            <w:noWrap/>
            <w:hideMark/>
          </w:tcPr>
          <w:p w14:paraId="15C9B6E3" w14:textId="77777777" w:rsidR="003459D3" w:rsidRPr="00DC23D3" w:rsidRDefault="003459D3" w:rsidP="00540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23D3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7679E52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7 (78%)</w:t>
            </w:r>
          </w:p>
        </w:tc>
        <w:tc>
          <w:tcPr>
            <w:tcW w:w="1000" w:type="dxa"/>
            <w:noWrap/>
            <w:hideMark/>
          </w:tcPr>
          <w:p w14:paraId="3D58D5F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25 (38%)</w:t>
            </w:r>
          </w:p>
        </w:tc>
        <w:tc>
          <w:tcPr>
            <w:tcW w:w="1335" w:type="dxa"/>
            <w:noWrap/>
            <w:hideMark/>
          </w:tcPr>
          <w:p w14:paraId="14156BF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15 (50%)</w:t>
            </w:r>
          </w:p>
        </w:tc>
        <w:tc>
          <w:tcPr>
            <w:tcW w:w="1112" w:type="dxa"/>
            <w:noWrap/>
            <w:hideMark/>
          </w:tcPr>
          <w:p w14:paraId="14DC2A5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25 (50%)</w:t>
            </w:r>
          </w:p>
        </w:tc>
        <w:tc>
          <w:tcPr>
            <w:tcW w:w="1033" w:type="dxa"/>
            <w:noWrap/>
            <w:hideMark/>
          </w:tcPr>
          <w:p w14:paraId="5D51213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21 (65%)</w:t>
            </w:r>
          </w:p>
        </w:tc>
        <w:tc>
          <w:tcPr>
            <w:tcW w:w="778" w:type="dxa"/>
            <w:vMerge w:val="restart"/>
            <w:noWrap/>
            <w:hideMark/>
          </w:tcPr>
          <w:p w14:paraId="0C755F5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0.0</w:t>
            </w:r>
            <w:r>
              <w:rPr>
                <w:rFonts w:ascii="Aptos Narrow" w:hAnsi="Aptos Narrow"/>
                <w:color w:val="000000"/>
              </w:rPr>
              <w:t>6</w:t>
            </w:r>
          </w:p>
        </w:tc>
      </w:tr>
      <w:tr w:rsidR="003459D3" w:rsidRPr="00DC23D3" w14:paraId="1471C910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0A487B7A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19B5A21B" w14:textId="77777777" w:rsidR="003459D3" w:rsidRPr="00DC23D3" w:rsidRDefault="003459D3" w:rsidP="00540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23D3">
              <w:rPr>
                <w:rFonts w:ascii="Calibri" w:hAnsi="Calibr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17" w:type="dxa"/>
            <w:noWrap/>
            <w:hideMark/>
          </w:tcPr>
          <w:p w14:paraId="6818B4C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 (22%)</w:t>
            </w:r>
          </w:p>
        </w:tc>
        <w:tc>
          <w:tcPr>
            <w:tcW w:w="1000" w:type="dxa"/>
            <w:noWrap/>
            <w:hideMark/>
          </w:tcPr>
          <w:p w14:paraId="16DC47B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40 (62%)</w:t>
            </w:r>
          </w:p>
        </w:tc>
        <w:tc>
          <w:tcPr>
            <w:tcW w:w="1335" w:type="dxa"/>
            <w:noWrap/>
            <w:hideMark/>
          </w:tcPr>
          <w:p w14:paraId="1BB89A1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15 (50%)</w:t>
            </w:r>
          </w:p>
        </w:tc>
        <w:tc>
          <w:tcPr>
            <w:tcW w:w="1112" w:type="dxa"/>
            <w:noWrap/>
            <w:hideMark/>
          </w:tcPr>
          <w:p w14:paraId="13FB3C7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25 (50%)</w:t>
            </w:r>
          </w:p>
        </w:tc>
        <w:tc>
          <w:tcPr>
            <w:tcW w:w="1033" w:type="dxa"/>
            <w:noWrap/>
            <w:hideMark/>
          </w:tcPr>
          <w:p w14:paraId="284A92B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12 (35%)</w:t>
            </w:r>
          </w:p>
        </w:tc>
        <w:tc>
          <w:tcPr>
            <w:tcW w:w="778" w:type="dxa"/>
            <w:vMerge/>
            <w:noWrap/>
            <w:hideMark/>
          </w:tcPr>
          <w:p w14:paraId="4FEB644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0B6F8E1B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6C3B2E2C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Concomitant CIS, n (%)</w:t>
            </w:r>
          </w:p>
        </w:tc>
        <w:tc>
          <w:tcPr>
            <w:tcW w:w="1125" w:type="dxa"/>
            <w:noWrap/>
            <w:hideMark/>
          </w:tcPr>
          <w:p w14:paraId="35673323" w14:textId="77777777" w:rsidR="003459D3" w:rsidRPr="00DC23D3" w:rsidRDefault="003459D3" w:rsidP="00540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23D3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5321A7CC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9 (100%)</w:t>
            </w:r>
          </w:p>
        </w:tc>
        <w:tc>
          <w:tcPr>
            <w:tcW w:w="1000" w:type="dxa"/>
            <w:noWrap/>
            <w:hideMark/>
          </w:tcPr>
          <w:p w14:paraId="4D2F0E0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62 (95%)</w:t>
            </w:r>
          </w:p>
        </w:tc>
        <w:tc>
          <w:tcPr>
            <w:tcW w:w="1335" w:type="dxa"/>
            <w:noWrap/>
            <w:hideMark/>
          </w:tcPr>
          <w:p w14:paraId="213A295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26 (87%)</w:t>
            </w:r>
          </w:p>
        </w:tc>
        <w:tc>
          <w:tcPr>
            <w:tcW w:w="1112" w:type="dxa"/>
            <w:noWrap/>
            <w:hideMark/>
          </w:tcPr>
          <w:p w14:paraId="4F50BFA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49 (98%)</w:t>
            </w:r>
          </w:p>
        </w:tc>
        <w:tc>
          <w:tcPr>
            <w:tcW w:w="1033" w:type="dxa"/>
            <w:noWrap/>
            <w:hideMark/>
          </w:tcPr>
          <w:p w14:paraId="67D63E3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32 (97%)</w:t>
            </w:r>
          </w:p>
        </w:tc>
        <w:tc>
          <w:tcPr>
            <w:tcW w:w="778" w:type="dxa"/>
            <w:vMerge w:val="restart"/>
            <w:noWrap/>
            <w:hideMark/>
          </w:tcPr>
          <w:p w14:paraId="211DB32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0.1</w:t>
            </w:r>
            <w:r>
              <w:rPr>
                <w:rFonts w:ascii="Aptos Narrow" w:hAnsi="Aptos Narrow"/>
                <w:color w:val="000000"/>
              </w:rPr>
              <w:t>8</w:t>
            </w:r>
          </w:p>
        </w:tc>
      </w:tr>
      <w:tr w:rsidR="003459D3" w:rsidRPr="00DC23D3" w14:paraId="057172B9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51AB6398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3718AA7E" w14:textId="77777777" w:rsidR="003459D3" w:rsidRPr="00DC23D3" w:rsidRDefault="003459D3" w:rsidP="00540B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23D3">
              <w:rPr>
                <w:rFonts w:ascii="Calibri" w:hAnsi="Calibr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17" w:type="dxa"/>
            <w:noWrap/>
            <w:hideMark/>
          </w:tcPr>
          <w:p w14:paraId="4851694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00" w:type="dxa"/>
            <w:noWrap/>
            <w:hideMark/>
          </w:tcPr>
          <w:p w14:paraId="7641C4C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(5%)</w:t>
            </w:r>
          </w:p>
        </w:tc>
        <w:tc>
          <w:tcPr>
            <w:tcW w:w="1335" w:type="dxa"/>
            <w:noWrap/>
            <w:hideMark/>
          </w:tcPr>
          <w:p w14:paraId="5425FDC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 (13%)</w:t>
            </w:r>
          </w:p>
        </w:tc>
        <w:tc>
          <w:tcPr>
            <w:tcW w:w="1112" w:type="dxa"/>
            <w:noWrap/>
            <w:hideMark/>
          </w:tcPr>
          <w:p w14:paraId="508570B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(2%)</w:t>
            </w:r>
          </w:p>
        </w:tc>
        <w:tc>
          <w:tcPr>
            <w:tcW w:w="1033" w:type="dxa"/>
            <w:noWrap/>
            <w:hideMark/>
          </w:tcPr>
          <w:p w14:paraId="2A4209E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(3%)</w:t>
            </w:r>
          </w:p>
        </w:tc>
        <w:tc>
          <w:tcPr>
            <w:tcW w:w="778" w:type="dxa"/>
            <w:vMerge/>
            <w:noWrap/>
            <w:hideMark/>
          </w:tcPr>
          <w:p w14:paraId="4281B7B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248AE713" w14:textId="77777777" w:rsidTr="00540B08">
        <w:trPr>
          <w:trHeight w:val="287"/>
        </w:trPr>
        <w:tc>
          <w:tcPr>
            <w:tcW w:w="3464" w:type="dxa"/>
            <w:gridSpan w:val="2"/>
            <w:noWrap/>
            <w:hideMark/>
          </w:tcPr>
          <w:p w14:paraId="6C4AE01F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T1 substage feasibility, n (%)</w:t>
            </w:r>
          </w:p>
        </w:tc>
        <w:tc>
          <w:tcPr>
            <w:tcW w:w="1017" w:type="dxa"/>
            <w:noWrap/>
            <w:hideMark/>
          </w:tcPr>
          <w:p w14:paraId="0F84F8F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(11%)</w:t>
            </w:r>
          </w:p>
        </w:tc>
        <w:tc>
          <w:tcPr>
            <w:tcW w:w="1000" w:type="dxa"/>
            <w:noWrap/>
            <w:hideMark/>
          </w:tcPr>
          <w:p w14:paraId="7B4F6D7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17 (26%)</w:t>
            </w:r>
          </w:p>
        </w:tc>
        <w:tc>
          <w:tcPr>
            <w:tcW w:w="1335" w:type="dxa"/>
            <w:noWrap/>
            <w:hideMark/>
          </w:tcPr>
          <w:p w14:paraId="31289E9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5 (17%)</w:t>
            </w:r>
          </w:p>
        </w:tc>
        <w:tc>
          <w:tcPr>
            <w:tcW w:w="1112" w:type="dxa"/>
            <w:noWrap/>
            <w:hideMark/>
          </w:tcPr>
          <w:p w14:paraId="7E57FD0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8 (16%)</w:t>
            </w:r>
          </w:p>
        </w:tc>
        <w:tc>
          <w:tcPr>
            <w:tcW w:w="1033" w:type="dxa"/>
            <w:noWrap/>
            <w:hideMark/>
          </w:tcPr>
          <w:p w14:paraId="1094273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(9%)</w:t>
            </w:r>
          </w:p>
        </w:tc>
        <w:tc>
          <w:tcPr>
            <w:tcW w:w="778" w:type="dxa"/>
            <w:noWrap/>
            <w:hideMark/>
          </w:tcPr>
          <w:p w14:paraId="1EB1C2C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0.0</w:t>
            </w:r>
            <w:r>
              <w:rPr>
                <w:rFonts w:ascii="Aptos Narrow" w:hAnsi="Aptos Narrow"/>
                <w:color w:val="000000"/>
              </w:rPr>
              <w:t>9</w:t>
            </w:r>
          </w:p>
        </w:tc>
      </w:tr>
      <w:tr w:rsidR="003459D3" w:rsidRPr="00DC23D3" w14:paraId="3B2B8710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7FCF8B01" w14:textId="77777777" w:rsidR="003459D3" w:rsidRPr="00DC23D3" w:rsidRDefault="003459D3" w:rsidP="00540B08">
            <w:pPr>
              <w:rPr>
                <w:rFonts w:ascii="Aptos Narrow" w:hAnsi="Aptos Narrow"/>
                <w:color w:val="000000" w:themeColor="text1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NMIBC, n (%)</w:t>
            </w:r>
          </w:p>
          <w:p w14:paraId="5814B407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2D4B4464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HG</w:t>
            </w:r>
          </w:p>
        </w:tc>
        <w:tc>
          <w:tcPr>
            <w:tcW w:w="1017" w:type="dxa"/>
            <w:noWrap/>
            <w:hideMark/>
          </w:tcPr>
          <w:p w14:paraId="3B8B6D9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 (44%)</w:t>
            </w:r>
          </w:p>
        </w:tc>
        <w:tc>
          <w:tcPr>
            <w:tcW w:w="1000" w:type="dxa"/>
            <w:noWrap/>
            <w:hideMark/>
          </w:tcPr>
          <w:p w14:paraId="6EF9369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19 (29%)</w:t>
            </w:r>
          </w:p>
        </w:tc>
        <w:tc>
          <w:tcPr>
            <w:tcW w:w="1335" w:type="dxa"/>
            <w:noWrap/>
            <w:hideMark/>
          </w:tcPr>
          <w:p w14:paraId="69AF2F4A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9 (30%)</w:t>
            </w:r>
          </w:p>
        </w:tc>
        <w:tc>
          <w:tcPr>
            <w:tcW w:w="1112" w:type="dxa"/>
            <w:noWrap/>
            <w:hideMark/>
          </w:tcPr>
          <w:p w14:paraId="00B6293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15 (30%)</w:t>
            </w:r>
          </w:p>
        </w:tc>
        <w:tc>
          <w:tcPr>
            <w:tcW w:w="1033" w:type="dxa"/>
            <w:noWrap/>
            <w:hideMark/>
          </w:tcPr>
          <w:p w14:paraId="6756E13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6 (20%)</w:t>
            </w:r>
          </w:p>
        </w:tc>
        <w:tc>
          <w:tcPr>
            <w:tcW w:w="778" w:type="dxa"/>
            <w:vMerge w:val="restart"/>
            <w:noWrap/>
            <w:hideMark/>
          </w:tcPr>
          <w:p w14:paraId="0B0ADF7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0.25</w:t>
            </w:r>
          </w:p>
        </w:tc>
      </w:tr>
      <w:tr w:rsidR="003459D3" w:rsidRPr="00DC23D3" w14:paraId="4B790240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0FE93872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012739C5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LG</w:t>
            </w:r>
          </w:p>
        </w:tc>
        <w:tc>
          <w:tcPr>
            <w:tcW w:w="1017" w:type="dxa"/>
            <w:noWrap/>
            <w:hideMark/>
          </w:tcPr>
          <w:p w14:paraId="58DFF19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5 (55%)</w:t>
            </w:r>
          </w:p>
        </w:tc>
        <w:tc>
          <w:tcPr>
            <w:tcW w:w="1000" w:type="dxa"/>
            <w:noWrap/>
            <w:hideMark/>
          </w:tcPr>
          <w:p w14:paraId="2243079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46 (71%)</w:t>
            </w:r>
          </w:p>
        </w:tc>
        <w:tc>
          <w:tcPr>
            <w:tcW w:w="1335" w:type="dxa"/>
            <w:noWrap/>
            <w:hideMark/>
          </w:tcPr>
          <w:p w14:paraId="00870ED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17 (56%)</w:t>
            </w:r>
          </w:p>
        </w:tc>
        <w:tc>
          <w:tcPr>
            <w:tcW w:w="1112" w:type="dxa"/>
            <w:noWrap/>
            <w:hideMark/>
          </w:tcPr>
          <w:p w14:paraId="5850FF8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29 (58%)</w:t>
            </w:r>
          </w:p>
        </w:tc>
        <w:tc>
          <w:tcPr>
            <w:tcW w:w="1033" w:type="dxa"/>
            <w:noWrap/>
            <w:hideMark/>
          </w:tcPr>
          <w:p w14:paraId="3668E64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23 (68%)</w:t>
            </w:r>
          </w:p>
        </w:tc>
        <w:tc>
          <w:tcPr>
            <w:tcW w:w="778" w:type="dxa"/>
            <w:vMerge/>
            <w:noWrap/>
            <w:hideMark/>
          </w:tcPr>
          <w:p w14:paraId="7157AC4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7D9B4372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7C581EA6" w14:textId="77777777" w:rsidR="003459D3" w:rsidRPr="00DC23D3" w:rsidRDefault="003459D3" w:rsidP="00540B08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noWrap/>
            <w:hideMark/>
          </w:tcPr>
          <w:p w14:paraId="5B9CB87E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Missing</w:t>
            </w:r>
          </w:p>
        </w:tc>
        <w:tc>
          <w:tcPr>
            <w:tcW w:w="1017" w:type="dxa"/>
            <w:noWrap/>
            <w:hideMark/>
          </w:tcPr>
          <w:p w14:paraId="265EB31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00" w:type="dxa"/>
            <w:noWrap/>
            <w:hideMark/>
          </w:tcPr>
          <w:p w14:paraId="1A09096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335" w:type="dxa"/>
            <w:noWrap/>
            <w:hideMark/>
          </w:tcPr>
          <w:p w14:paraId="67BA163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 (13%)</w:t>
            </w:r>
          </w:p>
        </w:tc>
        <w:tc>
          <w:tcPr>
            <w:tcW w:w="1112" w:type="dxa"/>
            <w:noWrap/>
            <w:hideMark/>
          </w:tcPr>
          <w:p w14:paraId="68F35AD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6 (12%)</w:t>
            </w:r>
          </w:p>
        </w:tc>
        <w:tc>
          <w:tcPr>
            <w:tcW w:w="1033" w:type="dxa"/>
            <w:noWrap/>
            <w:hideMark/>
          </w:tcPr>
          <w:p w14:paraId="5AF053DA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 (12%)</w:t>
            </w:r>
          </w:p>
        </w:tc>
        <w:tc>
          <w:tcPr>
            <w:tcW w:w="778" w:type="dxa"/>
            <w:vMerge/>
            <w:noWrap/>
            <w:hideMark/>
          </w:tcPr>
          <w:p w14:paraId="50CDAE0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720DC8B1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48776FFD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Conversion to cTURBT, n (%)</w:t>
            </w:r>
          </w:p>
        </w:tc>
        <w:tc>
          <w:tcPr>
            <w:tcW w:w="1125" w:type="dxa"/>
            <w:noWrap/>
            <w:hideMark/>
          </w:tcPr>
          <w:p w14:paraId="29101541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690C180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8 (89%)</w:t>
            </w:r>
          </w:p>
        </w:tc>
        <w:tc>
          <w:tcPr>
            <w:tcW w:w="1000" w:type="dxa"/>
            <w:noWrap/>
            <w:hideMark/>
          </w:tcPr>
          <w:p w14:paraId="1001E3D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62 (95%)</w:t>
            </w:r>
          </w:p>
        </w:tc>
        <w:tc>
          <w:tcPr>
            <w:tcW w:w="1335" w:type="dxa"/>
            <w:noWrap/>
            <w:hideMark/>
          </w:tcPr>
          <w:p w14:paraId="338D694C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29 (97%)</w:t>
            </w:r>
          </w:p>
        </w:tc>
        <w:tc>
          <w:tcPr>
            <w:tcW w:w="1112" w:type="dxa"/>
            <w:noWrap/>
            <w:hideMark/>
          </w:tcPr>
          <w:p w14:paraId="530D4E1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50 (100%)</w:t>
            </w:r>
          </w:p>
        </w:tc>
        <w:tc>
          <w:tcPr>
            <w:tcW w:w="1033" w:type="dxa"/>
            <w:noWrap/>
            <w:hideMark/>
          </w:tcPr>
          <w:p w14:paraId="4078CAA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32 (97%)</w:t>
            </w:r>
          </w:p>
        </w:tc>
        <w:tc>
          <w:tcPr>
            <w:tcW w:w="778" w:type="dxa"/>
            <w:vMerge w:val="restart"/>
            <w:noWrap/>
            <w:hideMark/>
          </w:tcPr>
          <w:p w14:paraId="75023DE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0.4</w:t>
            </w:r>
          </w:p>
        </w:tc>
      </w:tr>
      <w:tr w:rsidR="003459D3" w:rsidRPr="00DC23D3" w14:paraId="15BF69CC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15D91F38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458F76FE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1017" w:type="dxa"/>
            <w:noWrap/>
            <w:hideMark/>
          </w:tcPr>
          <w:p w14:paraId="2BD4CB5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(11%)</w:t>
            </w:r>
          </w:p>
        </w:tc>
        <w:tc>
          <w:tcPr>
            <w:tcW w:w="1000" w:type="dxa"/>
            <w:noWrap/>
            <w:hideMark/>
          </w:tcPr>
          <w:p w14:paraId="1D896CA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(5%)</w:t>
            </w:r>
          </w:p>
        </w:tc>
        <w:tc>
          <w:tcPr>
            <w:tcW w:w="1335" w:type="dxa"/>
            <w:noWrap/>
            <w:hideMark/>
          </w:tcPr>
          <w:p w14:paraId="3C19DDF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(3%)</w:t>
            </w:r>
          </w:p>
        </w:tc>
        <w:tc>
          <w:tcPr>
            <w:tcW w:w="1112" w:type="dxa"/>
            <w:noWrap/>
            <w:hideMark/>
          </w:tcPr>
          <w:p w14:paraId="476444E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33" w:type="dxa"/>
            <w:noWrap/>
            <w:hideMark/>
          </w:tcPr>
          <w:p w14:paraId="6CB3863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(3%)</w:t>
            </w:r>
          </w:p>
        </w:tc>
        <w:tc>
          <w:tcPr>
            <w:tcW w:w="778" w:type="dxa"/>
            <w:vMerge/>
            <w:noWrap/>
            <w:hideMark/>
          </w:tcPr>
          <w:p w14:paraId="3E31C0D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59465B60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6B4A7659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ONR onset, n (%)</w:t>
            </w:r>
          </w:p>
        </w:tc>
        <w:tc>
          <w:tcPr>
            <w:tcW w:w="1125" w:type="dxa"/>
            <w:noWrap/>
            <w:hideMark/>
          </w:tcPr>
          <w:p w14:paraId="22AB19DD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190BEB8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9 (100%)</w:t>
            </w:r>
          </w:p>
        </w:tc>
        <w:tc>
          <w:tcPr>
            <w:tcW w:w="1000" w:type="dxa"/>
            <w:noWrap/>
            <w:hideMark/>
          </w:tcPr>
          <w:p w14:paraId="7958903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54 (83%)</w:t>
            </w:r>
          </w:p>
        </w:tc>
        <w:tc>
          <w:tcPr>
            <w:tcW w:w="1335" w:type="dxa"/>
            <w:noWrap/>
            <w:hideMark/>
          </w:tcPr>
          <w:p w14:paraId="55A22BF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29 (97%)</w:t>
            </w:r>
          </w:p>
        </w:tc>
        <w:tc>
          <w:tcPr>
            <w:tcW w:w="1112" w:type="dxa"/>
            <w:noWrap/>
            <w:hideMark/>
          </w:tcPr>
          <w:p w14:paraId="497E227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48 (96%)</w:t>
            </w:r>
          </w:p>
        </w:tc>
        <w:tc>
          <w:tcPr>
            <w:tcW w:w="1033" w:type="dxa"/>
            <w:noWrap/>
            <w:hideMark/>
          </w:tcPr>
          <w:p w14:paraId="06FCE06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31 (94%)</w:t>
            </w:r>
          </w:p>
        </w:tc>
        <w:tc>
          <w:tcPr>
            <w:tcW w:w="778" w:type="dxa"/>
            <w:vMerge w:val="restart"/>
            <w:noWrap/>
            <w:hideMark/>
          </w:tcPr>
          <w:p w14:paraId="2E38EF7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0.05</w:t>
            </w:r>
          </w:p>
        </w:tc>
      </w:tr>
      <w:tr w:rsidR="003459D3" w:rsidRPr="00DC23D3" w14:paraId="421B60A8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7B2C5AD9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6FA62307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1017" w:type="dxa"/>
            <w:noWrap/>
            <w:hideMark/>
          </w:tcPr>
          <w:p w14:paraId="539AA87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00" w:type="dxa"/>
            <w:noWrap/>
            <w:hideMark/>
          </w:tcPr>
          <w:p w14:paraId="6F3DF73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11 (17%)</w:t>
            </w:r>
          </w:p>
        </w:tc>
        <w:tc>
          <w:tcPr>
            <w:tcW w:w="1335" w:type="dxa"/>
            <w:noWrap/>
            <w:hideMark/>
          </w:tcPr>
          <w:p w14:paraId="3741908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(3%)</w:t>
            </w:r>
          </w:p>
        </w:tc>
        <w:tc>
          <w:tcPr>
            <w:tcW w:w="1112" w:type="dxa"/>
            <w:noWrap/>
            <w:hideMark/>
          </w:tcPr>
          <w:p w14:paraId="6951A66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 (4%)</w:t>
            </w:r>
          </w:p>
        </w:tc>
        <w:tc>
          <w:tcPr>
            <w:tcW w:w="1033" w:type="dxa"/>
            <w:noWrap/>
            <w:hideMark/>
          </w:tcPr>
          <w:p w14:paraId="7C6A0C8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 (6%)</w:t>
            </w:r>
          </w:p>
        </w:tc>
        <w:tc>
          <w:tcPr>
            <w:tcW w:w="778" w:type="dxa"/>
            <w:vMerge/>
            <w:noWrap/>
            <w:hideMark/>
          </w:tcPr>
          <w:p w14:paraId="0B6F264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780B09C7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2F57ED17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CTCAE, n (%)</w:t>
            </w:r>
          </w:p>
        </w:tc>
        <w:tc>
          <w:tcPr>
            <w:tcW w:w="1125" w:type="dxa"/>
            <w:noWrap/>
            <w:hideMark/>
          </w:tcPr>
          <w:p w14:paraId="5B2F5FF3" w14:textId="77777777" w:rsidR="003459D3" w:rsidRPr="00DC23D3" w:rsidRDefault="003459D3" w:rsidP="00540B08">
            <w:pPr>
              <w:jc w:val="right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017" w:type="dxa"/>
            <w:noWrap/>
            <w:hideMark/>
          </w:tcPr>
          <w:p w14:paraId="4380C9E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00" w:type="dxa"/>
            <w:noWrap/>
            <w:hideMark/>
          </w:tcPr>
          <w:p w14:paraId="3ECDF6C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(5%)</w:t>
            </w:r>
          </w:p>
        </w:tc>
        <w:tc>
          <w:tcPr>
            <w:tcW w:w="1335" w:type="dxa"/>
            <w:noWrap/>
            <w:hideMark/>
          </w:tcPr>
          <w:p w14:paraId="7E81576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112" w:type="dxa"/>
            <w:noWrap/>
            <w:hideMark/>
          </w:tcPr>
          <w:p w14:paraId="430226B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(6%)</w:t>
            </w:r>
          </w:p>
        </w:tc>
        <w:tc>
          <w:tcPr>
            <w:tcW w:w="1033" w:type="dxa"/>
            <w:noWrap/>
            <w:hideMark/>
          </w:tcPr>
          <w:p w14:paraId="449310E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(9%)</w:t>
            </w:r>
          </w:p>
        </w:tc>
        <w:tc>
          <w:tcPr>
            <w:tcW w:w="778" w:type="dxa"/>
            <w:vMerge w:val="restart"/>
            <w:noWrap/>
            <w:hideMark/>
          </w:tcPr>
          <w:p w14:paraId="58FCDF3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</w:t>
            </w:r>
          </w:p>
        </w:tc>
      </w:tr>
      <w:tr w:rsidR="003459D3" w:rsidRPr="00DC23D3" w14:paraId="15C788D2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5A831339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71855C2D" w14:textId="77777777" w:rsidR="003459D3" w:rsidRPr="00DC23D3" w:rsidRDefault="003459D3" w:rsidP="00540B08">
            <w:pPr>
              <w:jc w:val="right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1017" w:type="dxa"/>
            <w:noWrap/>
            <w:hideMark/>
          </w:tcPr>
          <w:p w14:paraId="242E2ED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00" w:type="dxa"/>
            <w:noWrap/>
            <w:hideMark/>
          </w:tcPr>
          <w:p w14:paraId="1AC70D8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335" w:type="dxa"/>
            <w:noWrap/>
            <w:hideMark/>
          </w:tcPr>
          <w:p w14:paraId="615EA25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(3%)</w:t>
            </w:r>
          </w:p>
        </w:tc>
        <w:tc>
          <w:tcPr>
            <w:tcW w:w="1112" w:type="dxa"/>
            <w:noWrap/>
            <w:hideMark/>
          </w:tcPr>
          <w:p w14:paraId="068713EA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33" w:type="dxa"/>
            <w:noWrap/>
            <w:hideMark/>
          </w:tcPr>
          <w:p w14:paraId="0713BAD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778" w:type="dxa"/>
            <w:vMerge/>
            <w:noWrap/>
            <w:hideMark/>
          </w:tcPr>
          <w:p w14:paraId="1AF3CB3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0A60B139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22D8AE97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6DAEA993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60AC5A9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9 (100%)</w:t>
            </w:r>
          </w:p>
        </w:tc>
        <w:tc>
          <w:tcPr>
            <w:tcW w:w="1000" w:type="dxa"/>
            <w:noWrap/>
            <w:hideMark/>
          </w:tcPr>
          <w:p w14:paraId="4F1D671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62 (95%)</w:t>
            </w:r>
          </w:p>
        </w:tc>
        <w:tc>
          <w:tcPr>
            <w:tcW w:w="1335" w:type="dxa"/>
            <w:noWrap/>
            <w:hideMark/>
          </w:tcPr>
          <w:p w14:paraId="3608DBA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29 (97%)</w:t>
            </w:r>
          </w:p>
        </w:tc>
        <w:tc>
          <w:tcPr>
            <w:tcW w:w="1112" w:type="dxa"/>
            <w:noWrap/>
            <w:hideMark/>
          </w:tcPr>
          <w:p w14:paraId="0CE0ABDC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47 (94%)</w:t>
            </w:r>
          </w:p>
        </w:tc>
        <w:tc>
          <w:tcPr>
            <w:tcW w:w="1033" w:type="dxa"/>
            <w:noWrap/>
            <w:hideMark/>
          </w:tcPr>
          <w:p w14:paraId="222DBDE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30 (91%)</w:t>
            </w:r>
          </w:p>
        </w:tc>
        <w:tc>
          <w:tcPr>
            <w:tcW w:w="778" w:type="dxa"/>
            <w:vMerge/>
            <w:noWrap/>
            <w:hideMark/>
          </w:tcPr>
          <w:p w14:paraId="4FDA725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43DA7A1C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3A7B8DBB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Energy source, n(%)</w:t>
            </w:r>
          </w:p>
        </w:tc>
        <w:tc>
          <w:tcPr>
            <w:tcW w:w="1125" w:type="dxa"/>
            <w:noWrap/>
            <w:hideMark/>
          </w:tcPr>
          <w:p w14:paraId="30F9175A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b-ERBT</w:t>
            </w:r>
          </w:p>
        </w:tc>
        <w:tc>
          <w:tcPr>
            <w:tcW w:w="1017" w:type="dxa"/>
            <w:noWrap/>
            <w:hideMark/>
          </w:tcPr>
          <w:p w14:paraId="5F01980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8 (89%)</w:t>
            </w:r>
          </w:p>
        </w:tc>
        <w:tc>
          <w:tcPr>
            <w:tcW w:w="1000" w:type="dxa"/>
            <w:noWrap/>
            <w:hideMark/>
          </w:tcPr>
          <w:p w14:paraId="5B33526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33 (51%)</w:t>
            </w:r>
          </w:p>
        </w:tc>
        <w:tc>
          <w:tcPr>
            <w:tcW w:w="1335" w:type="dxa"/>
            <w:noWrap/>
            <w:hideMark/>
          </w:tcPr>
          <w:p w14:paraId="5AED739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15 (50%)</w:t>
            </w:r>
          </w:p>
        </w:tc>
        <w:tc>
          <w:tcPr>
            <w:tcW w:w="1112" w:type="dxa"/>
            <w:noWrap/>
            <w:hideMark/>
          </w:tcPr>
          <w:p w14:paraId="6279365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24 (48%)</w:t>
            </w:r>
          </w:p>
        </w:tc>
        <w:tc>
          <w:tcPr>
            <w:tcW w:w="1033" w:type="dxa"/>
            <w:noWrap/>
            <w:hideMark/>
          </w:tcPr>
          <w:p w14:paraId="5F26551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25 (76%)</w:t>
            </w:r>
          </w:p>
        </w:tc>
        <w:tc>
          <w:tcPr>
            <w:tcW w:w="778" w:type="dxa"/>
            <w:vMerge w:val="restart"/>
            <w:noWrap/>
            <w:hideMark/>
          </w:tcPr>
          <w:p w14:paraId="5C9B10A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0.02</w:t>
            </w:r>
          </w:p>
        </w:tc>
      </w:tr>
      <w:tr w:rsidR="003459D3" w:rsidRPr="00DC23D3" w14:paraId="4EBA3CE5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2F8B5ACA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1026D053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l-ERBT</w:t>
            </w:r>
          </w:p>
        </w:tc>
        <w:tc>
          <w:tcPr>
            <w:tcW w:w="1017" w:type="dxa"/>
            <w:noWrap/>
            <w:hideMark/>
          </w:tcPr>
          <w:p w14:paraId="3C12CAE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(11%)</w:t>
            </w:r>
          </w:p>
        </w:tc>
        <w:tc>
          <w:tcPr>
            <w:tcW w:w="1000" w:type="dxa"/>
            <w:noWrap/>
            <w:hideMark/>
          </w:tcPr>
          <w:p w14:paraId="37FFF0F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23 (35%)</w:t>
            </w:r>
          </w:p>
        </w:tc>
        <w:tc>
          <w:tcPr>
            <w:tcW w:w="1335" w:type="dxa"/>
            <w:noWrap/>
            <w:hideMark/>
          </w:tcPr>
          <w:p w14:paraId="70CB174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12 (40%)</w:t>
            </w:r>
          </w:p>
        </w:tc>
        <w:tc>
          <w:tcPr>
            <w:tcW w:w="1112" w:type="dxa"/>
            <w:noWrap/>
            <w:hideMark/>
          </w:tcPr>
          <w:p w14:paraId="3A48F4C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12 (24%)</w:t>
            </w:r>
          </w:p>
        </w:tc>
        <w:tc>
          <w:tcPr>
            <w:tcW w:w="1033" w:type="dxa"/>
            <w:noWrap/>
            <w:hideMark/>
          </w:tcPr>
          <w:p w14:paraId="1BE45FF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8 (24%)</w:t>
            </w:r>
          </w:p>
        </w:tc>
        <w:tc>
          <w:tcPr>
            <w:tcW w:w="778" w:type="dxa"/>
            <w:vMerge/>
            <w:noWrap/>
            <w:hideMark/>
          </w:tcPr>
          <w:p w14:paraId="2342A4D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08F15052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59BEFBE6" w14:textId="77777777" w:rsidR="003459D3" w:rsidRPr="00DC23D3" w:rsidRDefault="003459D3" w:rsidP="00540B08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noWrap/>
            <w:hideMark/>
          </w:tcPr>
          <w:p w14:paraId="0ED2972D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m-ERBT</w:t>
            </w:r>
          </w:p>
        </w:tc>
        <w:tc>
          <w:tcPr>
            <w:tcW w:w="1017" w:type="dxa"/>
            <w:noWrap/>
            <w:hideMark/>
          </w:tcPr>
          <w:p w14:paraId="3FFE4D0C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00" w:type="dxa"/>
            <w:noWrap/>
            <w:hideMark/>
          </w:tcPr>
          <w:p w14:paraId="19DEABF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9 (14%)</w:t>
            </w:r>
          </w:p>
        </w:tc>
        <w:tc>
          <w:tcPr>
            <w:tcW w:w="1335" w:type="dxa"/>
            <w:noWrap/>
            <w:hideMark/>
          </w:tcPr>
          <w:p w14:paraId="0E76E33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(10%)</w:t>
            </w:r>
          </w:p>
        </w:tc>
        <w:tc>
          <w:tcPr>
            <w:tcW w:w="1112" w:type="dxa"/>
            <w:noWrap/>
            <w:hideMark/>
          </w:tcPr>
          <w:p w14:paraId="01F7845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13 (26%)</w:t>
            </w:r>
          </w:p>
        </w:tc>
        <w:tc>
          <w:tcPr>
            <w:tcW w:w="1033" w:type="dxa"/>
            <w:noWrap/>
            <w:hideMark/>
          </w:tcPr>
          <w:p w14:paraId="0F9C721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778" w:type="dxa"/>
            <w:vMerge/>
            <w:noWrap/>
            <w:hideMark/>
          </w:tcPr>
          <w:p w14:paraId="7FD0D11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1ADE6251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2CA316DB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reTURB, n (%)</w:t>
            </w:r>
          </w:p>
        </w:tc>
        <w:tc>
          <w:tcPr>
            <w:tcW w:w="1125" w:type="dxa"/>
            <w:noWrap/>
            <w:hideMark/>
          </w:tcPr>
          <w:p w14:paraId="07B0AAD3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1F961D4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8 (89%)</w:t>
            </w:r>
          </w:p>
        </w:tc>
        <w:tc>
          <w:tcPr>
            <w:tcW w:w="1000" w:type="dxa"/>
            <w:noWrap/>
            <w:hideMark/>
          </w:tcPr>
          <w:p w14:paraId="5CEDB7E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50 (77%)</w:t>
            </w:r>
          </w:p>
        </w:tc>
        <w:tc>
          <w:tcPr>
            <w:tcW w:w="1335" w:type="dxa"/>
            <w:noWrap/>
            <w:hideMark/>
          </w:tcPr>
          <w:p w14:paraId="26B42E7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26 (87%)</w:t>
            </w:r>
          </w:p>
        </w:tc>
        <w:tc>
          <w:tcPr>
            <w:tcW w:w="1112" w:type="dxa"/>
            <w:noWrap/>
            <w:hideMark/>
          </w:tcPr>
          <w:p w14:paraId="6966A0F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47 (94%)</w:t>
            </w:r>
          </w:p>
        </w:tc>
        <w:tc>
          <w:tcPr>
            <w:tcW w:w="1033" w:type="dxa"/>
            <w:noWrap/>
            <w:hideMark/>
          </w:tcPr>
          <w:p w14:paraId="213AA7A9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29 (88%)</w:t>
            </w:r>
          </w:p>
        </w:tc>
        <w:tc>
          <w:tcPr>
            <w:tcW w:w="778" w:type="dxa"/>
            <w:vMerge w:val="restart"/>
            <w:noWrap/>
            <w:hideMark/>
          </w:tcPr>
          <w:p w14:paraId="623EB62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0.13</w:t>
            </w:r>
          </w:p>
        </w:tc>
      </w:tr>
      <w:tr w:rsidR="003459D3" w:rsidRPr="00DC23D3" w14:paraId="6B07BDA6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606E6BBB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0727C884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1017" w:type="dxa"/>
            <w:noWrap/>
            <w:hideMark/>
          </w:tcPr>
          <w:p w14:paraId="1C4432C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(11%)</w:t>
            </w:r>
          </w:p>
        </w:tc>
        <w:tc>
          <w:tcPr>
            <w:tcW w:w="1000" w:type="dxa"/>
            <w:noWrap/>
            <w:hideMark/>
          </w:tcPr>
          <w:p w14:paraId="7F5D4A1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15 (23%)</w:t>
            </w:r>
          </w:p>
        </w:tc>
        <w:tc>
          <w:tcPr>
            <w:tcW w:w="1335" w:type="dxa"/>
            <w:noWrap/>
            <w:hideMark/>
          </w:tcPr>
          <w:p w14:paraId="38F15FD4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 (13%)</w:t>
            </w:r>
          </w:p>
        </w:tc>
        <w:tc>
          <w:tcPr>
            <w:tcW w:w="1112" w:type="dxa"/>
            <w:noWrap/>
            <w:hideMark/>
          </w:tcPr>
          <w:p w14:paraId="1EF6165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(6%)</w:t>
            </w:r>
          </w:p>
        </w:tc>
        <w:tc>
          <w:tcPr>
            <w:tcW w:w="1033" w:type="dxa"/>
            <w:noWrap/>
            <w:hideMark/>
          </w:tcPr>
          <w:p w14:paraId="61C2F42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 (12%)</w:t>
            </w:r>
          </w:p>
        </w:tc>
        <w:tc>
          <w:tcPr>
            <w:tcW w:w="778" w:type="dxa"/>
            <w:vMerge/>
            <w:noWrap/>
            <w:hideMark/>
          </w:tcPr>
          <w:p w14:paraId="0F1D1DAA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0BB9BB77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230380AB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Perforation, n (%)</w:t>
            </w:r>
          </w:p>
        </w:tc>
        <w:tc>
          <w:tcPr>
            <w:tcW w:w="1125" w:type="dxa"/>
            <w:noWrap/>
            <w:hideMark/>
          </w:tcPr>
          <w:p w14:paraId="586BE13C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No</w:t>
            </w:r>
          </w:p>
        </w:tc>
        <w:tc>
          <w:tcPr>
            <w:tcW w:w="1017" w:type="dxa"/>
            <w:noWrap/>
            <w:hideMark/>
          </w:tcPr>
          <w:p w14:paraId="3DAC8EB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9 (100%)</w:t>
            </w:r>
          </w:p>
        </w:tc>
        <w:tc>
          <w:tcPr>
            <w:tcW w:w="1000" w:type="dxa"/>
            <w:noWrap/>
            <w:hideMark/>
          </w:tcPr>
          <w:p w14:paraId="1FEBED1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62 (95%)</w:t>
            </w:r>
          </w:p>
        </w:tc>
        <w:tc>
          <w:tcPr>
            <w:tcW w:w="1335" w:type="dxa"/>
            <w:noWrap/>
            <w:hideMark/>
          </w:tcPr>
          <w:p w14:paraId="38F3EA7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29 (97%)</w:t>
            </w:r>
          </w:p>
        </w:tc>
        <w:tc>
          <w:tcPr>
            <w:tcW w:w="1112" w:type="dxa"/>
            <w:noWrap/>
            <w:hideMark/>
          </w:tcPr>
          <w:p w14:paraId="0077BAC5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47 (94%)</w:t>
            </w:r>
          </w:p>
        </w:tc>
        <w:tc>
          <w:tcPr>
            <w:tcW w:w="1033" w:type="dxa"/>
            <w:noWrap/>
            <w:hideMark/>
          </w:tcPr>
          <w:p w14:paraId="0C44C6A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30 (91%)</w:t>
            </w:r>
          </w:p>
        </w:tc>
        <w:tc>
          <w:tcPr>
            <w:tcW w:w="778" w:type="dxa"/>
            <w:vMerge w:val="restart"/>
            <w:noWrap/>
            <w:hideMark/>
          </w:tcPr>
          <w:p w14:paraId="45849E4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</w:t>
            </w:r>
            <w:r>
              <w:rPr>
                <w:rFonts w:ascii="Aptos Narrow" w:hAnsi="Aptos Narrow"/>
                <w:color w:val="000000"/>
              </w:rPr>
              <w:t>8</w:t>
            </w:r>
          </w:p>
        </w:tc>
      </w:tr>
      <w:tr w:rsidR="003459D3" w:rsidRPr="00DC23D3" w14:paraId="08DF3CF8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6F598B09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5937CB0F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Yes</w:t>
            </w:r>
          </w:p>
        </w:tc>
        <w:tc>
          <w:tcPr>
            <w:tcW w:w="1017" w:type="dxa"/>
            <w:noWrap/>
            <w:hideMark/>
          </w:tcPr>
          <w:p w14:paraId="4C75E2C7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 (0%)</w:t>
            </w:r>
          </w:p>
        </w:tc>
        <w:tc>
          <w:tcPr>
            <w:tcW w:w="1000" w:type="dxa"/>
            <w:noWrap/>
            <w:hideMark/>
          </w:tcPr>
          <w:p w14:paraId="6189CE7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(5%)</w:t>
            </w:r>
          </w:p>
        </w:tc>
        <w:tc>
          <w:tcPr>
            <w:tcW w:w="1335" w:type="dxa"/>
            <w:noWrap/>
            <w:hideMark/>
          </w:tcPr>
          <w:p w14:paraId="7EC1E9AA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(3%)</w:t>
            </w:r>
          </w:p>
        </w:tc>
        <w:tc>
          <w:tcPr>
            <w:tcW w:w="1112" w:type="dxa"/>
            <w:noWrap/>
            <w:hideMark/>
          </w:tcPr>
          <w:p w14:paraId="702E216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(6%)</w:t>
            </w:r>
          </w:p>
        </w:tc>
        <w:tc>
          <w:tcPr>
            <w:tcW w:w="1033" w:type="dxa"/>
            <w:noWrap/>
            <w:hideMark/>
          </w:tcPr>
          <w:p w14:paraId="34C570C6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(9%)</w:t>
            </w:r>
          </w:p>
        </w:tc>
        <w:tc>
          <w:tcPr>
            <w:tcW w:w="778" w:type="dxa"/>
            <w:vMerge/>
            <w:noWrap/>
            <w:hideMark/>
          </w:tcPr>
          <w:p w14:paraId="1584207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3A4EF3CB" w14:textId="77777777" w:rsidTr="00540B08">
        <w:trPr>
          <w:trHeight w:val="287"/>
        </w:trPr>
        <w:tc>
          <w:tcPr>
            <w:tcW w:w="2339" w:type="dxa"/>
            <w:vMerge w:val="restart"/>
            <w:noWrap/>
            <w:hideMark/>
          </w:tcPr>
          <w:p w14:paraId="7732BC99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Surgical experience, n (%)</w:t>
            </w:r>
          </w:p>
        </w:tc>
        <w:tc>
          <w:tcPr>
            <w:tcW w:w="1125" w:type="dxa"/>
            <w:noWrap/>
            <w:hideMark/>
          </w:tcPr>
          <w:p w14:paraId="707A36DC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consultant &lt;5y</w:t>
            </w:r>
          </w:p>
        </w:tc>
        <w:tc>
          <w:tcPr>
            <w:tcW w:w="1017" w:type="dxa"/>
            <w:noWrap/>
            <w:hideMark/>
          </w:tcPr>
          <w:p w14:paraId="1B978AB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 (11%)</w:t>
            </w:r>
          </w:p>
        </w:tc>
        <w:tc>
          <w:tcPr>
            <w:tcW w:w="1000" w:type="dxa"/>
            <w:noWrap/>
            <w:hideMark/>
          </w:tcPr>
          <w:p w14:paraId="1FB22F0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23 (35%)</w:t>
            </w:r>
          </w:p>
        </w:tc>
        <w:tc>
          <w:tcPr>
            <w:tcW w:w="1335" w:type="dxa"/>
            <w:noWrap/>
            <w:hideMark/>
          </w:tcPr>
          <w:p w14:paraId="11C30C7E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5 (17%)</w:t>
            </w:r>
          </w:p>
        </w:tc>
        <w:tc>
          <w:tcPr>
            <w:tcW w:w="1112" w:type="dxa"/>
            <w:noWrap/>
            <w:hideMark/>
          </w:tcPr>
          <w:p w14:paraId="02C2F54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14 (28%)</w:t>
            </w:r>
          </w:p>
        </w:tc>
        <w:tc>
          <w:tcPr>
            <w:tcW w:w="1033" w:type="dxa"/>
            <w:noWrap/>
            <w:hideMark/>
          </w:tcPr>
          <w:p w14:paraId="0C492EF1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12 (35%)</w:t>
            </w:r>
          </w:p>
        </w:tc>
        <w:tc>
          <w:tcPr>
            <w:tcW w:w="778" w:type="dxa"/>
            <w:vMerge w:val="restart"/>
            <w:noWrap/>
            <w:hideMark/>
          </w:tcPr>
          <w:p w14:paraId="6E9A8E3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0.40</w:t>
            </w:r>
          </w:p>
        </w:tc>
      </w:tr>
      <w:tr w:rsidR="003459D3" w:rsidRPr="00DC23D3" w14:paraId="44D7247B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01EB8E3D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125" w:type="dxa"/>
            <w:noWrap/>
            <w:hideMark/>
          </w:tcPr>
          <w:p w14:paraId="44BC6552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consultant &gt;5y</w:t>
            </w:r>
          </w:p>
        </w:tc>
        <w:tc>
          <w:tcPr>
            <w:tcW w:w="1017" w:type="dxa"/>
            <w:noWrap/>
            <w:hideMark/>
          </w:tcPr>
          <w:p w14:paraId="0A87C63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6 (67%)</w:t>
            </w:r>
          </w:p>
        </w:tc>
        <w:tc>
          <w:tcPr>
            <w:tcW w:w="1000" w:type="dxa"/>
            <w:noWrap/>
            <w:hideMark/>
          </w:tcPr>
          <w:p w14:paraId="15CD25F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31 (48%)</w:t>
            </w:r>
          </w:p>
        </w:tc>
        <w:tc>
          <w:tcPr>
            <w:tcW w:w="1335" w:type="dxa"/>
            <w:noWrap/>
            <w:hideMark/>
          </w:tcPr>
          <w:p w14:paraId="7A376992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22 (73%)</w:t>
            </w:r>
          </w:p>
        </w:tc>
        <w:tc>
          <w:tcPr>
            <w:tcW w:w="1112" w:type="dxa"/>
            <w:noWrap/>
            <w:hideMark/>
          </w:tcPr>
          <w:p w14:paraId="3ADA003F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26 (52%)</w:t>
            </w:r>
          </w:p>
        </w:tc>
        <w:tc>
          <w:tcPr>
            <w:tcW w:w="1033" w:type="dxa"/>
            <w:noWrap/>
            <w:hideMark/>
          </w:tcPr>
          <w:p w14:paraId="5848549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500BD317">
              <w:rPr>
                <w:rFonts w:ascii="Aptos Narrow" w:hAnsi="Aptos Narrow"/>
                <w:color w:val="000000" w:themeColor="text1"/>
              </w:rPr>
              <w:t>15 (47%)</w:t>
            </w:r>
          </w:p>
        </w:tc>
        <w:tc>
          <w:tcPr>
            <w:tcW w:w="778" w:type="dxa"/>
            <w:vMerge/>
            <w:noWrap/>
            <w:hideMark/>
          </w:tcPr>
          <w:p w14:paraId="69E3022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459D3" w:rsidRPr="00DC23D3" w14:paraId="0E60D31F" w14:textId="77777777" w:rsidTr="00540B08">
        <w:trPr>
          <w:trHeight w:val="287"/>
        </w:trPr>
        <w:tc>
          <w:tcPr>
            <w:tcW w:w="2339" w:type="dxa"/>
            <w:vMerge/>
            <w:noWrap/>
            <w:hideMark/>
          </w:tcPr>
          <w:p w14:paraId="0C9F5C00" w14:textId="77777777" w:rsidR="003459D3" w:rsidRPr="00DC23D3" w:rsidRDefault="003459D3" w:rsidP="00540B08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noWrap/>
            <w:hideMark/>
          </w:tcPr>
          <w:p w14:paraId="58993341" w14:textId="77777777" w:rsidR="003459D3" w:rsidRPr="00DC23D3" w:rsidRDefault="003459D3" w:rsidP="00540B08">
            <w:pPr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Resident</w:t>
            </w:r>
          </w:p>
        </w:tc>
        <w:tc>
          <w:tcPr>
            <w:tcW w:w="1017" w:type="dxa"/>
            <w:noWrap/>
            <w:hideMark/>
          </w:tcPr>
          <w:p w14:paraId="08503ADB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2 (22%)</w:t>
            </w:r>
          </w:p>
        </w:tc>
        <w:tc>
          <w:tcPr>
            <w:tcW w:w="1000" w:type="dxa"/>
            <w:noWrap/>
            <w:hideMark/>
          </w:tcPr>
          <w:p w14:paraId="08EE88CD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11 (17%)</w:t>
            </w:r>
          </w:p>
        </w:tc>
        <w:tc>
          <w:tcPr>
            <w:tcW w:w="1335" w:type="dxa"/>
            <w:noWrap/>
            <w:hideMark/>
          </w:tcPr>
          <w:p w14:paraId="4202DE83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3 (10%)</w:t>
            </w:r>
          </w:p>
        </w:tc>
        <w:tc>
          <w:tcPr>
            <w:tcW w:w="1112" w:type="dxa"/>
            <w:noWrap/>
            <w:hideMark/>
          </w:tcPr>
          <w:p w14:paraId="031F30B8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10 (20%)</w:t>
            </w:r>
          </w:p>
        </w:tc>
        <w:tc>
          <w:tcPr>
            <w:tcW w:w="1033" w:type="dxa"/>
            <w:noWrap/>
            <w:hideMark/>
          </w:tcPr>
          <w:p w14:paraId="5E9CB04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  <w:r w:rsidRPr="00DC23D3">
              <w:rPr>
                <w:rFonts w:ascii="Aptos Narrow" w:hAnsi="Aptos Narrow"/>
                <w:color w:val="000000"/>
              </w:rPr>
              <w:t>6 (18%)</w:t>
            </w:r>
          </w:p>
        </w:tc>
        <w:tc>
          <w:tcPr>
            <w:tcW w:w="778" w:type="dxa"/>
            <w:vMerge/>
            <w:noWrap/>
            <w:hideMark/>
          </w:tcPr>
          <w:p w14:paraId="3C2263F0" w14:textId="77777777" w:rsidR="003459D3" w:rsidRPr="00DC23D3" w:rsidRDefault="003459D3" w:rsidP="00540B0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</w:tbl>
    <w:p w14:paraId="338FF313" w14:textId="77777777" w:rsidR="003459D3" w:rsidRPr="00380D0E" w:rsidRDefault="003459D3" w:rsidP="003459D3">
      <w:pPr>
        <w:pStyle w:val="Didascalia"/>
        <w:rPr>
          <w:sz w:val="22"/>
          <w:szCs w:val="22"/>
          <w:lang w:val="en-US"/>
        </w:rPr>
      </w:pPr>
      <w:r w:rsidRPr="4F135F76">
        <w:rPr>
          <w:sz w:val="22"/>
          <w:szCs w:val="22"/>
          <w:lang w:val="en-US"/>
        </w:rPr>
        <w:t>Supplementary Table 2. Abbreviations:  IQR=interquartile range; CIS=Carcinoma In Situ; cTURB=conventional Transurethral Resection of Blabber tumor; NMIBC=Non-muscle invasive bladder cancer; LG= Low-grade; HG=High grade; ONR=Obturator Nerve Reflex; CTCAE=Common Terminology Criteria for Adverse Events; DM=Detrusor Muscle;</w:t>
      </w:r>
    </w:p>
    <w:p w14:paraId="346CFD30" w14:textId="77777777" w:rsidR="003459D3" w:rsidRDefault="003459D3" w:rsidP="003459D3">
      <w:pPr>
        <w:pStyle w:val="Didascalia"/>
        <w:spacing w:line="259" w:lineRule="auto"/>
        <w:rPr>
          <w:sz w:val="22"/>
          <w:szCs w:val="22"/>
          <w:lang w:val="en-US"/>
        </w:rPr>
      </w:pPr>
      <w:r w:rsidRPr="00306DF0">
        <w:rPr>
          <w:sz w:val="22"/>
          <w:szCs w:val="22"/>
          <w:vertAlign w:val="superscript"/>
          <w:lang w:val="en-US"/>
        </w:rPr>
        <w:t>1</w:t>
      </w:r>
      <w:r w:rsidRPr="00306DF0">
        <w:rPr>
          <w:sz w:val="22"/>
          <w:szCs w:val="22"/>
          <w:lang w:val="en-US"/>
        </w:rPr>
        <w:t xml:space="preserve"> Early intravesical instillation after TURB. </w:t>
      </w:r>
    </w:p>
    <w:p w14:paraId="4D570158" w14:textId="77777777" w:rsidR="0095270B" w:rsidRDefault="0095270B"/>
    <w:sectPr w:rsidR="009527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F9"/>
    <w:rsid w:val="00001289"/>
    <w:rsid w:val="00034CCB"/>
    <w:rsid w:val="000A6E9C"/>
    <w:rsid w:val="003459D3"/>
    <w:rsid w:val="00491510"/>
    <w:rsid w:val="0095270B"/>
    <w:rsid w:val="00A23710"/>
    <w:rsid w:val="00A31668"/>
    <w:rsid w:val="00AC57E0"/>
    <w:rsid w:val="00B66822"/>
    <w:rsid w:val="00BE683E"/>
    <w:rsid w:val="00CC21A9"/>
    <w:rsid w:val="00D076F9"/>
    <w:rsid w:val="00F23BC2"/>
    <w:rsid w:val="00F3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36C81C"/>
  <w15:chartTrackingRefBased/>
  <w15:docId w15:val="{EBF3CAD9-5251-6642-87B9-3BD0C18B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59D3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7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7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76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76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76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76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76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76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76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7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7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7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76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76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76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76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76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76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76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07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76F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7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76F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76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76F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076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7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76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76F9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3459D3"/>
    <w:pPr>
      <w:spacing w:after="200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59"/>
    <w:rsid w:val="003459D3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Mancon</dc:creator>
  <cp:keywords/>
  <dc:description/>
  <cp:lastModifiedBy>Stefano Mancon</cp:lastModifiedBy>
  <cp:revision>2</cp:revision>
  <dcterms:created xsi:type="dcterms:W3CDTF">2024-04-25T17:06:00Z</dcterms:created>
  <dcterms:modified xsi:type="dcterms:W3CDTF">2024-04-25T17:07:00Z</dcterms:modified>
</cp:coreProperties>
</file>