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F7975" w14:textId="77777777" w:rsidR="00B459DA" w:rsidRPr="00306DF0" w:rsidRDefault="00B459DA" w:rsidP="00B459DA">
      <w:pPr>
        <w:pStyle w:val="Didascalia"/>
        <w:keepNext/>
        <w:rPr>
          <w:sz w:val="22"/>
          <w:szCs w:val="22"/>
          <w:lang w:val="en-US"/>
        </w:rPr>
      </w:pPr>
      <w:r w:rsidRPr="00306DF0">
        <w:rPr>
          <w:sz w:val="22"/>
          <w:szCs w:val="22"/>
          <w:lang w:val="en-US"/>
        </w:rPr>
        <w:t xml:space="preserve">Supplementary Table 3. Logistic Regression analysis investigating the association of energy source with perioperative outcomes in 188 patients treated with ERBT for primary non-muscle invasive bladder </w:t>
      </w:r>
      <w:proofErr w:type="gramStart"/>
      <w:r w:rsidRPr="00306DF0">
        <w:rPr>
          <w:sz w:val="22"/>
          <w:szCs w:val="22"/>
          <w:lang w:val="en-US"/>
        </w:rPr>
        <w:t>cancer</w:t>
      </w:r>
      <w:proofErr w:type="gramEnd"/>
    </w:p>
    <w:p w14:paraId="13434716" w14:textId="77777777" w:rsidR="00B459DA" w:rsidRPr="00306DF0" w:rsidRDefault="00B459DA" w:rsidP="00B459DA">
      <w:pPr>
        <w:keepNext/>
        <w:rPr>
          <w:lang w:val="en-US"/>
        </w:rPr>
      </w:pPr>
    </w:p>
    <w:p w14:paraId="170AD8B5" w14:textId="77777777" w:rsidR="00B459DA" w:rsidRPr="0040665A" w:rsidRDefault="00B459DA" w:rsidP="00B459DA">
      <w:pPr>
        <w:keepNext/>
        <w:rPr>
          <w:lang w:val="en-US"/>
        </w:rPr>
      </w:pPr>
    </w:p>
    <w:tbl>
      <w:tblPr>
        <w:tblStyle w:val="Grigliatabella"/>
        <w:tblW w:w="9820" w:type="dxa"/>
        <w:tblLayout w:type="fixed"/>
        <w:tblLook w:val="06A0" w:firstRow="1" w:lastRow="0" w:firstColumn="1" w:lastColumn="0" w:noHBand="1" w:noVBand="1"/>
      </w:tblPr>
      <w:tblGrid>
        <w:gridCol w:w="1497"/>
        <w:gridCol w:w="1167"/>
        <w:gridCol w:w="1185"/>
        <w:gridCol w:w="1365"/>
        <w:gridCol w:w="1234"/>
        <w:gridCol w:w="1139"/>
        <w:gridCol w:w="1153"/>
        <w:gridCol w:w="1080"/>
      </w:tblGrid>
      <w:tr w:rsidR="00B459DA" w14:paraId="272A9D7D" w14:textId="77777777" w:rsidTr="00540B08">
        <w:trPr>
          <w:trHeight w:val="255"/>
        </w:trPr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2856B2" w14:textId="77777777" w:rsidR="00B459DA" w:rsidRPr="002B2E33" w:rsidRDefault="00B459DA" w:rsidP="00540B08">
            <w:pPr>
              <w:rPr>
                <w:lang w:val="en-US"/>
              </w:rPr>
            </w:pP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92B452" w14:textId="77777777" w:rsidR="00B459DA" w:rsidRDefault="00B459DA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DM</w:t>
            </w: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</w:rPr>
              <w:t>1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1C7679" w14:textId="77777777" w:rsidR="00B459DA" w:rsidRDefault="00B459DA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Deep resection margin</w:t>
            </w: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</w:rPr>
              <w:t>1,2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F9BAC6" w14:textId="77777777" w:rsidR="00B459DA" w:rsidRDefault="00B459DA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Negative </w:t>
            </w:r>
            <w:proofErr w:type="spellStart"/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lateral</w:t>
            </w:r>
            <w:proofErr w:type="spellEnd"/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resection margin</w:t>
            </w: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</w:rPr>
              <w:t>1,3</w:t>
            </w: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7F2E52" w14:textId="77777777" w:rsidR="00B459DA" w:rsidRDefault="00B459DA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ONR </w:t>
            </w:r>
            <w:proofErr w:type="spellStart"/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onset</w:t>
            </w:r>
            <w:proofErr w:type="spellEnd"/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</w:t>
            </w: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</w:rPr>
              <w:t>4,5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20EB4F" w14:textId="77777777" w:rsidR="00B459DA" w:rsidRDefault="00B459DA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Conversion to cTURB</w:t>
            </w: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</w:rPr>
              <w:t>4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F028B7" w14:textId="77777777" w:rsidR="00B459DA" w:rsidRDefault="00B459DA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Perforation</w:t>
            </w: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</w:rPr>
              <w:t>4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56C75B" w14:textId="77777777" w:rsidR="00B459DA" w:rsidRDefault="00B459DA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CTCAE </w:t>
            </w: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</w:rPr>
              <w:t>4,6</w:t>
            </w:r>
          </w:p>
        </w:tc>
      </w:tr>
      <w:tr w:rsidR="00B459DA" w14:paraId="261E6AE6" w14:textId="77777777" w:rsidTr="00540B08">
        <w:trPr>
          <w:trHeight w:val="855"/>
        </w:trPr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E89D6D" w14:textId="77777777" w:rsidR="00B459DA" w:rsidRDefault="00B459DA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</w:pP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  <w:t>m-ERBT OR</w:t>
            </w: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  <w:lang w:val="en-US"/>
              </w:rPr>
              <w:t>7</w:t>
            </w: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  <w:t>;95%CI</w:t>
            </w: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  <w:lang w:val="en-US"/>
              </w:rPr>
              <w:t>8</w:t>
            </w: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  <w:t>; p-value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EC3057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078054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D2E09F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FFFFE4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089649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7A3ACD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2E7A81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</w:tr>
      <w:tr w:rsidR="00B459DA" w14:paraId="7DFD567B" w14:textId="77777777" w:rsidTr="00540B08">
        <w:trPr>
          <w:trHeight w:val="1035"/>
        </w:trPr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F7D0B1" w14:textId="77777777" w:rsidR="00B459DA" w:rsidRDefault="00B459DA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</w:pP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  <w:t>b-ERBT OR</w:t>
            </w: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  <w:lang w:val="en-US"/>
              </w:rPr>
              <w:t>7</w:t>
            </w: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  <w:t>; 95%CI</w:t>
            </w: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  <w:lang w:val="en-US"/>
              </w:rPr>
              <w:t>8</w:t>
            </w: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  <w:t>; p-value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0E2004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0.77;0.27-2.21;0.6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EF341D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AEFD59" w14:textId="77777777" w:rsidR="00B459DA" w:rsidRDefault="00B459DA" w:rsidP="00540B08">
            <w:pPr>
              <w:jc w:val="center"/>
            </w:pPr>
            <w:r w:rsidRPr="3E7B40D4">
              <w:rPr>
                <w:rFonts w:ascii="Aptos Narrow" w:eastAsia="Aptos Narrow" w:hAnsi="Aptos Narrow" w:cs="Aptos Narrow"/>
                <w:color w:val="000000" w:themeColor="text1"/>
              </w:rPr>
              <w:t>2.81;1.02-7.70;</w:t>
            </w: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0.04</w:t>
            </w: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3A1DBD" w14:textId="77777777" w:rsidR="00B459DA" w:rsidRDefault="00B459DA" w:rsidP="00540B08">
            <w:pPr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0.32;0.10-1.</w:t>
            </w:r>
            <w:proofErr w:type="gramStart"/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00;0.051</w:t>
            </w:r>
            <w:proofErr w:type="gramEnd"/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93D6C6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0.45;0.04-5.25;0.53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A307D4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1.17;0.13-10.53;0.9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7015B4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1.17;0.13-10.53;0.9</w:t>
            </w:r>
          </w:p>
        </w:tc>
      </w:tr>
      <w:tr w:rsidR="00B459DA" w14:paraId="27F751B2" w14:textId="77777777" w:rsidTr="00540B08">
        <w:trPr>
          <w:trHeight w:val="855"/>
        </w:trPr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EBA072" w14:textId="77777777" w:rsidR="00B459DA" w:rsidRDefault="00B459DA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</w:pP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  <w:t>l-ERBT OR</w:t>
            </w: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  <w:lang w:val="en-US"/>
              </w:rPr>
              <w:t>7</w:t>
            </w: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  <w:t>;95%CI</w:t>
            </w:r>
            <w:proofErr w:type="gramStart"/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vertAlign w:val="superscript"/>
                <w:lang w:val="en-US"/>
              </w:rPr>
              <w:t>8</w:t>
            </w:r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  <w:t>;p</w:t>
            </w:r>
            <w:proofErr w:type="gramEnd"/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  <w:lang w:val="en-US"/>
              </w:rPr>
              <w:t>-value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7727AE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1.04;0.33-3.27;0.9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3A1833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BF3C23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72DBDD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697C42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1.36;0.13-13.74;0.8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D0DB0C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1.84;0.19-17.41;0.6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704AEE" w14:textId="77777777" w:rsidR="00B459DA" w:rsidRDefault="00B459DA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1.84;0.19-17.41;0.6</w:t>
            </w:r>
          </w:p>
        </w:tc>
      </w:tr>
    </w:tbl>
    <w:p w14:paraId="5605ED35" w14:textId="77777777" w:rsidR="00B459DA" w:rsidRPr="0040665A" w:rsidRDefault="00B459DA" w:rsidP="00B459DA">
      <w:pPr>
        <w:keepNext/>
        <w:rPr>
          <w:lang w:val="en-US"/>
        </w:rPr>
      </w:pPr>
    </w:p>
    <w:p w14:paraId="3C69F866" w14:textId="77777777" w:rsidR="00B459DA" w:rsidRPr="0040665A" w:rsidRDefault="00B459DA" w:rsidP="00B459DA">
      <w:pPr>
        <w:pStyle w:val="Didascalia"/>
        <w:keepNext/>
        <w:rPr>
          <w:sz w:val="22"/>
          <w:szCs w:val="22"/>
          <w:lang w:val="en-US"/>
        </w:rPr>
      </w:pPr>
      <w:r w:rsidRPr="3E7B40D4">
        <w:rPr>
          <w:sz w:val="22"/>
          <w:szCs w:val="22"/>
          <w:lang w:val="en-US"/>
        </w:rPr>
        <w:t xml:space="preserve">Supplementary Table 3. </w:t>
      </w:r>
    </w:p>
    <w:p w14:paraId="486B3B58" w14:textId="77777777" w:rsidR="00B459DA" w:rsidRPr="0040665A" w:rsidRDefault="00B459DA" w:rsidP="00B459DA">
      <w:pPr>
        <w:pStyle w:val="Didascalia"/>
        <w:keepNext/>
        <w:spacing w:line="259" w:lineRule="auto"/>
        <w:rPr>
          <w:sz w:val="22"/>
          <w:szCs w:val="22"/>
          <w:lang w:val="en-US"/>
        </w:rPr>
      </w:pPr>
      <w:r w:rsidRPr="3E7B40D4">
        <w:rPr>
          <w:sz w:val="22"/>
          <w:szCs w:val="22"/>
          <w:vertAlign w:val="superscript"/>
          <w:lang w:val="en-US"/>
        </w:rPr>
        <w:t>1</w:t>
      </w:r>
      <w:r w:rsidRPr="3E7B40D4">
        <w:rPr>
          <w:sz w:val="22"/>
          <w:szCs w:val="22"/>
          <w:lang w:val="en-US"/>
        </w:rPr>
        <w:t>Per-tumor analysis;</w:t>
      </w:r>
      <w:r w:rsidRPr="3E7B40D4">
        <w:rPr>
          <w:sz w:val="22"/>
          <w:szCs w:val="22"/>
          <w:vertAlign w:val="superscript"/>
          <w:lang w:val="en-US"/>
        </w:rPr>
        <w:t>2</w:t>
      </w:r>
      <w:r w:rsidRPr="3E7B40D4">
        <w:rPr>
          <w:sz w:val="22"/>
          <w:szCs w:val="22"/>
          <w:lang w:val="en-US"/>
        </w:rPr>
        <w:t>Logistic regression not possible for absence of  variability (negative is the only value for deep resection margin);</w:t>
      </w:r>
      <w:r w:rsidRPr="3E7B40D4">
        <w:rPr>
          <w:sz w:val="22"/>
          <w:szCs w:val="22"/>
          <w:vertAlign w:val="superscript"/>
          <w:lang w:val="en-US"/>
        </w:rPr>
        <w:t>3</w:t>
      </w:r>
      <w:r w:rsidRPr="3E7B40D4">
        <w:rPr>
          <w:sz w:val="22"/>
          <w:szCs w:val="22"/>
          <w:lang w:val="en-US"/>
        </w:rPr>
        <w:t xml:space="preserve"> no variability in the m-ERBT cohort ( all lateral resection margins were negative) and collinearity in the l-ERBT group;</w:t>
      </w:r>
      <w:r w:rsidRPr="3E7B40D4">
        <w:rPr>
          <w:sz w:val="22"/>
          <w:szCs w:val="22"/>
          <w:vertAlign w:val="superscript"/>
          <w:lang w:val="en-US"/>
        </w:rPr>
        <w:t>4</w:t>
      </w:r>
      <w:r w:rsidRPr="3E7B40D4">
        <w:rPr>
          <w:sz w:val="22"/>
          <w:szCs w:val="22"/>
          <w:lang w:val="en-US"/>
        </w:rPr>
        <w:t xml:space="preserve">per-patient analysis; </w:t>
      </w:r>
      <w:r w:rsidRPr="3E7B40D4">
        <w:rPr>
          <w:sz w:val="22"/>
          <w:szCs w:val="22"/>
          <w:vertAlign w:val="superscript"/>
          <w:lang w:val="en-US"/>
        </w:rPr>
        <w:t>5</w:t>
      </w:r>
      <w:r w:rsidRPr="3E7B40D4">
        <w:rPr>
          <w:sz w:val="22"/>
          <w:szCs w:val="22"/>
          <w:lang w:val="en-US"/>
        </w:rPr>
        <w:t xml:space="preserve">Patients treated with l-ERBT were removed in this analysis for the absence of events in this cohort; </w:t>
      </w:r>
      <w:r w:rsidRPr="3E7B40D4">
        <w:rPr>
          <w:sz w:val="22"/>
          <w:szCs w:val="22"/>
          <w:vertAlign w:val="superscript"/>
          <w:lang w:val="en-US"/>
        </w:rPr>
        <w:t>6</w:t>
      </w:r>
      <w:r w:rsidRPr="3E7B40D4">
        <w:rPr>
          <w:sz w:val="22"/>
          <w:szCs w:val="22"/>
          <w:lang w:val="en-US"/>
        </w:rPr>
        <w:t>CTCAE grade 2 and 3 were merged, thus considering in this analysis the presence or absence of CTCAE.</w:t>
      </w:r>
    </w:p>
    <w:p w14:paraId="54D07416" w14:textId="77777777" w:rsidR="00B459DA" w:rsidRPr="00A94BE4" w:rsidRDefault="00B459DA" w:rsidP="00B459DA">
      <w:pPr>
        <w:keepNext/>
        <w:rPr>
          <w:i/>
          <w:iCs/>
          <w:color w:val="0E2841" w:themeColor="text2"/>
          <w:sz w:val="22"/>
          <w:szCs w:val="22"/>
          <w:lang w:val="en-US"/>
        </w:rPr>
      </w:pPr>
      <w:r w:rsidRPr="00A94BE4">
        <w:rPr>
          <w:i/>
          <w:iCs/>
          <w:color w:val="0E2841" w:themeColor="text2"/>
          <w:sz w:val="22"/>
          <w:szCs w:val="22"/>
          <w:vertAlign w:val="superscript"/>
          <w:lang w:val="en-US"/>
        </w:rPr>
        <w:t>7</w:t>
      </w:r>
      <w:r w:rsidRPr="00A94BE4">
        <w:rPr>
          <w:i/>
          <w:iCs/>
          <w:color w:val="0E2841" w:themeColor="text2"/>
          <w:sz w:val="22"/>
          <w:szCs w:val="22"/>
          <w:lang w:val="en-US"/>
        </w:rPr>
        <w:t xml:space="preserve">Odds ratio; </w:t>
      </w:r>
      <w:r w:rsidRPr="00A94BE4">
        <w:rPr>
          <w:i/>
          <w:iCs/>
          <w:color w:val="0E2841" w:themeColor="text2"/>
          <w:sz w:val="22"/>
          <w:szCs w:val="22"/>
          <w:vertAlign w:val="superscript"/>
          <w:lang w:val="en-US"/>
        </w:rPr>
        <w:t>8</w:t>
      </w:r>
      <w:r w:rsidRPr="00A94BE4">
        <w:rPr>
          <w:i/>
          <w:iCs/>
          <w:color w:val="0E2841" w:themeColor="text2"/>
          <w:sz w:val="22"/>
          <w:szCs w:val="22"/>
          <w:lang w:val="en-US"/>
        </w:rPr>
        <w:t>Confidence Interval</w:t>
      </w:r>
    </w:p>
    <w:p w14:paraId="5C025704" w14:textId="77777777" w:rsidR="00B459DA" w:rsidRDefault="00B459DA" w:rsidP="00B459DA">
      <w:pPr>
        <w:keepNext/>
        <w:rPr>
          <w:sz w:val="22"/>
          <w:szCs w:val="22"/>
          <w:lang w:val="en-US"/>
        </w:rPr>
      </w:pPr>
    </w:p>
    <w:p w14:paraId="60D12B4A" w14:textId="77777777" w:rsidR="00B459DA" w:rsidRPr="0040665A" w:rsidRDefault="00B459DA" w:rsidP="00B459DA">
      <w:pPr>
        <w:pStyle w:val="Didascalia"/>
        <w:keepNext/>
        <w:rPr>
          <w:sz w:val="22"/>
          <w:szCs w:val="22"/>
          <w:lang w:val="en-US"/>
        </w:rPr>
      </w:pPr>
      <w:r w:rsidRPr="1432AF93">
        <w:rPr>
          <w:sz w:val="22"/>
          <w:szCs w:val="22"/>
          <w:lang w:val="en-US"/>
        </w:rPr>
        <w:t>Abbreviations: DM= Detrusor Muscle; ONR=Obturator Nerve Reflex; cTURB=conventional Transurethral Resection of the Bladder; CTCAE=Common Terminology Criteria for Adverse Events</w:t>
      </w:r>
    </w:p>
    <w:p w14:paraId="1146FF09" w14:textId="77777777" w:rsidR="0095270B" w:rsidRPr="00A94BE4" w:rsidRDefault="0095270B">
      <w:pPr>
        <w:rPr>
          <w:lang w:val="en-US"/>
        </w:rPr>
      </w:pPr>
    </w:p>
    <w:sectPr w:rsidR="0095270B" w:rsidRPr="00A94B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3D"/>
    <w:rsid w:val="00001289"/>
    <w:rsid w:val="00034CCB"/>
    <w:rsid w:val="000A6E9C"/>
    <w:rsid w:val="00491510"/>
    <w:rsid w:val="0095270B"/>
    <w:rsid w:val="00A23710"/>
    <w:rsid w:val="00A31668"/>
    <w:rsid w:val="00A94BE4"/>
    <w:rsid w:val="00AC57E0"/>
    <w:rsid w:val="00B459DA"/>
    <w:rsid w:val="00B66822"/>
    <w:rsid w:val="00BE683E"/>
    <w:rsid w:val="00CC21A9"/>
    <w:rsid w:val="00D7333D"/>
    <w:rsid w:val="00F23BC2"/>
    <w:rsid w:val="00F3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E2E9E8"/>
  <w15:chartTrackingRefBased/>
  <w15:docId w15:val="{B28819FC-4CDC-7F47-8355-5E1C22A5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59D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73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3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33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33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33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333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333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333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333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3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3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3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333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333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33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33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33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33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33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73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333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3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333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33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333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7333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3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333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333D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B459DA"/>
    <w:pPr>
      <w:spacing w:after="200"/>
    </w:pPr>
    <w:rPr>
      <w:i/>
      <w:iCs/>
      <w:color w:val="0E2841" w:themeColor="text2"/>
      <w:sz w:val="18"/>
      <w:szCs w:val="18"/>
    </w:rPr>
  </w:style>
  <w:style w:type="table" w:styleId="Grigliatabella">
    <w:name w:val="Table Grid"/>
    <w:basedOn w:val="Tabellanormale"/>
    <w:uiPriority w:val="59"/>
    <w:rsid w:val="00B459DA"/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Mancon</dc:creator>
  <cp:keywords/>
  <dc:description/>
  <cp:lastModifiedBy>Stefano Mancon</cp:lastModifiedBy>
  <cp:revision>3</cp:revision>
  <dcterms:created xsi:type="dcterms:W3CDTF">2024-04-25T17:07:00Z</dcterms:created>
  <dcterms:modified xsi:type="dcterms:W3CDTF">2024-05-04T06:38:00Z</dcterms:modified>
</cp:coreProperties>
</file>