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60E" w:rsidRPr="000B51D8" w:rsidRDefault="0066760E" w:rsidP="00131E24">
      <w:pPr>
        <w:pStyle w:val="Heading1"/>
        <w:rPr>
          <w:b/>
          <w:color w:val="auto"/>
          <w:sz w:val="24"/>
          <w:szCs w:val="24"/>
        </w:rPr>
      </w:pPr>
      <w:r w:rsidRPr="000B51D8">
        <w:rPr>
          <w:b/>
          <w:color w:val="auto"/>
          <w:sz w:val="24"/>
          <w:szCs w:val="24"/>
        </w:rPr>
        <w:t>Paper 1: Supplementary Figures</w:t>
      </w:r>
    </w:p>
    <w:p w:rsidR="00EE383D" w:rsidRDefault="00696455" w:rsidP="00EE383D">
      <w:pPr>
        <w:keepNext/>
      </w:pPr>
      <w:r>
        <w:rPr>
          <w:noProof/>
          <w:lang w:eastAsia="en-ZA"/>
        </w:rPr>
        <w:drawing>
          <wp:inline distT="0" distB="0" distL="0" distR="0">
            <wp:extent cx="5876925" cy="7484617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501" cy="7492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50DC" w:rsidRPr="00F12FEC" w:rsidRDefault="00EE383D" w:rsidP="00FC15AA">
      <w:pPr>
        <w:pStyle w:val="Caption"/>
        <w:spacing w:line="360" w:lineRule="auto"/>
        <w:jc w:val="both"/>
        <w:rPr>
          <w:i w:val="0"/>
          <w:color w:val="auto"/>
          <w:sz w:val="22"/>
          <w:szCs w:val="22"/>
        </w:rPr>
      </w:pPr>
      <w:r w:rsidRPr="00F12FEC">
        <w:rPr>
          <w:i w:val="0"/>
          <w:color w:val="auto"/>
          <w:sz w:val="22"/>
          <w:szCs w:val="22"/>
        </w:rPr>
        <w:t>Figure S</w:t>
      </w:r>
      <w:r w:rsidR="00DE2792" w:rsidRPr="00F12FEC">
        <w:rPr>
          <w:i w:val="0"/>
          <w:color w:val="auto"/>
          <w:sz w:val="22"/>
          <w:szCs w:val="22"/>
        </w:rPr>
        <w:fldChar w:fldCharType="begin"/>
      </w:r>
      <w:r w:rsidRPr="00F12FEC">
        <w:rPr>
          <w:i w:val="0"/>
          <w:color w:val="auto"/>
          <w:sz w:val="22"/>
          <w:szCs w:val="22"/>
        </w:rPr>
        <w:instrText xml:space="preserve"> SEQ Figure \* ARABIC </w:instrText>
      </w:r>
      <w:r w:rsidR="00DE2792" w:rsidRPr="00F12FEC">
        <w:rPr>
          <w:i w:val="0"/>
          <w:color w:val="auto"/>
          <w:sz w:val="22"/>
          <w:szCs w:val="22"/>
        </w:rPr>
        <w:fldChar w:fldCharType="separate"/>
      </w:r>
      <w:r w:rsidR="00FC15AA" w:rsidRPr="00F12FEC">
        <w:rPr>
          <w:i w:val="0"/>
          <w:noProof/>
          <w:color w:val="auto"/>
          <w:sz w:val="22"/>
          <w:szCs w:val="22"/>
        </w:rPr>
        <w:t>1</w:t>
      </w:r>
      <w:r w:rsidR="00DE2792" w:rsidRPr="00F12FEC">
        <w:rPr>
          <w:i w:val="0"/>
          <w:color w:val="auto"/>
          <w:sz w:val="22"/>
          <w:szCs w:val="22"/>
        </w:rPr>
        <w:fldChar w:fldCharType="end"/>
      </w:r>
      <w:r w:rsidRPr="00F12FEC">
        <w:rPr>
          <w:i w:val="0"/>
          <w:color w:val="auto"/>
          <w:sz w:val="22"/>
          <w:szCs w:val="22"/>
        </w:rPr>
        <w:t xml:space="preserve">: The </w:t>
      </w:r>
      <w:r w:rsidR="00FC15AA" w:rsidRPr="00F12FEC">
        <w:rPr>
          <w:i w:val="0"/>
          <w:color w:val="auto"/>
          <w:sz w:val="22"/>
          <w:szCs w:val="22"/>
        </w:rPr>
        <w:t>% increment in</w:t>
      </w:r>
      <w:r w:rsidRPr="00F12FEC">
        <w:rPr>
          <w:i w:val="0"/>
          <w:color w:val="auto"/>
          <w:sz w:val="22"/>
          <w:szCs w:val="22"/>
        </w:rPr>
        <w:t xml:space="preserve"> growth and ethanol yield relative to parental strain for the 1</w:t>
      </w:r>
      <w:r w:rsidRPr="00F12FEC">
        <w:rPr>
          <w:i w:val="0"/>
          <w:color w:val="auto"/>
          <w:sz w:val="22"/>
          <w:szCs w:val="22"/>
          <w:vertAlign w:val="superscript"/>
        </w:rPr>
        <w:t>st</w:t>
      </w:r>
      <w:r w:rsidRPr="00F12FEC">
        <w:rPr>
          <w:i w:val="0"/>
          <w:color w:val="auto"/>
          <w:sz w:val="22"/>
          <w:szCs w:val="22"/>
        </w:rPr>
        <w:t xml:space="preserve"> round transformants</w:t>
      </w:r>
      <w:r w:rsidR="00FC15AA" w:rsidRPr="00F12FEC">
        <w:rPr>
          <w:i w:val="0"/>
          <w:color w:val="auto"/>
          <w:sz w:val="22"/>
          <w:szCs w:val="22"/>
        </w:rPr>
        <w:t xml:space="preserve"> for the</w:t>
      </w:r>
      <w:r w:rsidRPr="00F12FEC">
        <w:rPr>
          <w:i w:val="0"/>
          <w:color w:val="auto"/>
          <w:sz w:val="22"/>
          <w:szCs w:val="22"/>
        </w:rPr>
        <w:t xml:space="preserve"> </w:t>
      </w:r>
      <w:r w:rsidR="00F83EB3" w:rsidRPr="00F12FEC">
        <w:rPr>
          <w:i w:val="0"/>
          <w:color w:val="auto"/>
          <w:sz w:val="22"/>
          <w:szCs w:val="22"/>
        </w:rPr>
        <w:t>(A) ARI1</w:t>
      </w:r>
      <w:r w:rsidR="00FC15AA" w:rsidRPr="00F12FEC">
        <w:rPr>
          <w:i w:val="0"/>
          <w:color w:val="auto"/>
          <w:sz w:val="22"/>
          <w:szCs w:val="22"/>
        </w:rPr>
        <w:t>-</w:t>
      </w:r>
      <w:r w:rsidR="00F83EB3" w:rsidRPr="00F12FEC">
        <w:rPr>
          <w:i w:val="0"/>
          <w:color w:val="auto"/>
          <w:sz w:val="22"/>
          <w:szCs w:val="22"/>
        </w:rPr>
        <w:t>derivatives, (B) PAD1</w:t>
      </w:r>
      <w:r w:rsidR="00FC15AA" w:rsidRPr="00F12FEC">
        <w:rPr>
          <w:i w:val="0"/>
          <w:color w:val="auto"/>
          <w:sz w:val="22"/>
          <w:szCs w:val="22"/>
        </w:rPr>
        <w:t>-</w:t>
      </w:r>
      <w:r w:rsidR="00F83EB3" w:rsidRPr="00F12FEC">
        <w:rPr>
          <w:i w:val="0"/>
          <w:color w:val="auto"/>
          <w:sz w:val="22"/>
          <w:szCs w:val="22"/>
        </w:rPr>
        <w:t>derivatives and (C) TAL1</w:t>
      </w:r>
      <w:r w:rsidR="00FC15AA" w:rsidRPr="00F12FEC">
        <w:rPr>
          <w:i w:val="0"/>
          <w:color w:val="auto"/>
          <w:sz w:val="22"/>
          <w:szCs w:val="22"/>
        </w:rPr>
        <w:t>-</w:t>
      </w:r>
      <w:r w:rsidR="00F83EB3" w:rsidRPr="00F12FEC">
        <w:rPr>
          <w:i w:val="0"/>
          <w:color w:val="auto"/>
          <w:sz w:val="22"/>
          <w:szCs w:val="22"/>
        </w:rPr>
        <w:t xml:space="preserve">derivatives </w:t>
      </w:r>
      <w:r w:rsidRPr="00F12FEC">
        <w:rPr>
          <w:i w:val="0"/>
          <w:color w:val="auto"/>
          <w:sz w:val="22"/>
          <w:szCs w:val="22"/>
        </w:rPr>
        <w:t>in fermentations in 2% SC-X supplemented with 65% v/v sugarcane hydrolysate at 120 h.</w:t>
      </w:r>
    </w:p>
    <w:p w:rsidR="00FC15AA" w:rsidRDefault="00FC15AA" w:rsidP="00FC15AA">
      <w:pPr>
        <w:keepNext/>
      </w:pPr>
      <w:bookmarkStart w:id="0" w:name="_GoBack"/>
      <w:r>
        <w:rPr>
          <w:noProof/>
          <w:lang w:eastAsia="en-ZA"/>
        </w:rPr>
        <w:lastRenderedPageBreak/>
        <w:drawing>
          <wp:inline distT="0" distB="0" distL="0" distR="0">
            <wp:extent cx="5705475" cy="756688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647" cy="7573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682B19" w:rsidRDefault="00682B19" w:rsidP="00682B19">
      <w:pPr>
        <w:pStyle w:val="NoSpacing"/>
      </w:pPr>
    </w:p>
    <w:p w:rsidR="00FC15AA" w:rsidRPr="00F12FEC" w:rsidRDefault="00FC15AA" w:rsidP="00363A3F">
      <w:pPr>
        <w:pStyle w:val="Caption"/>
        <w:spacing w:line="360" w:lineRule="auto"/>
        <w:jc w:val="both"/>
        <w:rPr>
          <w:i w:val="0"/>
          <w:color w:val="auto"/>
          <w:sz w:val="22"/>
          <w:szCs w:val="22"/>
        </w:rPr>
      </w:pPr>
      <w:r w:rsidRPr="00F12FEC">
        <w:rPr>
          <w:i w:val="0"/>
          <w:color w:val="auto"/>
          <w:sz w:val="22"/>
          <w:szCs w:val="22"/>
        </w:rPr>
        <w:t xml:space="preserve">Figure </w:t>
      </w:r>
      <w:r w:rsidR="00F12FEC" w:rsidRPr="00F12FEC">
        <w:rPr>
          <w:i w:val="0"/>
          <w:color w:val="auto"/>
          <w:sz w:val="22"/>
          <w:szCs w:val="22"/>
        </w:rPr>
        <w:t>S</w:t>
      </w:r>
      <w:r w:rsidR="00DE2792" w:rsidRPr="00F12FEC">
        <w:rPr>
          <w:i w:val="0"/>
          <w:color w:val="auto"/>
          <w:sz w:val="22"/>
          <w:szCs w:val="22"/>
        </w:rPr>
        <w:fldChar w:fldCharType="begin"/>
      </w:r>
      <w:r w:rsidRPr="00F12FEC">
        <w:rPr>
          <w:i w:val="0"/>
          <w:color w:val="auto"/>
          <w:sz w:val="22"/>
          <w:szCs w:val="22"/>
        </w:rPr>
        <w:instrText xml:space="preserve"> SEQ Figure \* ARABIC </w:instrText>
      </w:r>
      <w:r w:rsidR="00DE2792" w:rsidRPr="00F12FEC">
        <w:rPr>
          <w:i w:val="0"/>
          <w:color w:val="auto"/>
          <w:sz w:val="22"/>
          <w:szCs w:val="22"/>
        </w:rPr>
        <w:fldChar w:fldCharType="separate"/>
      </w:r>
      <w:r w:rsidRPr="00F12FEC">
        <w:rPr>
          <w:i w:val="0"/>
          <w:noProof/>
          <w:color w:val="auto"/>
          <w:sz w:val="22"/>
          <w:szCs w:val="22"/>
        </w:rPr>
        <w:t>2</w:t>
      </w:r>
      <w:r w:rsidR="00DE2792" w:rsidRPr="00F12FEC">
        <w:rPr>
          <w:i w:val="0"/>
          <w:color w:val="auto"/>
          <w:sz w:val="22"/>
          <w:szCs w:val="22"/>
        </w:rPr>
        <w:fldChar w:fldCharType="end"/>
      </w:r>
      <w:r w:rsidRPr="00F12FEC">
        <w:rPr>
          <w:i w:val="0"/>
          <w:color w:val="auto"/>
          <w:sz w:val="22"/>
          <w:szCs w:val="22"/>
        </w:rPr>
        <w:t xml:space="preserve">: </w:t>
      </w:r>
      <w:r w:rsidR="006E70DD" w:rsidRPr="00F12FEC">
        <w:rPr>
          <w:i w:val="0"/>
          <w:color w:val="auto"/>
          <w:sz w:val="22"/>
          <w:szCs w:val="22"/>
        </w:rPr>
        <w:t xml:space="preserve">The % increment in growth and ethanol yield relative to parental strain for the </w:t>
      </w:r>
      <w:r w:rsidR="00363A3F" w:rsidRPr="00F12FEC">
        <w:rPr>
          <w:i w:val="0"/>
          <w:color w:val="auto"/>
          <w:sz w:val="22"/>
          <w:szCs w:val="22"/>
        </w:rPr>
        <w:t>2nd</w:t>
      </w:r>
      <w:r w:rsidR="006E70DD" w:rsidRPr="00F12FEC">
        <w:rPr>
          <w:i w:val="0"/>
          <w:color w:val="auto"/>
          <w:sz w:val="22"/>
          <w:szCs w:val="22"/>
        </w:rPr>
        <w:t xml:space="preserve"> round transformants for the </w:t>
      </w:r>
      <w:r w:rsidR="00363A3F" w:rsidRPr="00F12FEC">
        <w:rPr>
          <w:i w:val="0"/>
          <w:color w:val="auto"/>
          <w:sz w:val="22"/>
          <w:szCs w:val="22"/>
        </w:rPr>
        <w:t>(A) AA6 (ARI1+ADH6)  + TF (TAL1 + FDH1) transformants</w:t>
      </w:r>
      <w:r w:rsidR="006E70DD" w:rsidRPr="00F12FEC">
        <w:rPr>
          <w:i w:val="0"/>
          <w:color w:val="auto"/>
          <w:sz w:val="22"/>
          <w:szCs w:val="22"/>
        </w:rPr>
        <w:t xml:space="preserve">, </w:t>
      </w:r>
      <w:r w:rsidR="00363A3F" w:rsidRPr="00F12FEC">
        <w:rPr>
          <w:i w:val="0"/>
          <w:color w:val="auto"/>
          <w:sz w:val="22"/>
          <w:szCs w:val="22"/>
        </w:rPr>
        <w:t xml:space="preserve">and </w:t>
      </w:r>
      <w:r w:rsidR="006E70DD" w:rsidRPr="00F12FEC">
        <w:rPr>
          <w:i w:val="0"/>
          <w:color w:val="auto"/>
          <w:sz w:val="22"/>
          <w:szCs w:val="22"/>
        </w:rPr>
        <w:t xml:space="preserve">(B) </w:t>
      </w:r>
      <w:r w:rsidR="00363A3F" w:rsidRPr="00F12FEC">
        <w:rPr>
          <w:i w:val="0"/>
          <w:color w:val="auto"/>
          <w:sz w:val="22"/>
          <w:szCs w:val="22"/>
        </w:rPr>
        <w:t xml:space="preserve">TF2 (TAL1 + FDH1) + AA transformants in </w:t>
      </w:r>
      <w:r w:rsidR="006E70DD" w:rsidRPr="00F12FEC">
        <w:rPr>
          <w:i w:val="0"/>
          <w:color w:val="auto"/>
          <w:sz w:val="22"/>
          <w:szCs w:val="22"/>
        </w:rPr>
        <w:t>fermentations in 2% SC-X supplemented with 65% v/v sugarcane hydrolysate at 120 h.</w:t>
      </w:r>
      <w:r w:rsidR="008E25AA" w:rsidRPr="00F12FEC">
        <w:rPr>
          <w:i w:val="0"/>
          <w:color w:val="auto"/>
          <w:sz w:val="22"/>
          <w:szCs w:val="22"/>
        </w:rPr>
        <w:t xml:space="preserve"> The asterisks indicates significant differences at p &lt; 0.05. </w:t>
      </w:r>
    </w:p>
    <w:sectPr w:rsidR="00FC15AA" w:rsidRPr="00F12FEC" w:rsidSect="00DE27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6760E"/>
    <w:rsid w:val="000B51D8"/>
    <w:rsid w:val="00131E24"/>
    <w:rsid w:val="00240959"/>
    <w:rsid w:val="00363A3F"/>
    <w:rsid w:val="0066760E"/>
    <w:rsid w:val="00682B19"/>
    <w:rsid w:val="00696455"/>
    <w:rsid w:val="006E70DD"/>
    <w:rsid w:val="00753506"/>
    <w:rsid w:val="008E25AA"/>
    <w:rsid w:val="00B2192F"/>
    <w:rsid w:val="00D550DC"/>
    <w:rsid w:val="00DE2792"/>
    <w:rsid w:val="00EE383D"/>
    <w:rsid w:val="00F12FEC"/>
    <w:rsid w:val="00F83EB3"/>
    <w:rsid w:val="00FC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8157C7"/>
  <w15:docId w15:val="{EB3A3CE3-AF7B-4C2D-B9D1-808E0A96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60E"/>
  </w:style>
  <w:style w:type="paragraph" w:styleId="Heading1">
    <w:name w:val="heading 1"/>
    <w:basedOn w:val="Normal"/>
    <w:next w:val="Normal"/>
    <w:link w:val="Heading1Char"/>
    <w:uiPriority w:val="9"/>
    <w:qFormat/>
    <w:rsid w:val="006676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6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EE38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682B1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F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Stellenbosch University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Brandt, BA, Mej &lt;babrandt@sun.ac.za&gt;</dc:creator>
  <cp:keywords/>
  <dc:description/>
  <cp:lastModifiedBy>Van Zyl, WH, Prof [whvz@sun.ac.za]</cp:lastModifiedBy>
  <cp:revision>15</cp:revision>
  <dcterms:created xsi:type="dcterms:W3CDTF">2018-06-19T09:42:00Z</dcterms:created>
  <dcterms:modified xsi:type="dcterms:W3CDTF">2020-07-13T11:36:00Z</dcterms:modified>
</cp:coreProperties>
</file>