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5B121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14:ligatures w14:val="none"/>
        </w:rPr>
      </w:pPr>
      <w:r w:rsidRPr="0008770D">
        <w:rPr>
          <w:rFonts w:ascii="Times New Roman" w:eastAsia="新細明體" w:hAnsi="Times New Roman" w:cs="Times New Roman"/>
          <w:b/>
          <w14:ligatures w14:val="none"/>
        </w:rPr>
        <w:t>Extended Data Figures</w:t>
      </w:r>
    </w:p>
    <w:p w14:paraId="6F390BF0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14:ligatures w14:val="none"/>
        </w:rPr>
      </w:pPr>
    </w:p>
    <w:p w14:paraId="7A8BE4EE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:color w:val="000000"/>
          <w14:ligatures w14:val="none"/>
        </w:rPr>
      </w:pPr>
      <w:r w:rsidRPr="0008770D">
        <w:rPr>
          <w:rFonts w:ascii="Times New Roman" w:eastAsia="新細明體" w:hAnsi="Times New Roman" w:cs="Times New Roman"/>
          <w:b/>
          <w:color w:val="000000"/>
          <w14:ligatures w14:val="none"/>
        </w:rPr>
        <w:t>Extended Data Fig. 1</w:t>
      </w:r>
      <w:r w:rsidRPr="0008770D">
        <w:rPr>
          <w:rFonts w:ascii="Times New Roman" w:eastAsia="新細明體" w:hAnsi="Times New Roman" w:cs="Times New Roman"/>
          <w:b/>
          <w:color w:val="000000"/>
          <w14:ligatures w14:val="none"/>
        </w:rPr>
        <w:t>｜</w:t>
      </w:r>
      <w:r w:rsidRPr="0008770D">
        <w:rPr>
          <w:rFonts w:ascii="Times New Roman" w:eastAsia="新細明體" w:hAnsi="Times New Roman" w:cs="Times New Roman"/>
          <w:color w:val="000000"/>
          <w:kern w:val="0"/>
          <w:lang w:eastAsia="ja-JP"/>
          <w14:ligatures w14:val="none"/>
        </w:rPr>
        <w:t>Results for fractionated proteins from cell lysates treated with or without b-</w:t>
      </w:r>
      <w:proofErr w:type="spellStart"/>
      <w:r w:rsidRPr="0008770D">
        <w:rPr>
          <w:rFonts w:ascii="Times New Roman" w:eastAsia="新細明體" w:hAnsi="Times New Roman" w:cs="Times New Roman"/>
          <w:color w:val="000000"/>
          <w:kern w:val="0"/>
          <w:lang w:eastAsia="ja-JP"/>
          <w14:ligatures w14:val="none"/>
        </w:rPr>
        <w:t>isox</w:t>
      </w:r>
      <w:proofErr w:type="spellEnd"/>
      <w:r w:rsidRPr="0008770D">
        <w:rPr>
          <w:rFonts w:ascii="Times New Roman" w:eastAsia="新細明體" w:hAnsi="Times New Roman" w:cs="Times New Roman"/>
          <w:color w:val="000000"/>
          <w:kern w:val="0"/>
          <w:lang w:eastAsia="ja-JP"/>
          <w14:ligatures w14:val="none"/>
        </w:rPr>
        <w:t xml:space="preserve"> are shown.</w:t>
      </w:r>
    </w:p>
    <w:p w14:paraId="63DA6A48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:color w:val="000000"/>
          <w14:ligatures w14:val="none"/>
        </w:rPr>
      </w:pPr>
    </w:p>
    <w:p w14:paraId="4D2C34AE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color w:val="000000"/>
          <w:szCs w:val="22"/>
          <w14:ligatures w14:val="none"/>
        </w:rPr>
      </w:pPr>
      <w:r w:rsidRPr="0008770D">
        <w:rPr>
          <w:rFonts w:ascii="Times New Roman" w:eastAsia="新細明體" w:hAnsi="Times New Roman" w:cs="Times New Roman"/>
          <w:b/>
          <w:color w:val="000000"/>
          <w14:ligatures w14:val="none"/>
        </w:rPr>
        <w:t>Extended Data Fig. 2</w:t>
      </w:r>
      <w:r w:rsidRPr="0008770D">
        <w:rPr>
          <w:rFonts w:ascii="Times New Roman" w:eastAsia="新細明體" w:hAnsi="Times New Roman" w:cs="Times New Roman"/>
          <w:b/>
          <w:color w:val="000000"/>
          <w14:ligatures w14:val="none"/>
        </w:rPr>
        <w:t>｜</w:t>
      </w:r>
      <w:r w:rsidRPr="0008770D">
        <w:rPr>
          <w:rFonts w:ascii="Times New Roman" w:eastAsia="新細明體" w:hAnsi="Times New Roman" w:cs="Times New Roman"/>
          <w:color w:val="000000"/>
          <w:szCs w:val="22"/>
          <w14:ligatures w14:val="none"/>
        </w:rPr>
        <w:t>Trajectory of granules derived from mCherry-SMN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exon6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sym w:font="Symbol" w:char="F02D"/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7</w:t>
      </w:r>
      <w:r w:rsidRPr="0008770D">
        <w:rPr>
          <w:rFonts w:ascii="Times New Roman" w:eastAsia="新細明體" w:hAnsi="Times New Roman" w:cs="Times New Roman"/>
          <w:color w:val="000000"/>
          <w:szCs w:val="22"/>
          <w14:ligatures w14:val="none"/>
        </w:rPr>
        <w:t>. mCherry-SMN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exon6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sym w:font="Symbol" w:char="F02D"/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7</w:t>
      </w:r>
      <w:r w:rsidRPr="0008770D">
        <w:rPr>
          <w:rFonts w:ascii="Times New Roman" w:eastAsia="新細明體" w:hAnsi="Times New Roman" w:cs="Times New Roman"/>
          <w:color w:val="000000"/>
          <w:szCs w:val="22"/>
          <w14:ligatures w14:val="none"/>
        </w:rPr>
        <w:t xml:space="preserve"> formed dispersed visible granules in cells. Scale bars: 10 µm. </w:t>
      </w:r>
      <w:r w:rsidRPr="0008770D">
        <w:rPr>
          <w:rFonts w:ascii="Times New Roman" w:eastAsia="新細明體" w:hAnsi="Times New Roman" w:cs="Times New Roman"/>
          <w:b/>
          <w:color w:val="000000"/>
          <w:szCs w:val="22"/>
          <w14:ligatures w14:val="none"/>
        </w:rPr>
        <w:t>d</w:t>
      </w:r>
      <w:r w:rsidRPr="0008770D">
        <w:rPr>
          <w:rFonts w:ascii="Times New Roman" w:eastAsia="新細明體" w:hAnsi="Times New Roman" w:cs="Times New Roman"/>
          <w:color w:val="000000"/>
          <w:szCs w:val="22"/>
          <w14:ligatures w14:val="none"/>
        </w:rPr>
        <w:t>, Images showing the fission and fusion of mCherry-SMN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exon6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sym w:font="Symbol" w:char="F02D"/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7</w:t>
      </w:r>
      <w:r w:rsidRPr="0008770D">
        <w:rPr>
          <w:rFonts w:ascii="Times New Roman" w:eastAsia="新細明體" w:hAnsi="Times New Roman" w:cs="Times New Roman"/>
          <w:color w:val="000000"/>
          <w:szCs w:val="22"/>
          <w14:ligatures w14:val="none"/>
        </w:rPr>
        <w:t>-derived granules. Visualization of supramolecular mCherry-SMN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exon6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sym w:font="Symbol" w:char="F02D"/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7</w:t>
      </w:r>
      <w:r w:rsidRPr="0008770D">
        <w:rPr>
          <w:rFonts w:ascii="Times New Roman" w:eastAsia="新細明體" w:hAnsi="Times New Roman" w:cs="Times New Roman"/>
          <w:color w:val="000000"/>
          <w:szCs w:val="22"/>
          <w14:ligatures w14:val="none"/>
        </w:rPr>
        <w:t xml:space="preserve"> protein by time-lapse microscopy and images of cells expressing mCherry-SMN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exon6</w:t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sym w:font="Symbol" w:char="F02D"/>
      </w:r>
      <w:r w:rsidRPr="0008770D">
        <w:rPr>
          <w:rFonts w:ascii="Times New Roman" w:eastAsia="新細明體" w:hAnsi="Times New Roman" w:cs="Times New Roman"/>
          <w:color w:val="000000"/>
          <w:szCs w:val="22"/>
          <w:vertAlign w:val="subscript"/>
          <w14:ligatures w14:val="none"/>
        </w:rPr>
        <w:t>7</w:t>
      </w:r>
      <w:r w:rsidRPr="0008770D">
        <w:rPr>
          <w:rFonts w:ascii="Times New Roman" w:eastAsia="新細明體" w:hAnsi="Times New Roman" w:cs="Times New Roman"/>
          <w:color w:val="000000"/>
          <w:szCs w:val="22"/>
          <w14:ligatures w14:val="none"/>
        </w:rPr>
        <w:t xml:space="preserve"> taken every 1.55 sec for 17.05 sec. The arrowheads in the high-magnification images indicate the collision and separation of two distinct granules. Scale bars: 5 µm.</w:t>
      </w:r>
    </w:p>
    <w:p w14:paraId="33EDDFF6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14:ligatures w14:val="none"/>
        </w:rPr>
      </w:pPr>
    </w:p>
    <w:p w14:paraId="47B5B7A9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14:ligatures w14:val="none"/>
        </w:rPr>
      </w:pPr>
      <w:r w:rsidRPr="0008770D">
        <w:rPr>
          <w:rFonts w:ascii="Times New Roman" w:eastAsia="新細明體" w:hAnsi="Times New Roman" w:cs="Times New Roman"/>
          <w:b/>
          <w14:ligatures w14:val="none"/>
        </w:rPr>
        <w:t>Extended Data Fig. 3</w:t>
      </w:r>
      <w:r w:rsidRPr="0008770D">
        <w:rPr>
          <w:rFonts w:ascii="Times New Roman" w:eastAsia="新細明體" w:hAnsi="Times New Roman" w:cs="Times New Roman"/>
          <w:b/>
          <w14:ligatures w14:val="none"/>
        </w:rPr>
        <w:t>｜</w:t>
      </w:r>
      <w:r w:rsidRPr="0008770D">
        <w:rPr>
          <w:rFonts w:ascii="Times New Roman" w:eastAsia="新細明體" w:hAnsi="Times New Roman" w:cs="Times New Roman"/>
          <w:b/>
          <w:szCs w:val="22"/>
          <w14:ligatures w14:val="none"/>
        </w:rPr>
        <w:t xml:space="preserve">RT-qPCR analysis of the mRNA levels of </w:t>
      </w:r>
      <w:r w:rsidRPr="0008770D">
        <w:rPr>
          <w:rFonts w:ascii="Times New Roman" w:eastAsia="新細明體" w:hAnsi="Times New Roman" w:cs="Times New Roman"/>
          <w:b/>
          <w:iCs/>
          <w:szCs w:val="22"/>
          <w14:ligatures w14:val="none"/>
        </w:rPr>
        <w:t>SMN-FL and SMN</w:t>
      </w:r>
      <w:r w:rsidRPr="0008770D">
        <w:rPr>
          <w:rFonts w:ascii="Symbol" w:eastAsia="新細明體" w:hAnsi="Symbol" w:cs="Times New Roman"/>
          <w:b/>
          <w14:ligatures w14:val="none"/>
        </w:rPr>
        <w:sym w:font="Symbol" w:char="F044"/>
      </w:r>
      <w:r w:rsidRPr="0008770D">
        <w:rPr>
          <w:rFonts w:ascii="Times New Roman" w:eastAsia="新細明體" w:hAnsi="Times New Roman" w:cs="Times New Roman"/>
          <w:b/>
          <w14:ligatures w14:val="none"/>
        </w:rPr>
        <w:t>7</w:t>
      </w:r>
      <w:r w:rsidRPr="0008770D">
        <w:rPr>
          <w:rFonts w:ascii="Times New Roman" w:eastAsia="新細明體" w:hAnsi="Times New Roman" w:cs="Times New Roman"/>
          <w:b/>
          <w:szCs w:val="22"/>
          <w14:ligatures w14:val="none"/>
        </w:rPr>
        <w:t xml:space="preserve"> in mice treated with or without baicalein.</w:t>
      </w:r>
    </w:p>
    <w:p w14:paraId="21539953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szCs w:val="22"/>
          <w14:ligatures w14:val="none"/>
        </w:rPr>
      </w:pPr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The data presented were normalized to the GAPDH level and are shown as the mean </w:t>
      </w:r>
      <w:r w:rsidRPr="0008770D">
        <w:rPr>
          <w:rFonts w:ascii="Symbol" w:eastAsia="新細明體" w:hAnsi="Symbol" w:cs="Times New Roman"/>
          <w:szCs w:val="22"/>
          <w14:ligatures w14:val="none"/>
        </w:rPr>
        <w:sym w:font="Symbol" w:char="F0B1"/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SD (</w:t>
      </w:r>
      <w:r w:rsidRPr="0008770D">
        <w:rPr>
          <w:rFonts w:ascii="Times New Roman" w:eastAsia="新細明體" w:hAnsi="Times New Roman" w:cs="Times New Roman"/>
          <w:i/>
          <w:iCs/>
          <w:szCs w:val="22"/>
          <w14:ligatures w14:val="none"/>
        </w:rPr>
        <w:t>n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= 4) mice in each group, unpaired two-tailed Student’s </w:t>
      </w:r>
      <w:r w:rsidRPr="0008770D">
        <w:rPr>
          <w:rFonts w:ascii="Times New Roman" w:eastAsia="新細明體" w:hAnsi="Times New Roman" w:cs="Times New Roman"/>
          <w:i/>
          <w:iCs/>
          <w:szCs w:val="22"/>
          <w14:ligatures w14:val="none"/>
        </w:rPr>
        <w:t>t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>-test.</w:t>
      </w:r>
    </w:p>
    <w:p w14:paraId="1F2DD135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14:ligatures w14:val="none"/>
        </w:rPr>
      </w:pPr>
    </w:p>
    <w:p w14:paraId="3BBF9FBE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14:ligatures w14:val="none"/>
        </w:rPr>
      </w:pPr>
      <w:r w:rsidRPr="0008770D">
        <w:rPr>
          <w:rFonts w:ascii="Times New Roman" w:eastAsia="新細明體" w:hAnsi="Times New Roman" w:cs="Times New Roman"/>
          <w:b/>
          <w14:ligatures w14:val="none"/>
        </w:rPr>
        <w:t>Extended Data Fig. 4</w:t>
      </w:r>
      <w:r w:rsidRPr="0008770D">
        <w:rPr>
          <w:rFonts w:ascii="新細明體" w:eastAsia="新細明體" w:hAnsi="新細明體" w:cs="Times New Roman"/>
          <w:b/>
          <w14:ligatures w14:val="none"/>
        </w:rPr>
        <w:t>｜</w:t>
      </w:r>
      <w:r w:rsidRPr="0008770D">
        <w:rPr>
          <w:rFonts w:ascii="Times New Roman" w:eastAsia="新細明體" w:hAnsi="Times New Roman" w:cs="Times New Roman"/>
          <w:b/>
          <w14:ligatures w14:val="none"/>
        </w:rPr>
        <w:t>The treatments of SMA Type I mice with baicalein</w:t>
      </w:r>
    </w:p>
    <w:p w14:paraId="41600C6C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14:ligatures w14:val="none"/>
        </w:rPr>
      </w:pPr>
      <w:r w:rsidRPr="0008770D">
        <w:rPr>
          <w:rFonts w:ascii="Times New Roman" w:eastAsia="新細明體" w:hAnsi="Times New Roman" w:cs="Times New Roman"/>
          <w14:ligatures w14:val="none"/>
        </w:rPr>
        <w:t xml:space="preserve">The therapeutic effects of 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>baicalein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 on motor function in SMA mice</w:t>
      </w:r>
      <w:r w:rsidRPr="0008770D">
        <w:rPr>
          <w:rFonts w:ascii="Times New Roman" w:eastAsia="新細明體" w:hAnsi="Times New Roman" w:cs="Times New Roman"/>
          <w:b/>
          <w14:ligatures w14:val="none"/>
        </w:rPr>
        <w:t xml:space="preserve">. 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SMA mice and their heterozygous littermates were treated with daily intraperitoneal 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>baicalein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 injections from birth and then subjected to motor functional analyses. The righting times (left panel), tube scores (middle panel), and tilting scores (right panel) of untreated (SMA, </w:t>
      </w:r>
      <w:r w:rsidRPr="0008770D">
        <w:rPr>
          <w:rFonts w:ascii="Times New Roman" w:eastAsia="新細明體" w:hAnsi="Times New Roman" w:cs="Times New Roman"/>
          <w:i/>
          <w14:ligatures w14:val="none"/>
        </w:rPr>
        <w:t>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=27; heterozygous, </w:t>
      </w:r>
      <w:r w:rsidRPr="0008770D">
        <w:rPr>
          <w:rFonts w:ascii="Times New Roman" w:eastAsia="新細明體" w:hAnsi="Times New Roman" w:cs="Times New Roman"/>
          <w:i/>
          <w14:ligatures w14:val="none"/>
        </w:rPr>
        <w:t>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=23) and 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>baicalein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-treated (SMA/TX, </w:t>
      </w:r>
      <w:r w:rsidRPr="0008770D">
        <w:rPr>
          <w:rFonts w:ascii="Times New Roman" w:eastAsia="新細明體" w:hAnsi="Times New Roman" w:cs="Times New Roman"/>
          <w:i/>
          <w14:ligatures w14:val="none"/>
        </w:rPr>
        <w:t>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=18; heterozygous/TX, </w:t>
      </w:r>
      <w:r w:rsidRPr="0008770D">
        <w:rPr>
          <w:rFonts w:ascii="Times New Roman" w:eastAsia="新細明體" w:hAnsi="Times New Roman" w:cs="Times New Roman"/>
          <w:i/>
          <w14:ligatures w14:val="none"/>
        </w:rPr>
        <w:t>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=27) SMA and heterozygous mice are shown. The motor function of SMA mice was significantly improved after 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>baicalein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 treatment, particularly on postnatal day 6, and was partially improved on postnatal day 8 (</w:t>
      </w:r>
      <w:r w:rsidRPr="0008770D">
        <w:rPr>
          <w:rFonts w:ascii="Times New Roman" w:eastAsia="新細明體" w:hAnsi="Times New Roman" w:cs="Times New Roman"/>
          <w:i/>
          <w14:ligatures w14:val="none"/>
        </w:rPr>
        <w:t>one-way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 ANOVA with the LSD post hoc test). * p&lt;0.05, ** p&lt;0.01, *** p&lt;0.001</w:t>
      </w:r>
      <w:r w:rsidRPr="0008770D">
        <w:rPr>
          <w:rFonts w:ascii="Times New Roman" w:eastAsia="新細明體" w:hAnsi="Times New Roman" w:cs="Times New Roman"/>
          <w:kern w:val="0"/>
          <w:lang w:eastAsia="ja-JP"/>
          <w14:ligatures w14:val="none"/>
        </w:rPr>
        <w:t xml:space="preserve">. 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The lifespans of SMA mice were not significantly different after 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>baicalein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 treatment (p=0.13, log-rank test). </w:t>
      </w:r>
      <w:r w:rsidRPr="0008770D">
        <w:rPr>
          <w:rFonts w:ascii="Times New Roman" w:eastAsia="新細明體" w:hAnsi="Times New Roman" w:cs="Times New Roman"/>
          <w:b/>
          <w14:ligatures w14:val="none"/>
        </w:rPr>
        <w:t xml:space="preserve">b </w:t>
      </w:r>
      <w:r w:rsidRPr="0008770D">
        <w:rPr>
          <w:rFonts w:ascii="Times New Roman" w:eastAsia="新細明體" w:hAnsi="Times New Roman" w:cs="Times New Roman"/>
          <w14:ligatures w14:val="none"/>
        </w:rPr>
        <w:t>&amp;</w:t>
      </w:r>
      <w:r w:rsidRPr="0008770D">
        <w:rPr>
          <w:rFonts w:ascii="Times New Roman" w:eastAsia="新細明體" w:hAnsi="Times New Roman" w:cs="Times New Roman"/>
          <w:b/>
          <w14:ligatures w14:val="none"/>
        </w:rPr>
        <w:t xml:space="preserve"> c,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 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>baicalein</w:t>
      </w:r>
      <w:r w:rsidRPr="0008770D">
        <w:rPr>
          <w:rFonts w:ascii="Times New Roman" w:eastAsia="新細明體" w:hAnsi="Times New Roman" w:cs="Times New Roman"/>
          <w14:ligatures w14:val="none"/>
        </w:rPr>
        <w:t xml:space="preserve"> treatment did not improve body weight gains in SMA mice.</w:t>
      </w:r>
    </w:p>
    <w:p w14:paraId="1CC96141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14:ligatures w14:val="none"/>
        </w:rPr>
      </w:pPr>
    </w:p>
    <w:p w14:paraId="74A4C22B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kern w:val="0"/>
          <w:lang w:eastAsia="ja-JP"/>
          <w14:ligatures w14:val="none"/>
        </w:rPr>
      </w:pPr>
      <w:r w:rsidRPr="0008770D">
        <w:rPr>
          <w:rFonts w:ascii="Times New Roman" w:eastAsia="新細明體" w:hAnsi="Times New Roman" w:cs="Times New Roman"/>
          <w:b/>
          <w14:ligatures w14:val="none"/>
        </w:rPr>
        <w:t>Extended Data Fig. 5</w:t>
      </w:r>
      <w:r w:rsidRPr="0008770D">
        <w:rPr>
          <w:rFonts w:ascii="新細明體" w:eastAsia="新細明體" w:hAnsi="新細明體" w:cs="Times New Roman"/>
          <w:b/>
          <w14:ligatures w14:val="none"/>
        </w:rPr>
        <w:t>｜</w:t>
      </w:r>
      <w:r w:rsidRPr="0008770D">
        <w:rPr>
          <w:rFonts w:ascii="Times New Roman" w:eastAsia="新細明體" w:hAnsi="Times New Roman" w:cs="Times New Roman"/>
          <w:szCs w:val="22"/>
          <w:lang/>
          <w14:ligatures w14:val="none"/>
        </w:rPr>
        <w:t>Plasma levels of ANX5 and SOD1, which are altered in ALS, remained unchanged in SMA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>.</w:t>
      </w:r>
    </w:p>
    <w:p w14:paraId="6FB9D75E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kern w:val="0"/>
          <w:lang w:eastAsia="ja-JP"/>
          <w14:ligatures w14:val="none"/>
        </w:rPr>
      </w:pPr>
    </w:p>
    <w:p w14:paraId="478812C8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b/>
          <w14:ligatures w14:val="none"/>
        </w:rPr>
      </w:pPr>
    </w:p>
    <w:p w14:paraId="30702751" w14:textId="77777777" w:rsidR="0008770D" w:rsidRDefault="0008770D">
      <w:pPr>
        <w:widowControl/>
        <w:rPr>
          <w:rFonts w:ascii="Times New Roman" w:eastAsia="新細明體" w:hAnsi="Times New Roman" w:cs="Times New Roman"/>
          <w:b/>
          <w:bCs/>
          <w:szCs w:val="22"/>
          <w14:ligatures w14:val="none"/>
        </w:rPr>
      </w:pPr>
      <w:r>
        <w:rPr>
          <w:rFonts w:ascii="Times New Roman" w:eastAsia="新細明體" w:hAnsi="Times New Roman" w:cs="Times New Roman"/>
          <w:b/>
          <w:bCs/>
          <w:szCs w:val="22"/>
          <w14:ligatures w14:val="none"/>
        </w:rPr>
        <w:br w:type="page"/>
      </w:r>
    </w:p>
    <w:p w14:paraId="4A455035" w14:textId="4B4EFDEC" w:rsidR="0008770D" w:rsidRPr="0008770D" w:rsidRDefault="0008770D" w:rsidP="0008770D">
      <w:pPr>
        <w:spacing w:after="0" w:line="240" w:lineRule="auto"/>
        <w:rPr>
          <w:rFonts w:ascii="Times New Roman" w:eastAsia="新細明體" w:hAnsi="Times New Roman" w:cs="Times New Roman"/>
          <w:b/>
          <w:bCs/>
          <w:szCs w:val="22"/>
          <w14:ligatures w14:val="none"/>
        </w:rPr>
      </w:pPr>
      <w:r w:rsidRPr="0008770D">
        <w:rPr>
          <w:rFonts w:ascii="Times New Roman" w:eastAsia="新細明體" w:hAnsi="Times New Roman" w:cs="Times New Roman"/>
          <w:b/>
          <w:bCs/>
          <w:szCs w:val="22"/>
          <w14:ligatures w14:val="none"/>
        </w:rPr>
        <w:lastRenderedPageBreak/>
        <w:t>Supplementary Methods</w:t>
      </w:r>
    </w:p>
    <w:p w14:paraId="6022DB04" w14:textId="77777777" w:rsidR="0008770D" w:rsidRPr="0008770D" w:rsidRDefault="0008770D" w:rsidP="0008770D">
      <w:pPr>
        <w:spacing w:after="0" w:line="240" w:lineRule="auto"/>
        <w:rPr>
          <w:rFonts w:ascii="Times New Roman" w:eastAsia="新細明體" w:hAnsi="Times New Roman" w:cs="Times New Roman"/>
          <w:szCs w:val="22"/>
          <w14:ligatures w14:val="none"/>
        </w:rPr>
      </w:pPr>
    </w:p>
    <w:p w14:paraId="34391985" w14:textId="77777777" w:rsidR="0008770D" w:rsidRPr="0008770D" w:rsidRDefault="0008770D" w:rsidP="0008770D">
      <w:pPr>
        <w:spacing w:after="0" w:line="240" w:lineRule="auto"/>
        <w:rPr>
          <w:rFonts w:ascii="Times New Roman" w:eastAsia="新細明體" w:hAnsi="Times New Roman" w:cs="Times New Roman"/>
          <w:b/>
          <w:bCs/>
          <w:szCs w:val="22"/>
          <w14:ligatures w14:val="none"/>
        </w:rPr>
      </w:pPr>
      <w:r w:rsidRPr="0008770D">
        <w:rPr>
          <w:rFonts w:ascii="Times New Roman" w:eastAsia="新細明體" w:hAnsi="Times New Roman" w:cs="Times New Roman"/>
          <w:b/>
          <w:bCs/>
          <w:szCs w:val="22"/>
          <w14:ligatures w14:val="none"/>
        </w:rPr>
        <w:t>Reverse Transcription and Real-time PCR</w:t>
      </w:r>
    </w:p>
    <w:p w14:paraId="0D94E0D5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szCs w:val="22"/>
          <w14:ligatures w14:val="none"/>
        </w:rPr>
      </w:pPr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Tissues from mice were dissected, and total RNA was extracted by </w:t>
      </w:r>
      <w:proofErr w:type="spellStart"/>
      <w:r w:rsidRPr="0008770D">
        <w:rPr>
          <w:rFonts w:ascii="Times New Roman" w:eastAsia="新細明體" w:hAnsi="Times New Roman" w:cs="Times New Roman"/>
          <w:szCs w:val="22"/>
          <w14:ligatures w14:val="none"/>
        </w:rPr>
        <w:t>Trizol</w:t>
      </w:r>
      <w:r w:rsidRPr="0008770D">
        <w:rPr>
          <w:rFonts w:ascii="Times New Roman" w:eastAsia="新細明體" w:hAnsi="Times New Roman" w:cs="Times New Roman"/>
          <w:szCs w:val="22"/>
          <w:vertAlign w:val="superscript"/>
          <w14:ligatures w14:val="none"/>
        </w:rPr>
        <w:t>TM</w:t>
      </w:r>
      <w:proofErr w:type="spellEnd"/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reagent (</w:t>
      </w:r>
      <w:proofErr w:type="spellStart"/>
      <w:r w:rsidRPr="0008770D">
        <w:rPr>
          <w:rFonts w:ascii="Times New Roman" w:eastAsia="新細明體" w:hAnsi="Times New Roman" w:cs="Times New Roman"/>
          <w:szCs w:val="22"/>
          <w14:ligatures w14:val="none"/>
        </w:rPr>
        <w:t>Thermo</w:t>
      </w:r>
      <w:proofErr w:type="spellEnd"/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Fisher Scientific) according to the manufacturer’s protocol. Reverse transcription was performed using an </w:t>
      </w:r>
      <w:proofErr w:type="spellStart"/>
      <w:r w:rsidRPr="0008770D">
        <w:rPr>
          <w:rFonts w:ascii="Times New Roman" w:eastAsia="新細明體" w:hAnsi="Times New Roman" w:cs="Times New Roman"/>
          <w:szCs w:val="22"/>
          <w14:ligatures w14:val="none"/>
        </w:rPr>
        <w:t>iScript</w:t>
      </w:r>
      <w:r w:rsidRPr="0008770D">
        <w:rPr>
          <w:rFonts w:ascii="Times New Roman" w:eastAsia="新細明體" w:hAnsi="Times New Roman" w:cs="Times New Roman"/>
          <w:szCs w:val="22"/>
          <w:vertAlign w:val="superscript"/>
          <w14:ligatures w14:val="none"/>
        </w:rPr>
        <w:t>TM</w:t>
      </w:r>
      <w:proofErr w:type="spellEnd"/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cDNA synthesis kit (Bio-Rad) and processed for quantitative PCR analysis on a CFX Connect Real-time system with built-in CFX Maestro software (Bio-Rad). The primer sequences for qPCR were as follows: SMN</w:t>
      </w:r>
      <w:r w:rsidRPr="0008770D">
        <w:rPr>
          <w:rFonts w:ascii="Times New Roman" w:eastAsia="新細明體" w:hAnsi="Times New Roman" w:cs="Times New Roman"/>
          <w:szCs w:val="22"/>
          <w:vertAlign w:val="subscript"/>
          <w14:ligatures w14:val="none"/>
        </w:rPr>
        <w:t>exon7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forward (F): 5’-GAAAAAGAAGGAAGGTGCTCACATT-3’; </w:t>
      </w:r>
      <w:proofErr w:type="spellStart"/>
      <w:r w:rsidRPr="0008770D">
        <w:rPr>
          <w:rFonts w:ascii="Times New Roman" w:eastAsia="新細明體" w:hAnsi="Times New Roman" w:cs="Times New Roman"/>
          <w:szCs w:val="22"/>
          <w14:ligatures w14:val="none"/>
        </w:rPr>
        <w:t>SMN</w:t>
      </w:r>
      <w:r w:rsidRPr="0008770D">
        <w:rPr>
          <w:rFonts w:ascii="Times New Roman" w:eastAsia="新細明體" w:hAnsi="Times New Roman" w:cs="Times New Roman"/>
          <w:szCs w:val="22"/>
          <w:vertAlign w:val="subscript"/>
          <w14:ligatures w14:val="none"/>
        </w:rPr>
        <w:t>exon</w:t>
      </w:r>
      <w:proofErr w:type="spellEnd"/>
      <w:r w:rsidRPr="0008770D">
        <w:rPr>
          <w:rFonts w:ascii="Times New Roman" w:eastAsia="新細明體" w:hAnsi="Times New Roman" w:cs="Times New Roman"/>
          <w:szCs w:val="22"/>
          <w:vertAlign w:val="subscript"/>
          <w14:ligatures w14:val="none"/>
        </w:rPr>
        <w:t xml:space="preserve"> 7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reverse (R): 5’-GTGTCATTTAGTGCTGCTCTATGC-3’; SMN</w:t>
      </w:r>
      <w:r w:rsidRPr="0008770D">
        <w:rPr>
          <w:rFonts w:ascii="Symbol" w:eastAsia="新細明體" w:hAnsi="Symbol" w:cs="Times New Roman"/>
          <w:szCs w:val="22"/>
          <w:vertAlign w:val="subscript"/>
          <w14:ligatures w14:val="none"/>
        </w:rPr>
        <w:sym w:font="Symbol" w:char="F044"/>
      </w:r>
      <w:r w:rsidRPr="0008770D">
        <w:rPr>
          <w:rFonts w:ascii="Times New Roman" w:eastAsia="新細明體" w:hAnsi="Times New Roman" w:cs="Times New Roman"/>
          <w:szCs w:val="22"/>
          <w:vertAlign w:val="subscript"/>
          <w14:ligatures w14:val="none"/>
        </w:rPr>
        <w:t>7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F: 5’-CATGGTACATGAGTGGCTATCATACTG-3’; SMN</w:t>
      </w:r>
      <w:r w:rsidRPr="0008770D">
        <w:rPr>
          <w:rFonts w:ascii="Symbol" w:eastAsia="新細明體" w:hAnsi="Symbol" w:cs="Times New Roman"/>
          <w:szCs w:val="22"/>
          <w:vertAlign w:val="subscript"/>
          <w14:ligatures w14:val="none"/>
        </w:rPr>
        <w:sym w:font="Symbol" w:char="F044"/>
      </w:r>
      <w:r w:rsidRPr="0008770D">
        <w:rPr>
          <w:rFonts w:ascii="Times New Roman" w:eastAsia="新細明體" w:hAnsi="Times New Roman" w:cs="Times New Roman"/>
          <w:szCs w:val="22"/>
          <w:vertAlign w:val="subscript"/>
          <w14:ligatures w14:val="none"/>
        </w:rPr>
        <w:t>7</w:t>
      </w:r>
      <w:r w:rsidRPr="0008770D">
        <w:rPr>
          <w:rFonts w:ascii="Times New Roman" w:eastAsia="新細明體" w:hAnsi="Times New Roman" w:cs="Times New Roman"/>
          <w:szCs w:val="22"/>
          <w14:ligatures w14:val="none"/>
        </w:rPr>
        <w:t xml:space="preserve"> R: 5’-TGGTGTCATTTA</w:t>
      </w:r>
    </w:p>
    <w:p w14:paraId="2381F2DE" w14:textId="77777777" w:rsidR="0008770D" w:rsidRPr="0008770D" w:rsidRDefault="0008770D" w:rsidP="0008770D">
      <w:pPr>
        <w:spacing w:after="0" w:line="240" w:lineRule="auto"/>
        <w:jc w:val="both"/>
        <w:rPr>
          <w:rFonts w:ascii="Times New Roman" w:eastAsia="新細明體" w:hAnsi="Times New Roman" w:cs="Times New Roman"/>
          <w:szCs w:val="22"/>
          <w14:ligatures w14:val="none"/>
        </w:rPr>
      </w:pPr>
      <w:r w:rsidRPr="0008770D">
        <w:rPr>
          <w:rFonts w:ascii="Times New Roman" w:eastAsia="新細明體" w:hAnsi="Times New Roman" w:cs="Times New Roman"/>
          <w:szCs w:val="22"/>
          <w14:ligatures w14:val="none"/>
        </w:rPr>
        <w:t>GTGCTGCTCTATG-3’; GAPDH F: 5’-GACTTCAACAGCAACTCC-3’; and GAPDH R: 5’-TATTCATTGTCATACCAGGAA-3’.</w:t>
      </w:r>
    </w:p>
    <w:p w14:paraId="39033097" w14:textId="77777777" w:rsidR="004C441C" w:rsidRPr="0008770D" w:rsidRDefault="004C441C"/>
    <w:sectPr w:rsidR="004C441C" w:rsidRPr="0008770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70D"/>
    <w:rsid w:val="0008770D"/>
    <w:rsid w:val="00150173"/>
    <w:rsid w:val="004C441C"/>
    <w:rsid w:val="00974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ECCE4"/>
  <w15:chartTrackingRefBased/>
  <w15:docId w15:val="{D7B4F0A8-1014-448E-A8ED-3C253C215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8770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7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770D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770D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77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770D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770D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770D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770D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8770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877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8770D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877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8770D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8770D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8770D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8770D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8770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8770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087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770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0877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877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8770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8770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8770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877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8770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877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chang</dc:creator>
  <cp:keywords/>
  <dc:description/>
  <cp:lastModifiedBy>michael chang</cp:lastModifiedBy>
  <cp:revision>1</cp:revision>
  <dcterms:created xsi:type="dcterms:W3CDTF">2024-06-14T16:25:00Z</dcterms:created>
  <dcterms:modified xsi:type="dcterms:W3CDTF">2024-06-14T16:25:00Z</dcterms:modified>
</cp:coreProperties>
</file>