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E2936" w14:textId="77777777" w:rsidR="007E0374" w:rsidRPr="0036054E" w:rsidRDefault="007E0374" w:rsidP="007E0374">
      <w:pPr>
        <w:pStyle w:val="PAParagraph"/>
        <w:numPr>
          <w:ilvl w:val="0"/>
          <w:numId w:val="0"/>
        </w:numPr>
        <w:jc w:val="both"/>
        <w:rPr>
          <w:b/>
          <w:bCs/>
          <w:sz w:val="24"/>
        </w:rPr>
      </w:pPr>
      <w:r w:rsidRPr="0036054E">
        <w:rPr>
          <w:b/>
          <w:bCs/>
          <w:sz w:val="24"/>
        </w:rPr>
        <w:t>Extended Data Fig. 1</w:t>
      </w:r>
    </w:p>
    <w:p w14:paraId="556FC4D9" w14:textId="77777777" w:rsidR="007E0374" w:rsidRPr="0036054E" w:rsidRDefault="007E0374" w:rsidP="007E0374">
      <w:pPr>
        <w:pStyle w:val="PAParagraph"/>
        <w:numPr>
          <w:ilvl w:val="0"/>
          <w:numId w:val="0"/>
        </w:numPr>
        <w:jc w:val="both"/>
        <w:rPr>
          <w:b/>
          <w:bCs/>
          <w:sz w:val="24"/>
        </w:rPr>
      </w:pPr>
      <w:r w:rsidRPr="0036054E">
        <w:rPr>
          <w:b/>
          <w:bCs/>
          <w:sz w:val="24"/>
        </w:rPr>
        <w:t xml:space="preserve">b-isox ELISA analysis of amyloid β with preceding A11 antibody depletion in plasma. </w:t>
      </w:r>
    </w:p>
    <w:p w14:paraId="3BDF9691" w14:textId="77777777" w:rsidR="007E0374" w:rsidRPr="0036054E" w:rsidRDefault="007E0374" w:rsidP="007E0374">
      <w:pPr>
        <w:pStyle w:val="PAParagraph"/>
        <w:numPr>
          <w:ilvl w:val="0"/>
          <w:numId w:val="0"/>
        </w:numPr>
        <w:jc w:val="both"/>
        <w:rPr>
          <w:sz w:val="24"/>
        </w:rPr>
      </w:pPr>
    </w:p>
    <w:p w14:paraId="0BA01B6F" w14:textId="77777777" w:rsidR="007E0374" w:rsidRDefault="007E0374" w:rsidP="007E0374">
      <w:pPr>
        <w:pStyle w:val="PAParagraph"/>
        <w:numPr>
          <w:ilvl w:val="0"/>
          <w:numId w:val="0"/>
        </w:numPr>
        <w:jc w:val="both"/>
        <w:rPr>
          <w:b/>
          <w:bCs/>
          <w:sz w:val="24"/>
        </w:rPr>
      </w:pPr>
      <w:r w:rsidRPr="0036054E">
        <w:rPr>
          <w:b/>
          <w:bCs/>
          <w:sz w:val="24"/>
        </w:rPr>
        <w:t>Extended Data Fig. 2</w:t>
      </w:r>
    </w:p>
    <w:p w14:paraId="1849343D" w14:textId="77777777" w:rsidR="007E0374" w:rsidRDefault="007E0374" w:rsidP="007E0374">
      <w:pPr>
        <w:pStyle w:val="PAParagraph"/>
        <w:numPr>
          <w:ilvl w:val="0"/>
          <w:numId w:val="0"/>
        </w:numPr>
        <w:jc w:val="both"/>
        <w:rPr>
          <w:b/>
          <w:bCs/>
          <w:sz w:val="24"/>
        </w:rPr>
      </w:pPr>
      <w:r w:rsidRPr="0036054E">
        <w:rPr>
          <w:b/>
          <w:bCs/>
          <w:sz w:val="24"/>
        </w:rPr>
        <w:t>The plasma levels of eight cross-β risk proteins at individual ALS stages were measured.</w:t>
      </w:r>
      <w:r>
        <w:rPr>
          <w:b/>
          <w:bCs/>
          <w:sz w:val="24"/>
        </w:rPr>
        <w:t xml:space="preserve"> </w:t>
      </w:r>
    </w:p>
    <w:p w14:paraId="4B65C381" w14:textId="77777777" w:rsidR="007E0374" w:rsidRDefault="007E0374" w:rsidP="007E0374">
      <w:pPr>
        <w:pStyle w:val="PAParagraph"/>
        <w:numPr>
          <w:ilvl w:val="0"/>
          <w:numId w:val="0"/>
        </w:numPr>
        <w:jc w:val="both"/>
        <w:rPr>
          <w:b/>
          <w:bCs/>
          <w:sz w:val="24"/>
        </w:rPr>
      </w:pPr>
      <w:r w:rsidRPr="0036054E">
        <w:rPr>
          <w:sz w:val="24"/>
        </w:rPr>
        <w:t xml:space="preserve">The percentages on top represent the patients with levels higher than the cutoff values. ALSFRS-R: stage I (score 40-48), II (score 30-39), III (score 20-29), IV (score 10-19). </w:t>
      </w:r>
    </w:p>
    <w:p w14:paraId="1A0A004F" w14:textId="77777777" w:rsidR="007E0374" w:rsidRPr="0036054E" w:rsidRDefault="007E0374" w:rsidP="007E0374">
      <w:pPr>
        <w:pStyle w:val="PAParagraph"/>
        <w:numPr>
          <w:ilvl w:val="0"/>
          <w:numId w:val="0"/>
        </w:numPr>
        <w:jc w:val="both"/>
        <w:rPr>
          <w:b/>
          <w:bCs/>
          <w:sz w:val="24"/>
        </w:rPr>
      </w:pPr>
    </w:p>
    <w:p w14:paraId="4A22F086" w14:textId="77777777" w:rsidR="00F7756E" w:rsidRPr="00F7756E" w:rsidRDefault="00F7756E" w:rsidP="00F7756E">
      <w:pPr>
        <w:jc w:val="both"/>
        <w:rPr>
          <w:rFonts w:eastAsia="標楷體"/>
          <w:b/>
          <w:bCs/>
          <w:color w:val="000000"/>
        </w:rPr>
      </w:pPr>
      <w:r w:rsidRPr="00F7756E">
        <w:rPr>
          <w:rFonts w:eastAsia="標楷體"/>
          <w:b/>
          <w:bCs/>
          <w:color w:val="000000"/>
        </w:rPr>
        <w:t xml:space="preserve">Extended Data Fig. 3 </w:t>
      </w:r>
    </w:p>
    <w:p w14:paraId="397211EE" w14:textId="77777777" w:rsidR="00F7756E" w:rsidRPr="00F7756E" w:rsidRDefault="00F7756E" w:rsidP="00F7756E">
      <w:pPr>
        <w:jc w:val="both"/>
        <w:rPr>
          <w:rFonts w:eastAsia="標楷體"/>
          <w:b/>
          <w:color w:val="000000"/>
        </w:rPr>
      </w:pPr>
      <w:r w:rsidRPr="00F7756E">
        <w:rPr>
          <w:rFonts w:eastAsia="標楷體"/>
          <w:b/>
          <w:color w:val="000000"/>
        </w:rPr>
        <w:t>Longitudinal tracking of plasma biomarkers.</w:t>
      </w:r>
    </w:p>
    <w:p w14:paraId="6826BBB6" w14:textId="77777777" w:rsidR="00F7756E" w:rsidRPr="00F7756E" w:rsidRDefault="00F7756E" w:rsidP="00F7756E">
      <w:pPr>
        <w:jc w:val="both"/>
        <w:rPr>
          <w:rFonts w:eastAsia="新細明體"/>
          <w:b/>
          <w:color w:val="000000"/>
          <w:lang w:eastAsia="ja-JP"/>
        </w:rPr>
      </w:pPr>
      <w:r w:rsidRPr="00F7756E">
        <w:rPr>
          <w:rFonts w:eastAsia="標楷體"/>
          <w:color w:val="000000"/>
          <w:lang/>
        </w:rPr>
        <w:t xml:space="preserve">Three examples of longitudinal tracking of </w:t>
      </w:r>
      <w:r w:rsidRPr="00F7756E">
        <w:rPr>
          <w:rFonts w:eastAsia="標楷體"/>
          <w:color w:val="000000"/>
        </w:rPr>
        <w:t>eight</w:t>
      </w:r>
      <w:r w:rsidRPr="00F7756E">
        <w:rPr>
          <w:rFonts w:eastAsia="標楷體"/>
          <w:color w:val="000000"/>
          <w:lang/>
        </w:rPr>
        <w:t xml:space="preserve"> biomarkers, MYL12, STOM, CA1, p-TDP- 43, SOD1, CD14, PRDX2 </w:t>
      </w:r>
      <w:r w:rsidRPr="00F7756E">
        <w:rPr>
          <w:rFonts w:eastAsia="標楷體"/>
          <w:color w:val="000000"/>
        </w:rPr>
        <w:t xml:space="preserve">and C9orf72 poly (GR) </w:t>
      </w:r>
      <w:r w:rsidRPr="00F7756E">
        <w:rPr>
          <w:rFonts w:eastAsia="標楷體"/>
          <w:color w:val="000000"/>
          <w:lang/>
        </w:rPr>
        <w:t xml:space="preserve">in patients with ALS. The cutoff values are indicated by dot line. </w:t>
      </w:r>
    </w:p>
    <w:p w14:paraId="30FC36AB" w14:textId="77777777" w:rsidR="00F7756E" w:rsidRPr="00F7756E" w:rsidRDefault="00F7756E" w:rsidP="00F7756E">
      <w:pPr>
        <w:jc w:val="both"/>
        <w:rPr>
          <w:rFonts w:eastAsia="新細明體"/>
          <w:b/>
          <w:color w:val="000000"/>
          <w:lang w:eastAsia="ja-JP"/>
        </w:rPr>
      </w:pPr>
    </w:p>
    <w:p w14:paraId="56CA1A22" w14:textId="77777777" w:rsidR="00F7756E" w:rsidRPr="00F7756E" w:rsidRDefault="00F7756E" w:rsidP="00F7756E">
      <w:pPr>
        <w:jc w:val="both"/>
        <w:rPr>
          <w:rFonts w:eastAsia="標楷體"/>
          <w:b/>
          <w:bCs/>
          <w:color w:val="000000"/>
        </w:rPr>
      </w:pPr>
      <w:r w:rsidRPr="00F7756E">
        <w:rPr>
          <w:rFonts w:eastAsia="標楷體"/>
          <w:b/>
          <w:bCs/>
          <w:color w:val="000000"/>
        </w:rPr>
        <w:t xml:space="preserve">Extended Data Fig. 4 </w:t>
      </w:r>
    </w:p>
    <w:p w14:paraId="2259664A" w14:textId="77777777" w:rsidR="00F7756E" w:rsidRPr="00F7756E" w:rsidRDefault="00F7756E" w:rsidP="00F7756E">
      <w:pPr>
        <w:jc w:val="both"/>
        <w:rPr>
          <w:rFonts w:eastAsia="標楷體"/>
          <w:b/>
          <w:bCs/>
          <w:color w:val="000000"/>
        </w:rPr>
      </w:pPr>
      <w:proofErr w:type="spellStart"/>
      <w:r w:rsidRPr="00F7756E">
        <w:rPr>
          <w:rFonts w:eastAsia="標楷體"/>
          <w:b/>
          <w:color w:val="000000"/>
        </w:rPr>
        <w:t>Edaravone</w:t>
      </w:r>
      <w:proofErr w:type="spellEnd"/>
      <w:r w:rsidRPr="00F7756E">
        <w:rPr>
          <w:rFonts w:eastAsia="標楷體"/>
          <w:b/>
          <w:color w:val="000000"/>
        </w:rPr>
        <w:t xml:space="preserve"> </w:t>
      </w:r>
      <w:proofErr w:type="spellStart"/>
      <w:r w:rsidRPr="00F7756E">
        <w:rPr>
          <w:rFonts w:eastAsia="標楷體"/>
          <w:b/>
          <w:color w:val="000000"/>
        </w:rPr>
        <w:t>pharmacoresponse</w:t>
      </w:r>
      <w:proofErr w:type="spellEnd"/>
      <w:r w:rsidRPr="00F7756E">
        <w:rPr>
          <w:rFonts w:eastAsia="標楷體"/>
          <w:b/>
          <w:color w:val="000000"/>
        </w:rPr>
        <w:t xml:space="preserve"> in ALS</w:t>
      </w:r>
    </w:p>
    <w:p w14:paraId="5AB5F9DA" w14:textId="77777777" w:rsidR="00F7756E" w:rsidRPr="00F7756E" w:rsidRDefault="00F7756E" w:rsidP="00F7756E">
      <w:pPr>
        <w:jc w:val="both"/>
        <w:rPr>
          <w:rFonts w:eastAsia="新細明體"/>
          <w:bCs/>
          <w:color w:val="000000"/>
          <w:lang w:eastAsia="ja-JP"/>
        </w:rPr>
      </w:pPr>
      <w:r w:rsidRPr="00F7756E">
        <w:rPr>
          <w:rFonts w:eastAsia="新細明體"/>
          <w:bCs/>
          <w:color w:val="000000"/>
          <w:lang w:eastAsia="ja-JP"/>
        </w:rPr>
        <w:t xml:space="preserve">Analysis of biomarkers of two ALS patients treated with </w:t>
      </w:r>
      <w:proofErr w:type="spellStart"/>
      <w:r w:rsidRPr="00F7756E">
        <w:rPr>
          <w:rFonts w:eastAsia="新細明體"/>
          <w:bCs/>
          <w:color w:val="000000"/>
          <w:lang w:eastAsia="ja-JP"/>
        </w:rPr>
        <w:t>edaravone</w:t>
      </w:r>
      <w:proofErr w:type="spellEnd"/>
      <w:r w:rsidRPr="00F7756E">
        <w:rPr>
          <w:rFonts w:eastAsia="新細明體"/>
          <w:bCs/>
          <w:color w:val="000000"/>
          <w:lang w:eastAsia="ja-JP"/>
        </w:rPr>
        <w:t xml:space="preserve">. The red arrow marks the time point at which </w:t>
      </w:r>
      <w:proofErr w:type="spellStart"/>
      <w:r w:rsidRPr="00F7756E">
        <w:rPr>
          <w:rFonts w:eastAsia="新細明體"/>
          <w:bCs/>
          <w:color w:val="000000"/>
          <w:lang w:eastAsia="ja-JP"/>
        </w:rPr>
        <w:t>edaravone</w:t>
      </w:r>
      <w:proofErr w:type="spellEnd"/>
      <w:r w:rsidRPr="00F7756E">
        <w:rPr>
          <w:rFonts w:eastAsia="新細明體"/>
          <w:bCs/>
          <w:color w:val="000000"/>
          <w:lang w:eastAsia="ja-JP"/>
        </w:rPr>
        <w:t xml:space="preserve"> administration occurred.</w:t>
      </w:r>
    </w:p>
    <w:p w14:paraId="7E11D014" w14:textId="77777777" w:rsidR="007E0374" w:rsidRPr="00F7756E" w:rsidRDefault="007E0374" w:rsidP="007E0374">
      <w:pPr>
        <w:pStyle w:val="PAParagraph"/>
        <w:numPr>
          <w:ilvl w:val="0"/>
          <w:numId w:val="0"/>
        </w:numPr>
        <w:jc w:val="both"/>
        <w:rPr>
          <w:sz w:val="24"/>
        </w:rPr>
      </w:pPr>
    </w:p>
    <w:p w14:paraId="220C29D6" w14:textId="77777777" w:rsidR="007E0374" w:rsidRDefault="007E0374">
      <w:pPr>
        <w:spacing w:after="160" w:line="278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0C689B63" w14:textId="5E7AA4AB" w:rsidR="007E0374" w:rsidRPr="00FF594F" w:rsidRDefault="007E0374" w:rsidP="007E0374">
      <w:pPr>
        <w:rPr>
          <w:color w:val="0070C0"/>
        </w:rPr>
      </w:pPr>
      <w:r w:rsidRPr="00F21456">
        <w:rPr>
          <w:b/>
          <w:bCs/>
          <w:color w:val="000000" w:themeColor="text1"/>
        </w:rPr>
        <w:lastRenderedPageBreak/>
        <w:t>Table S1.</w:t>
      </w:r>
      <w:r w:rsidRPr="00F21456">
        <w:rPr>
          <w:color w:val="000000" w:themeColor="text1"/>
        </w:rPr>
        <w:t xml:space="preserve"> Top 20 functionally enriched KEGG pathways using 622 proteins.</w:t>
      </w:r>
    </w:p>
    <w:p w14:paraId="241DCBDB" w14:textId="77777777" w:rsidR="007E0374" w:rsidRPr="00FF594F" w:rsidRDefault="007E0374" w:rsidP="007E0374">
      <w:pPr>
        <w:rPr>
          <w:color w:val="0070C0"/>
        </w:rPr>
      </w:pPr>
      <w:r>
        <w:rPr>
          <w:noProof/>
          <w:color w:val="0070C0"/>
        </w:rPr>
        <w:drawing>
          <wp:inline distT="0" distB="0" distL="0" distR="0" wp14:anchorId="26224E74" wp14:editId="624DD1E8">
            <wp:extent cx="4451350" cy="2571431"/>
            <wp:effectExtent l="0" t="0" r="6350" b="635"/>
            <wp:docPr id="2" name="圖片 2" descr="一張含有 螢幕擷取畫面, 文字, 軟體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 descr="一張含有 螢幕擷取畫面, 文字, 軟體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045" cy="25793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EAAD74" w14:textId="77777777" w:rsidR="004C441C" w:rsidRDefault="004C441C"/>
    <w:sectPr w:rsidR="004C441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7682A7" w14:textId="77777777" w:rsidR="00387AE4" w:rsidRDefault="00387AE4" w:rsidP="00F7756E">
      <w:r>
        <w:separator/>
      </w:r>
    </w:p>
  </w:endnote>
  <w:endnote w:type="continuationSeparator" w:id="0">
    <w:p w14:paraId="4554B682" w14:textId="77777777" w:rsidR="00387AE4" w:rsidRDefault="00387AE4" w:rsidP="00F77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altName w:val="SimSun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DC0F59" w14:textId="77777777" w:rsidR="00387AE4" w:rsidRDefault="00387AE4" w:rsidP="00F7756E">
      <w:r>
        <w:separator/>
      </w:r>
    </w:p>
  </w:footnote>
  <w:footnote w:type="continuationSeparator" w:id="0">
    <w:p w14:paraId="2365A90C" w14:textId="77777777" w:rsidR="00387AE4" w:rsidRDefault="00387AE4" w:rsidP="00F775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DE6C1D"/>
    <w:multiLevelType w:val="multilevel"/>
    <w:tmpl w:val="E28EF0C6"/>
    <w:lvl w:ilvl="0">
      <w:start w:val="1"/>
      <w:numFmt w:val="decimalZero"/>
      <w:pStyle w:val="PAParagraph"/>
      <w:lvlText w:val="[00%1]"/>
      <w:lvlJc w:val="left"/>
      <w:pPr>
        <w:tabs>
          <w:tab w:val="num" w:pos="3414"/>
        </w:tabs>
        <w:ind w:left="2694" w:firstLine="0"/>
      </w:pPr>
      <w:rPr>
        <w:rFonts w:ascii="Arial" w:hAnsi="Arial" w:hint="default"/>
        <w:b/>
        <w:i w:val="0"/>
        <w:color w:val="auto"/>
        <w:sz w:val="20"/>
        <w:u w:val="none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145"/>
        </w:tabs>
        <w:ind w:left="114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865"/>
        </w:tabs>
        <w:ind w:left="1505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65"/>
        </w:tabs>
        <w:ind w:left="186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225"/>
        </w:tabs>
        <w:ind w:left="2225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85"/>
        </w:tabs>
        <w:ind w:left="2585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945"/>
        </w:tabs>
        <w:ind w:left="294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305"/>
        </w:tabs>
        <w:ind w:left="3305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65"/>
        </w:tabs>
        <w:ind w:left="3665" w:hanging="360"/>
      </w:pPr>
      <w:rPr>
        <w:rFonts w:hint="default"/>
      </w:rPr>
    </w:lvl>
  </w:abstractNum>
  <w:num w:numId="1" w16cid:durableId="140463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374"/>
    <w:rsid w:val="00387AE4"/>
    <w:rsid w:val="004C441C"/>
    <w:rsid w:val="007E0374"/>
    <w:rsid w:val="00974FDC"/>
    <w:rsid w:val="00C80BA8"/>
    <w:rsid w:val="00DA66E7"/>
    <w:rsid w:val="00F7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5F325"/>
  <w15:chartTrackingRefBased/>
  <w15:docId w15:val="{916FC607-F466-4E45-ADD8-63C4AE02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37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E037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0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037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037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03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0374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0374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0374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0374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E037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7E03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7E037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7E03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7E037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7E037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7E037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7E037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7E037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E037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7E03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037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7E03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03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7E037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037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037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03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7E037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E0374"/>
    <w:rPr>
      <w:b/>
      <w:bCs/>
      <w:smallCaps/>
      <w:color w:val="0F4761" w:themeColor="accent1" w:themeShade="BF"/>
      <w:spacing w:val="5"/>
    </w:rPr>
  </w:style>
  <w:style w:type="paragraph" w:customStyle="1" w:styleId="PAParagraph">
    <w:name w:val="PA Paragraph"/>
    <w:basedOn w:val="a"/>
    <w:link w:val="PAParagraph0"/>
    <w:rsid w:val="007E0374"/>
    <w:pPr>
      <w:numPr>
        <w:numId w:val="1"/>
      </w:numPr>
      <w:tabs>
        <w:tab w:val="clear" w:pos="3414"/>
        <w:tab w:val="num" w:pos="1145"/>
      </w:tabs>
      <w:ind w:left="425"/>
    </w:pPr>
    <w:rPr>
      <w:rFonts w:eastAsia="標楷體"/>
      <w:color w:val="000000"/>
      <w:sz w:val="20"/>
    </w:rPr>
  </w:style>
  <w:style w:type="character" w:customStyle="1" w:styleId="PAParagraph0">
    <w:name w:val="PA Paragraph 字元"/>
    <w:link w:val="PAParagraph"/>
    <w:rsid w:val="007E0374"/>
    <w:rPr>
      <w:rFonts w:ascii="Times New Roman" w:eastAsia="標楷體" w:hAnsi="Times New Roman" w:cs="Times New Roman"/>
      <w:color w:val="000000"/>
      <w:kern w:val="0"/>
      <w:sz w:val="20"/>
      <w14:ligatures w14:val="none"/>
    </w:rPr>
  </w:style>
  <w:style w:type="paragraph" w:styleId="ae">
    <w:name w:val="header"/>
    <w:basedOn w:val="a"/>
    <w:link w:val="af"/>
    <w:uiPriority w:val="99"/>
    <w:unhideWhenUsed/>
    <w:rsid w:val="00F775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F7756E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af0">
    <w:name w:val="footer"/>
    <w:basedOn w:val="a"/>
    <w:link w:val="af1"/>
    <w:uiPriority w:val="99"/>
    <w:unhideWhenUsed/>
    <w:rsid w:val="00F775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F7756E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chang</dc:creator>
  <cp:keywords/>
  <dc:description/>
  <cp:lastModifiedBy>michael chang</cp:lastModifiedBy>
  <cp:revision>2</cp:revision>
  <dcterms:created xsi:type="dcterms:W3CDTF">2024-06-15T08:40:00Z</dcterms:created>
  <dcterms:modified xsi:type="dcterms:W3CDTF">2024-06-15T10:03:00Z</dcterms:modified>
</cp:coreProperties>
</file>