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DD50F" w14:textId="780A8D9D" w:rsidR="004B5534" w:rsidRDefault="004B5534" w:rsidP="00CF23B3">
      <w:pPr>
        <w:rPr>
          <w:rFonts w:eastAsia="Times New Roman" w:cs="Times New Roman"/>
          <w:szCs w:val="24"/>
          <w:lang w:eastAsia="es-CO"/>
        </w:rPr>
      </w:pPr>
      <w:bookmarkStart w:id="0" w:name="_Hlk51849233"/>
      <w:r w:rsidRPr="004B5534">
        <w:rPr>
          <w:rFonts w:eastAsia="Times New Roman" w:cs="Times New Roman"/>
          <w:b/>
          <w:bCs/>
          <w:szCs w:val="24"/>
          <w:lang w:eastAsia="es-CO"/>
        </w:rPr>
        <w:t>S</w:t>
      </w:r>
      <w:r w:rsidRPr="00CC7E85">
        <w:rPr>
          <w:rFonts w:eastAsia="Times New Roman" w:cs="Times New Roman"/>
          <w:b/>
          <w:bCs/>
          <w:szCs w:val="24"/>
          <w:vertAlign w:val="subscript"/>
          <w:lang w:eastAsia="es-CO"/>
        </w:rPr>
        <w:t>2</w:t>
      </w:r>
      <w:r w:rsidRPr="004B5534">
        <w:rPr>
          <w:rFonts w:eastAsia="Times New Roman" w:cs="Times New Roman"/>
          <w:szCs w:val="24"/>
          <w:lang w:eastAsia="es-CO"/>
        </w:rPr>
        <w:t xml:space="preserve">. Summary information of target genes used in this </w:t>
      </w:r>
      <w:proofErr w:type="gramStart"/>
      <w:r w:rsidRPr="004B5534">
        <w:rPr>
          <w:rFonts w:eastAsia="Times New Roman" w:cs="Times New Roman"/>
          <w:szCs w:val="24"/>
          <w:lang w:eastAsia="es-CO"/>
        </w:rPr>
        <w:t>research</w:t>
      </w:r>
      <w:proofErr w:type="gramEnd"/>
    </w:p>
    <w:tbl>
      <w:tblPr>
        <w:tblStyle w:val="Tablaconcuadrcula"/>
        <w:tblW w:w="8980" w:type="dxa"/>
        <w:tblLook w:val="04A0" w:firstRow="1" w:lastRow="0" w:firstColumn="1" w:lastColumn="0" w:noHBand="0" w:noVBand="1"/>
      </w:tblPr>
      <w:tblGrid>
        <w:gridCol w:w="1377"/>
        <w:gridCol w:w="1556"/>
        <w:gridCol w:w="1451"/>
        <w:gridCol w:w="2392"/>
        <w:gridCol w:w="1022"/>
        <w:gridCol w:w="1034"/>
        <w:gridCol w:w="148"/>
      </w:tblGrid>
      <w:tr w:rsidR="00DF4B17" w14:paraId="0112DE78" w14:textId="77777777" w:rsidTr="00DF4B17">
        <w:trPr>
          <w:gridAfter w:val="1"/>
          <w:wAfter w:w="148" w:type="dxa"/>
          <w:trHeight w:val="266"/>
        </w:trPr>
        <w:tc>
          <w:tcPr>
            <w:tcW w:w="1377" w:type="dxa"/>
          </w:tcPr>
          <w:bookmarkEnd w:id="0"/>
          <w:p w14:paraId="75055B54" w14:textId="77777777" w:rsidR="00BB2191" w:rsidRDefault="00BB2191" w:rsidP="00653A0B">
            <w:pPr>
              <w:spacing w:before="0" w:after="0"/>
              <w:jc w:val="center"/>
              <w:rPr>
                <w:rFonts w:eastAsia="Times New Roman" w:cs="Times New Roman"/>
                <w:b/>
                <w:bCs/>
                <w:color w:val="000000"/>
                <w:sz w:val="18"/>
                <w:szCs w:val="18"/>
                <w:lang w:val="es-CO" w:eastAsia="es-CO"/>
              </w:rPr>
            </w:pPr>
            <w:r>
              <w:rPr>
                <w:rFonts w:eastAsia="Times New Roman" w:cs="Times New Roman"/>
                <w:b/>
                <w:bCs/>
                <w:color w:val="000000"/>
                <w:sz w:val="18"/>
                <w:szCs w:val="18"/>
                <w:lang w:eastAsia="es-CO"/>
              </w:rPr>
              <w:t>Gene</w:t>
            </w:r>
          </w:p>
        </w:tc>
        <w:tc>
          <w:tcPr>
            <w:tcW w:w="1556" w:type="dxa"/>
          </w:tcPr>
          <w:p w14:paraId="698D8B7E" w14:textId="77777777" w:rsidR="00BB2191" w:rsidRDefault="00BB2191" w:rsidP="00653A0B">
            <w:pPr>
              <w:spacing w:before="0" w:after="0"/>
              <w:jc w:val="center"/>
              <w:rPr>
                <w:rFonts w:eastAsia="Times New Roman" w:cs="Times New Roman"/>
                <w:b/>
                <w:bCs/>
                <w:color w:val="000000"/>
                <w:sz w:val="18"/>
                <w:szCs w:val="18"/>
                <w:lang w:val="es-CO" w:eastAsia="es-CO"/>
              </w:rPr>
            </w:pPr>
            <w:proofErr w:type="spellStart"/>
            <w:r>
              <w:rPr>
                <w:rFonts w:eastAsia="Times New Roman" w:cs="Times New Roman"/>
                <w:b/>
                <w:bCs/>
                <w:color w:val="000000"/>
                <w:sz w:val="18"/>
                <w:szCs w:val="18"/>
                <w:lang w:eastAsia="es-CO"/>
              </w:rPr>
              <w:t>InterPro</w:t>
            </w:r>
            <w:proofErr w:type="spellEnd"/>
            <w:r>
              <w:rPr>
                <w:rFonts w:eastAsia="Times New Roman" w:cs="Times New Roman"/>
                <w:b/>
                <w:bCs/>
                <w:color w:val="000000"/>
                <w:sz w:val="18"/>
                <w:szCs w:val="18"/>
                <w:lang w:eastAsia="es-CO"/>
              </w:rPr>
              <w:t xml:space="preserve"> domains</w:t>
            </w:r>
          </w:p>
        </w:tc>
        <w:tc>
          <w:tcPr>
            <w:tcW w:w="1451" w:type="dxa"/>
          </w:tcPr>
          <w:p w14:paraId="762D42DA" w14:textId="77777777" w:rsidR="00BB2191" w:rsidRDefault="00BB2191" w:rsidP="00653A0B">
            <w:pPr>
              <w:spacing w:before="0" w:after="0"/>
              <w:jc w:val="center"/>
              <w:rPr>
                <w:rFonts w:eastAsia="Times New Roman" w:cs="Times New Roman"/>
                <w:b/>
                <w:bCs/>
                <w:color w:val="000000"/>
                <w:sz w:val="18"/>
                <w:szCs w:val="18"/>
                <w:lang w:val="es-CO" w:eastAsia="es-CO"/>
              </w:rPr>
            </w:pPr>
            <w:r>
              <w:rPr>
                <w:rFonts w:eastAsia="Times New Roman" w:cs="Times New Roman"/>
                <w:b/>
                <w:bCs/>
                <w:color w:val="000000"/>
                <w:sz w:val="18"/>
                <w:szCs w:val="18"/>
                <w:lang w:eastAsia="es-CO"/>
              </w:rPr>
              <w:t>GO terms</w:t>
            </w:r>
          </w:p>
        </w:tc>
        <w:tc>
          <w:tcPr>
            <w:tcW w:w="2392" w:type="dxa"/>
          </w:tcPr>
          <w:p w14:paraId="416A9C7B" w14:textId="77777777" w:rsidR="00BB2191" w:rsidRDefault="00BB2191" w:rsidP="00653A0B">
            <w:pPr>
              <w:spacing w:before="0" w:after="0"/>
              <w:rPr>
                <w:rFonts w:eastAsia="Times New Roman" w:cs="Times New Roman"/>
                <w:b/>
                <w:bCs/>
                <w:color w:val="000000"/>
                <w:sz w:val="18"/>
                <w:szCs w:val="18"/>
                <w:lang w:val="es-CO" w:eastAsia="es-CO"/>
              </w:rPr>
            </w:pPr>
            <w:r>
              <w:rPr>
                <w:rFonts w:eastAsia="Times New Roman" w:cs="Times New Roman"/>
                <w:b/>
                <w:bCs/>
                <w:color w:val="000000"/>
                <w:sz w:val="18"/>
                <w:szCs w:val="18"/>
                <w:lang w:eastAsia="es-CO"/>
              </w:rPr>
              <w:t>Description/Function</w:t>
            </w:r>
          </w:p>
        </w:tc>
        <w:tc>
          <w:tcPr>
            <w:tcW w:w="1022" w:type="dxa"/>
          </w:tcPr>
          <w:p w14:paraId="3201FB1E" w14:textId="77777777" w:rsidR="00BB2191" w:rsidRDefault="00BB2191" w:rsidP="00653A0B">
            <w:pPr>
              <w:spacing w:before="0" w:after="0"/>
              <w:jc w:val="center"/>
              <w:rPr>
                <w:rFonts w:eastAsia="Times New Roman" w:cs="Times New Roman"/>
                <w:b/>
                <w:bCs/>
                <w:color w:val="000000"/>
                <w:sz w:val="18"/>
                <w:szCs w:val="18"/>
                <w:lang w:val="es-CO" w:eastAsia="es-CO"/>
              </w:rPr>
            </w:pPr>
            <w:r>
              <w:rPr>
                <w:rFonts w:eastAsia="Times New Roman" w:cs="Times New Roman"/>
                <w:b/>
                <w:bCs/>
                <w:color w:val="000000"/>
                <w:sz w:val="18"/>
                <w:szCs w:val="18"/>
                <w:lang w:eastAsia="es-CO"/>
              </w:rPr>
              <w:t>Phyletic profile</w:t>
            </w:r>
          </w:p>
        </w:tc>
        <w:tc>
          <w:tcPr>
            <w:tcW w:w="1034" w:type="dxa"/>
          </w:tcPr>
          <w:p w14:paraId="110B7EF9" w14:textId="77777777" w:rsidR="00BB2191" w:rsidRDefault="00BB2191" w:rsidP="00653A0B">
            <w:pPr>
              <w:spacing w:before="0" w:after="0"/>
              <w:jc w:val="center"/>
              <w:rPr>
                <w:rFonts w:eastAsia="Times New Roman" w:cs="Times New Roman"/>
                <w:b/>
                <w:bCs/>
                <w:color w:val="000000"/>
                <w:sz w:val="18"/>
                <w:szCs w:val="18"/>
                <w:lang w:val="es-CO" w:eastAsia="es-CO"/>
              </w:rPr>
            </w:pPr>
            <w:r>
              <w:rPr>
                <w:rFonts w:eastAsia="Times New Roman" w:cs="Times New Roman"/>
                <w:b/>
                <w:bCs/>
                <w:color w:val="000000"/>
                <w:sz w:val="18"/>
                <w:szCs w:val="18"/>
                <w:lang w:eastAsia="es-CO"/>
              </w:rPr>
              <w:t>Evolutive rate</w:t>
            </w:r>
          </w:p>
        </w:tc>
      </w:tr>
      <w:tr w:rsidR="006C1595" w:rsidRPr="00BB2191" w14:paraId="6D30DDCF" w14:textId="5A88E13A" w:rsidTr="00DF4B17">
        <w:trPr>
          <w:trHeight w:val="1031"/>
        </w:trPr>
        <w:tc>
          <w:tcPr>
            <w:tcW w:w="1377" w:type="dxa"/>
            <w:noWrap/>
          </w:tcPr>
          <w:p w14:paraId="70734927"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pta</w:t>
            </w:r>
            <w:proofErr w:type="spellEnd"/>
          </w:p>
        </w:tc>
        <w:tc>
          <w:tcPr>
            <w:tcW w:w="1556" w:type="dxa"/>
          </w:tcPr>
          <w:p w14:paraId="11CA52E3"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Phosphate acetyltransferase</w:t>
            </w:r>
          </w:p>
        </w:tc>
        <w:tc>
          <w:tcPr>
            <w:tcW w:w="1451" w:type="dxa"/>
          </w:tcPr>
          <w:p w14:paraId="1E91F097"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GO:0008959 phosphate acetyltransferase activity</w:t>
            </w:r>
          </w:p>
          <w:p w14:paraId="19DA77C1" w14:textId="3557713E" w:rsidR="00BE3349" w:rsidRPr="00BE3349" w:rsidRDefault="00BE3349"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GO:0006085 acetyl-CoA biosynthetic process</w:t>
            </w:r>
          </w:p>
        </w:tc>
        <w:tc>
          <w:tcPr>
            <w:tcW w:w="2392" w:type="dxa"/>
            <w:vAlign w:val="center"/>
          </w:tcPr>
          <w:p w14:paraId="3D494544" w14:textId="3EF32416"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This protein is involved in step 2 of the </w:t>
            </w:r>
            <w:proofErr w:type="spellStart"/>
            <w:r>
              <w:rPr>
                <w:rFonts w:eastAsia="Times New Roman" w:cs="Times New Roman"/>
                <w:color w:val="000000"/>
                <w:sz w:val="18"/>
                <w:szCs w:val="18"/>
                <w:lang w:eastAsia="es-CO"/>
              </w:rPr>
              <w:t>subpathway</w:t>
            </w:r>
            <w:proofErr w:type="spellEnd"/>
            <w:r>
              <w:rPr>
                <w:rFonts w:eastAsia="Times New Roman" w:cs="Times New Roman"/>
                <w:color w:val="000000"/>
                <w:sz w:val="18"/>
                <w:szCs w:val="18"/>
                <w:lang w:eastAsia="es-CO"/>
              </w:rPr>
              <w:t xml:space="preserve"> that synthesizes acetyl-CoA from acetate. This </w:t>
            </w:r>
            <w:proofErr w:type="spellStart"/>
            <w:r>
              <w:rPr>
                <w:rFonts w:eastAsia="Times New Roman" w:cs="Times New Roman"/>
                <w:color w:val="000000"/>
                <w:sz w:val="18"/>
                <w:szCs w:val="18"/>
                <w:lang w:eastAsia="es-CO"/>
              </w:rPr>
              <w:t>subpathway</w:t>
            </w:r>
            <w:proofErr w:type="spellEnd"/>
            <w:r>
              <w:rPr>
                <w:rFonts w:eastAsia="Times New Roman" w:cs="Times New Roman"/>
                <w:color w:val="000000"/>
                <w:sz w:val="18"/>
                <w:szCs w:val="18"/>
                <w:lang w:eastAsia="es-CO"/>
              </w:rPr>
              <w:t xml:space="preserve"> is part of the pathway acetyl-CoA biosynthesis, which is itself part of Metabolic intermediate biosynthesis.</w:t>
            </w:r>
          </w:p>
        </w:tc>
        <w:tc>
          <w:tcPr>
            <w:tcW w:w="1022" w:type="dxa"/>
            <w:vAlign w:val="center"/>
          </w:tcPr>
          <w:p w14:paraId="6263B129" w14:textId="25906459"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Present and </w:t>
            </w:r>
            <w:proofErr w:type="gramStart"/>
            <w:r>
              <w:rPr>
                <w:rFonts w:eastAsia="Times New Roman" w:cs="Times New Roman"/>
                <w:color w:val="000000"/>
                <w:sz w:val="18"/>
                <w:szCs w:val="18"/>
                <w:lang w:eastAsia="es-CO"/>
              </w:rPr>
              <w:t>single-copy</w:t>
            </w:r>
            <w:proofErr w:type="gramEnd"/>
            <w:r>
              <w:rPr>
                <w:rFonts w:eastAsia="Times New Roman" w:cs="Times New Roman"/>
                <w:color w:val="000000"/>
                <w:sz w:val="18"/>
                <w:szCs w:val="18"/>
                <w:lang w:eastAsia="es-CO"/>
              </w:rPr>
              <w:t xml:space="preserve"> in 43 species</w:t>
            </w:r>
          </w:p>
        </w:tc>
        <w:tc>
          <w:tcPr>
            <w:tcW w:w="1182" w:type="dxa"/>
            <w:gridSpan w:val="2"/>
            <w:vAlign w:val="center"/>
          </w:tcPr>
          <w:p w14:paraId="50354E21" w14:textId="28031C96"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0.99</w:t>
            </w:r>
          </w:p>
        </w:tc>
      </w:tr>
      <w:tr w:rsidR="006C1595" w14:paraId="2FAE4F0E" w14:textId="7B88968B" w:rsidTr="00DF4B17">
        <w:trPr>
          <w:trHeight w:val="942"/>
        </w:trPr>
        <w:tc>
          <w:tcPr>
            <w:tcW w:w="1377" w:type="dxa"/>
            <w:noWrap/>
          </w:tcPr>
          <w:p w14:paraId="6A38C40D"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tpi</w:t>
            </w:r>
            <w:proofErr w:type="spellEnd"/>
          </w:p>
        </w:tc>
        <w:tc>
          <w:tcPr>
            <w:tcW w:w="1556" w:type="dxa"/>
          </w:tcPr>
          <w:p w14:paraId="1EC60EE0"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Triosephosphate isomerase</w:t>
            </w:r>
          </w:p>
        </w:tc>
        <w:tc>
          <w:tcPr>
            <w:tcW w:w="1451" w:type="dxa"/>
          </w:tcPr>
          <w:p w14:paraId="1333FC61"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GO:0004807 triose-phosphate isomerase activity</w:t>
            </w:r>
          </w:p>
          <w:p w14:paraId="7944B577" w14:textId="77777777" w:rsidR="00DF4B17" w:rsidRDefault="00DF4B17" w:rsidP="006C1595">
            <w:pPr>
              <w:spacing w:before="0" w:after="0"/>
              <w:rPr>
                <w:rFonts w:eastAsia="Times New Roman" w:cs="Times New Roman"/>
                <w:color w:val="000000"/>
                <w:sz w:val="18"/>
                <w:szCs w:val="18"/>
                <w:lang w:eastAsia="es-CO"/>
              </w:rPr>
            </w:pPr>
          </w:p>
          <w:p w14:paraId="11E1EF3D" w14:textId="77777777" w:rsidR="00DF4B17" w:rsidRDefault="00DF4B17"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GO:0006094 gluconeogenesis.</w:t>
            </w:r>
          </w:p>
          <w:p w14:paraId="12D5F06D" w14:textId="77777777" w:rsidR="00DF4B17" w:rsidRDefault="00DF4B17" w:rsidP="006C1595">
            <w:pPr>
              <w:spacing w:before="0" w:after="0"/>
              <w:rPr>
                <w:rFonts w:eastAsia="Times New Roman" w:cs="Times New Roman"/>
                <w:color w:val="000000"/>
                <w:sz w:val="18"/>
                <w:szCs w:val="18"/>
                <w:lang w:eastAsia="es-CO"/>
              </w:rPr>
            </w:pPr>
          </w:p>
          <w:p w14:paraId="2F356D49" w14:textId="23A3B953" w:rsidR="00DF4B17" w:rsidRDefault="00DF4B17"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GO:0006096 glycolytic process</w:t>
            </w:r>
          </w:p>
        </w:tc>
        <w:tc>
          <w:tcPr>
            <w:tcW w:w="2392" w:type="dxa"/>
            <w:vAlign w:val="center"/>
          </w:tcPr>
          <w:p w14:paraId="0762A03F" w14:textId="6DAA5405"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This protein is involved in the pathway gluconeogenesis, which is part of Carbohydrate biosynthesis. This protein is involved in step 1 of the </w:t>
            </w:r>
            <w:proofErr w:type="spellStart"/>
            <w:r>
              <w:rPr>
                <w:rFonts w:eastAsia="Times New Roman" w:cs="Times New Roman"/>
                <w:color w:val="000000"/>
                <w:sz w:val="18"/>
                <w:szCs w:val="18"/>
                <w:lang w:eastAsia="es-CO"/>
              </w:rPr>
              <w:t>subpathway</w:t>
            </w:r>
            <w:proofErr w:type="spellEnd"/>
            <w:r>
              <w:rPr>
                <w:rFonts w:eastAsia="Times New Roman" w:cs="Times New Roman"/>
                <w:color w:val="000000"/>
                <w:sz w:val="18"/>
                <w:szCs w:val="18"/>
                <w:lang w:eastAsia="es-CO"/>
              </w:rPr>
              <w:t xml:space="preserve"> that synthesizes D-glyceraldehyde 3-phosphate from </w:t>
            </w:r>
            <w:proofErr w:type="spellStart"/>
            <w:r>
              <w:rPr>
                <w:rFonts w:eastAsia="Times New Roman" w:cs="Times New Roman"/>
                <w:color w:val="000000"/>
                <w:sz w:val="18"/>
                <w:szCs w:val="18"/>
                <w:lang w:eastAsia="es-CO"/>
              </w:rPr>
              <w:t>glycerone</w:t>
            </w:r>
            <w:proofErr w:type="spellEnd"/>
            <w:r>
              <w:rPr>
                <w:rFonts w:eastAsia="Times New Roman" w:cs="Times New Roman"/>
                <w:color w:val="000000"/>
                <w:sz w:val="18"/>
                <w:szCs w:val="18"/>
                <w:lang w:eastAsia="es-CO"/>
              </w:rPr>
              <w:t xml:space="preserve"> phosphate</w:t>
            </w:r>
          </w:p>
        </w:tc>
        <w:tc>
          <w:tcPr>
            <w:tcW w:w="1022" w:type="dxa"/>
            <w:vAlign w:val="center"/>
          </w:tcPr>
          <w:p w14:paraId="0ED8FBCD" w14:textId="35409122"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Present and </w:t>
            </w:r>
            <w:proofErr w:type="gramStart"/>
            <w:r>
              <w:rPr>
                <w:rFonts w:eastAsia="Times New Roman" w:cs="Times New Roman"/>
                <w:color w:val="000000"/>
                <w:sz w:val="18"/>
                <w:szCs w:val="18"/>
                <w:lang w:eastAsia="es-CO"/>
              </w:rPr>
              <w:t>single-copy</w:t>
            </w:r>
            <w:proofErr w:type="gramEnd"/>
            <w:r>
              <w:rPr>
                <w:rFonts w:eastAsia="Times New Roman" w:cs="Times New Roman"/>
                <w:color w:val="000000"/>
                <w:sz w:val="18"/>
                <w:szCs w:val="18"/>
                <w:lang w:eastAsia="es-CO"/>
              </w:rPr>
              <w:t xml:space="preserve"> in 43 species </w:t>
            </w:r>
          </w:p>
        </w:tc>
        <w:tc>
          <w:tcPr>
            <w:tcW w:w="1182" w:type="dxa"/>
            <w:gridSpan w:val="2"/>
            <w:vAlign w:val="center"/>
          </w:tcPr>
          <w:p w14:paraId="420454F2" w14:textId="3B3BAAE5"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0.87</w:t>
            </w:r>
          </w:p>
        </w:tc>
      </w:tr>
      <w:tr w:rsidR="006C1595" w14:paraId="7D6B2EB0" w14:textId="5F8ABD28" w:rsidTr="00DF4B17">
        <w:trPr>
          <w:trHeight w:val="2192"/>
        </w:trPr>
        <w:tc>
          <w:tcPr>
            <w:tcW w:w="1377" w:type="dxa"/>
            <w:noWrap/>
          </w:tcPr>
          <w:p w14:paraId="54D653F7"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groES</w:t>
            </w:r>
            <w:proofErr w:type="spellEnd"/>
          </w:p>
        </w:tc>
        <w:tc>
          <w:tcPr>
            <w:tcW w:w="1556" w:type="dxa"/>
          </w:tcPr>
          <w:p w14:paraId="3D5FFE47" w14:textId="77777777" w:rsidR="006C1595" w:rsidRDefault="006C1595" w:rsidP="006C1595">
            <w:pPr>
              <w:spacing w:before="0" w:after="0"/>
              <w:jc w:val="center"/>
              <w:rPr>
                <w:rFonts w:eastAsia="Times New Roman" w:cs="Times New Roman"/>
                <w:color w:val="000000"/>
                <w:sz w:val="18"/>
                <w:szCs w:val="18"/>
                <w:lang w:val="es-CO" w:eastAsia="es-CO"/>
              </w:rPr>
            </w:pPr>
            <w:proofErr w:type="spellStart"/>
            <w:r>
              <w:rPr>
                <w:rFonts w:eastAsia="Times New Roman" w:cs="Times New Roman"/>
                <w:color w:val="000000"/>
                <w:sz w:val="18"/>
                <w:szCs w:val="18"/>
                <w:lang w:eastAsia="es-CO"/>
              </w:rPr>
              <w:t>groES</w:t>
            </w:r>
            <w:proofErr w:type="spellEnd"/>
            <w:r>
              <w:rPr>
                <w:rFonts w:eastAsia="Times New Roman" w:cs="Times New Roman"/>
                <w:color w:val="000000"/>
                <w:sz w:val="18"/>
                <w:szCs w:val="18"/>
                <w:lang w:eastAsia="es-CO"/>
              </w:rPr>
              <w:t xml:space="preserve"> chaperonin family (IPR020818)</w:t>
            </w:r>
          </w:p>
        </w:tc>
        <w:tc>
          <w:tcPr>
            <w:tcW w:w="1451" w:type="dxa"/>
          </w:tcPr>
          <w:p w14:paraId="26AAB193"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 xml:space="preserve">GO:0006457 protein folding GO:0005737 cytoplasm </w:t>
            </w:r>
          </w:p>
        </w:tc>
        <w:tc>
          <w:tcPr>
            <w:tcW w:w="2392" w:type="dxa"/>
            <w:vAlign w:val="center"/>
          </w:tcPr>
          <w:p w14:paraId="386ED0E9" w14:textId="0E514C05"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The chaperonins are 'helper' molecules required for correct folding and subsequent assembly of some proteins. These are required for normal cell growth, and are stress-induced, acting to </w:t>
            </w:r>
            <w:proofErr w:type="spellStart"/>
            <w:r>
              <w:rPr>
                <w:rFonts w:eastAsia="Times New Roman" w:cs="Times New Roman"/>
                <w:color w:val="000000"/>
                <w:sz w:val="18"/>
                <w:szCs w:val="18"/>
                <w:lang w:eastAsia="es-CO"/>
              </w:rPr>
              <w:t>stabilise</w:t>
            </w:r>
            <w:proofErr w:type="spellEnd"/>
            <w:r>
              <w:rPr>
                <w:rFonts w:eastAsia="Times New Roman" w:cs="Times New Roman"/>
                <w:color w:val="000000"/>
                <w:sz w:val="18"/>
                <w:szCs w:val="18"/>
                <w:lang w:eastAsia="es-CO"/>
              </w:rPr>
              <w:t xml:space="preserve"> or protect disassembled polypeptides under heat-shock conditions.</w:t>
            </w:r>
          </w:p>
        </w:tc>
        <w:tc>
          <w:tcPr>
            <w:tcW w:w="1022" w:type="dxa"/>
            <w:vAlign w:val="center"/>
          </w:tcPr>
          <w:p w14:paraId="05A845BF" w14:textId="2388636A"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Present and </w:t>
            </w:r>
            <w:proofErr w:type="gramStart"/>
            <w:r>
              <w:rPr>
                <w:rFonts w:eastAsia="Times New Roman" w:cs="Times New Roman"/>
                <w:color w:val="000000"/>
                <w:sz w:val="18"/>
                <w:szCs w:val="18"/>
                <w:lang w:eastAsia="es-CO"/>
              </w:rPr>
              <w:t>single-copy</w:t>
            </w:r>
            <w:proofErr w:type="gramEnd"/>
            <w:r>
              <w:rPr>
                <w:rFonts w:eastAsia="Times New Roman" w:cs="Times New Roman"/>
                <w:color w:val="000000"/>
                <w:sz w:val="18"/>
                <w:szCs w:val="18"/>
                <w:lang w:eastAsia="es-CO"/>
              </w:rPr>
              <w:t xml:space="preserve"> in 49 species</w:t>
            </w:r>
          </w:p>
        </w:tc>
        <w:tc>
          <w:tcPr>
            <w:tcW w:w="1182" w:type="dxa"/>
            <w:gridSpan w:val="2"/>
            <w:vAlign w:val="center"/>
          </w:tcPr>
          <w:p w14:paraId="68878723" w14:textId="3258413A"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0.89</w:t>
            </w:r>
          </w:p>
        </w:tc>
      </w:tr>
      <w:tr w:rsidR="006C1595" w14:paraId="02F50D88" w14:textId="7ECB1D0B" w:rsidTr="00DF4B17">
        <w:trPr>
          <w:trHeight w:val="1733"/>
        </w:trPr>
        <w:tc>
          <w:tcPr>
            <w:tcW w:w="1377" w:type="dxa"/>
            <w:noWrap/>
          </w:tcPr>
          <w:p w14:paraId="13EB116C"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sarA</w:t>
            </w:r>
            <w:proofErr w:type="spellEnd"/>
          </w:p>
        </w:tc>
        <w:tc>
          <w:tcPr>
            <w:tcW w:w="1556" w:type="dxa"/>
          </w:tcPr>
          <w:p w14:paraId="3C081CE6"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 xml:space="preserve">Transcriptional regulator </w:t>
            </w:r>
            <w:proofErr w:type="spellStart"/>
            <w:r>
              <w:rPr>
                <w:rFonts w:eastAsia="Times New Roman" w:cs="Times New Roman"/>
                <w:color w:val="000000"/>
                <w:sz w:val="18"/>
                <w:szCs w:val="18"/>
                <w:lang w:eastAsia="es-CO"/>
              </w:rPr>
              <w:t>sarA</w:t>
            </w:r>
            <w:proofErr w:type="spellEnd"/>
            <w:r>
              <w:rPr>
                <w:rFonts w:eastAsia="Times New Roman" w:cs="Times New Roman"/>
                <w:color w:val="000000"/>
                <w:sz w:val="18"/>
                <w:szCs w:val="18"/>
                <w:lang w:eastAsia="es-CO"/>
              </w:rPr>
              <w:t>/Rot (IPR010166)</w:t>
            </w:r>
          </w:p>
        </w:tc>
        <w:tc>
          <w:tcPr>
            <w:tcW w:w="1451" w:type="dxa"/>
          </w:tcPr>
          <w:p w14:paraId="1E497408"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GO:0006355 regulation of transcription, DNA-templated</w:t>
            </w:r>
          </w:p>
        </w:tc>
        <w:tc>
          <w:tcPr>
            <w:tcW w:w="2392" w:type="dxa"/>
            <w:vAlign w:val="center"/>
          </w:tcPr>
          <w:p w14:paraId="667EB096" w14:textId="25495B1D"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A global regulator with both positive and negative effects that controls expression of several virulence factors and biofilm formation process in a cell density-dependent manner</w:t>
            </w:r>
          </w:p>
        </w:tc>
        <w:tc>
          <w:tcPr>
            <w:tcW w:w="1022" w:type="dxa"/>
            <w:vAlign w:val="center"/>
          </w:tcPr>
          <w:p w14:paraId="2AE1A30D" w14:textId="2D38F5B4"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Present and </w:t>
            </w:r>
            <w:proofErr w:type="gramStart"/>
            <w:r>
              <w:rPr>
                <w:rFonts w:eastAsia="Times New Roman" w:cs="Times New Roman"/>
                <w:color w:val="000000"/>
                <w:sz w:val="18"/>
                <w:szCs w:val="18"/>
                <w:lang w:eastAsia="es-CO"/>
              </w:rPr>
              <w:t>single-copy</w:t>
            </w:r>
            <w:proofErr w:type="gramEnd"/>
            <w:r>
              <w:rPr>
                <w:rFonts w:eastAsia="Times New Roman" w:cs="Times New Roman"/>
                <w:color w:val="000000"/>
                <w:sz w:val="18"/>
                <w:szCs w:val="18"/>
                <w:lang w:eastAsia="es-CO"/>
              </w:rPr>
              <w:t xml:space="preserve"> in 49 species</w:t>
            </w:r>
          </w:p>
        </w:tc>
        <w:tc>
          <w:tcPr>
            <w:tcW w:w="1182" w:type="dxa"/>
            <w:gridSpan w:val="2"/>
            <w:vAlign w:val="center"/>
          </w:tcPr>
          <w:p w14:paraId="51261A11" w14:textId="3DC2EDBF"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0.86</w:t>
            </w:r>
          </w:p>
        </w:tc>
      </w:tr>
      <w:tr w:rsidR="006C1595" w:rsidRPr="00BB2191" w14:paraId="68A50480" w14:textId="7A277D9E" w:rsidTr="00DF4B17">
        <w:trPr>
          <w:trHeight w:val="458"/>
        </w:trPr>
        <w:tc>
          <w:tcPr>
            <w:tcW w:w="1377" w:type="dxa"/>
            <w:noWrap/>
          </w:tcPr>
          <w:p w14:paraId="0E14DDD8"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tufA</w:t>
            </w:r>
            <w:proofErr w:type="spellEnd"/>
          </w:p>
        </w:tc>
        <w:tc>
          <w:tcPr>
            <w:tcW w:w="1556" w:type="dxa"/>
          </w:tcPr>
          <w:p w14:paraId="518F6D3B" w14:textId="77777777" w:rsidR="006C1595" w:rsidRDefault="006C1595" w:rsidP="006C1595">
            <w:pPr>
              <w:spacing w:before="0" w:after="0"/>
              <w:jc w:val="center"/>
              <w:rPr>
                <w:rFonts w:eastAsia="Times New Roman" w:cs="Times New Roman"/>
                <w:color w:val="000000"/>
                <w:sz w:val="18"/>
                <w:szCs w:val="18"/>
                <w:lang w:eastAsia="es-CO"/>
              </w:rPr>
            </w:pPr>
            <w:r>
              <w:rPr>
                <w:rFonts w:eastAsia="Times New Roman" w:cs="Times New Roman"/>
                <w:color w:val="000000"/>
                <w:sz w:val="18"/>
                <w:szCs w:val="18"/>
                <w:lang w:eastAsia="es-CO"/>
              </w:rPr>
              <w:t xml:space="preserve">Translation elongation factor </w:t>
            </w:r>
            <w:proofErr w:type="spellStart"/>
            <w:r>
              <w:rPr>
                <w:rFonts w:eastAsia="Times New Roman" w:cs="Times New Roman"/>
                <w:color w:val="000000"/>
                <w:sz w:val="18"/>
                <w:szCs w:val="18"/>
                <w:lang w:eastAsia="es-CO"/>
              </w:rPr>
              <w:t>EFTu</w:t>
            </w:r>
            <w:proofErr w:type="spellEnd"/>
            <w:r>
              <w:rPr>
                <w:rFonts w:eastAsia="Times New Roman" w:cs="Times New Roman"/>
                <w:color w:val="000000"/>
                <w:sz w:val="18"/>
                <w:szCs w:val="18"/>
                <w:lang w:eastAsia="es-CO"/>
              </w:rPr>
              <w:t>/EF1A, bacterial/organelle (IPR004541)</w:t>
            </w:r>
          </w:p>
        </w:tc>
        <w:tc>
          <w:tcPr>
            <w:tcW w:w="1451" w:type="dxa"/>
          </w:tcPr>
          <w:p w14:paraId="3992DA52"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GO:0006414 translational elongation</w:t>
            </w:r>
            <w:r w:rsidR="00DF4B17">
              <w:rPr>
                <w:rFonts w:eastAsia="Times New Roman" w:cs="Times New Roman"/>
                <w:color w:val="000000"/>
                <w:sz w:val="18"/>
                <w:szCs w:val="18"/>
                <w:lang w:eastAsia="es-CO"/>
              </w:rPr>
              <w:t>.</w:t>
            </w:r>
          </w:p>
          <w:p w14:paraId="0661D345" w14:textId="77777777" w:rsidR="00DF4B17" w:rsidRDefault="00DF4B17" w:rsidP="006C1595">
            <w:pPr>
              <w:spacing w:before="0" w:after="0"/>
              <w:rPr>
                <w:rFonts w:eastAsia="Times New Roman" w:cs="Times New Roman"/>
                <w:color w:val="000000"/>
                <w:sz w:val="18"/>
                <w:szCs w:val="18"/>
                <w:lang w:eastAsia="es-CO"/>
              </w:rPr>
            </w:pPr>
          </w:p>
          <w:p w14:paraId="15088CAC" w14:textId="77777777" w:rsidR="00DF4B17" w:rsidRDefault="00DF4B17"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GO:0005525 GTP binding.</w:t>
            </w:r>
          </w:p>
          <w:p w14:paraId="08A56B88" w14:textId="77777777" w:rsidR="00DF4B17" w:rsidRPr="00CC7E85" w:rsidRDefault="00DF4B17" w:rsidP="006C1595">
            <w:pPr>
              <w:spacing w:before="0" w:after="0"/>
              <w:rPr>
                <w:rFonts w:eastAsia="Times New Roman" w:cs="Times New Roman"/>
                <w:color w:val="000000"/>
                <w:sz w:val="18"/>
                <w:szCs w:val="18"/>
                <w:lang w:eastAsia="es-CO"/>
              </w:rPr>
            </w:pPr>
          </w:p>
          <w:p w14:paraId="308A45D1" w14:textId="104E0D48" w:rsidR="00DF4B17" w:rsidRDefault="00DF4B17" w:rsidP="006C1595">
            <w:pPr>
              <w:spacing w:before="0" w:after="0"/>
              <w:rPr>
                <w:rFonts w:eastAsia="Times New Roman" w:cs="Times New Roman"/>
                <w:color w:val="000000"/>
                <w:sz w:val="18"/>
                <w:szCs w:val="18"/>
                <w:lang w:eastAsia="es-CO"/>
              </w:rPr>
            </w:pPr>
            <w:r w:rsidRPr="00DF4B17">
              <w:rPr>
                <w:rFonts w:eastAsia="Times New Roman" w:cs="Times New Roman"/>
                <w:color w:val="000000"/>
                <w:sz w:val="18"/>
                <w:szCs w:val="18"/>
                <w:lang w:eastAsia="es-CO"/>
              </w:rPr>
              <w:t>GO:0003746 translation elongation factor activity.</w:t>
            </w:r>
          </w:p>
          <w:p w14:paraId="0D5C4AB4" w14:textId="77777777" w:rsidR="00DF4B17" w:rsidRDefault="00DF4B17" w:rsidP="006C1595">
            <w:pPr>
              <w:spacing w:before="0" w:after="0"/>
              <w:rPr>
                <w:rFonts w:eastAsia="Times New Roman" w:cs="Times New Roman"/>
                <w:color w:val="000000"/>
                <w:sz w:val="18"/>
                <w:szCs w:val="18"/>
                <w:lang w:eastAsia="es-CO"/>
              </w:rPr>
            </w:pPr>
          </w:p>
          <w:p w14:paraId="30C1FD22" w14:textId="2B929FB2" w:rsidR="00DF4B17" w:rsidRPr="00DF4B17" w:rsidRDefault="00DF4B17" w:rsidP="006C1595">
            <w:pPr>
              <w:spacing w:before="0" w:after="0"/>
              <w:rPr>
                <w:rFonts w:eastAsia="Times New Roman" w:cs="Times New Roman"/>
                <w:color w:val="000000"/>
                <w:sz w:val="18"/>
                <w:szCs w:val="18"/>
                <w:lang w:eastAsia="es-CO"/>
              </w:rPr>
            </w:pPr>
            <w:r w:rsidRPr="00DF4B17">
              <w:rPr>
                <w:rFonts w:eastAsia="Times New Roman" w:cs="Times New Roman"/>
                <w:color w:val="000000"/>
                <w:sz w:val="18"/>
                <w:szCs w:val="18"/>
                <w:lang w:eastAsia="es-CO"/>
              </w:rPr>
              <w:t>GO:0005622 intracellular</w:t>
            </w:r>
          </w:p>
          <w:p w14:paraId="065E3F0A" w14:textId="1E8EB7EF" w:rsidR="00DF4B17" w:rsidRPr="00DF4B17" w:rsidRDefault="00DF4B17" w:rsidP="006C1595">
            <w:pPr>
              <w:spacing w:before="0" w:after="0"/>
              <w:rPr>
                <w:rFonts w:eastAsia="Times New Roman" w:cs="Times New Roman"/>
                <w:color w:val="000000"/>
                <w:sz w:val="18"/>
                <w:szCs w:val="18"/>
                <w:lang w:eastAsia="es-CO"/>
              </w:rPr>
            </w:pPr>
          </w:p>
        </w:tc>
        <w:tc>
          <w:tcPr>
            <w:tcW w:w="2392" w:type="dxa"/>
            <w:vAlign w:val="center"/>
          </w:tcPr>
          <w:p w14:paraId="4BD6B360" w14:textId="06AC36E8"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EF1A (or EF-Tu) is responsible for the selection and binding of the cognate aminoacyl-tRNA to the A-site (acceptor site) of the ribosome. Elongation factors are responsible for achieving accuracy of translation and EF1A is remarkably conserved throughout evolution.</w:t>
            </w:r>
          </w:p>
        </w:tc>
        <w:tc>
          <w:tcPr>
            <w:tcW w:w="1022" w:type="dxa"/>
            <w:vAlign w:val="center"/>
          </w:tcPr>
          <w:p w14:paraId="36C7232A" w14:textId="109CD7E7"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 xml:space="preserve">Present and </w:t>
            </w:r>
            <w:proofErr w:type="gramStart"/>
            <w:r>
              <w:rPr>
                <w:rFonts w:eastAsia="Times New Roman" w:cs="Times New Roman"/>
                <w:color w:val="000000"/>
                <w:sz w:val="18"/>
                <w:szCs w:val="18"/>
                <w:lang w:eastAsia="es-CO"/>
              </w:rPr>
              <w:t>single-copy</w:t>
            </w:r>
            <w:proofErr w:type="gramEnd"/>
            <w:r>
              <w:rPr>
                <w:rFonts w:eastAsia="Times New Roman" w:cs="Times New Roman"/>
                <w:color w:val="000000"/>
                <w:sz w:val="18"/>
                <w:szCs w:val="18"/>
                <w:lang w:eastAsia="es-CO"/>
              </w:rPr>
              <w:t xml:space="preserve"> in 49 species</w:t>
            </w:r>
          </w:p>
        </w:tc>
        <w:tc>
          <w:tcPr>
            <w:tcW w:w="1182" w:type="dxa"/>
            <w:gridSpan w:val="2"/>
            <w:vAlign w:val="center"/>
          </w:tcPr>
          <w:p w14:paraId="580B104E" w14:textId="3B7D6E8E"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0.77</w:t>
            </w:r>
          </w:p>
        </w:tc>
      </w:tr>
      <w:tr w:rsidR="006C1595" w14:paraId="0CA1BFEE" w14:textId="7634312E" w:rsidTr="00DF4B17">
        <w:trPr>
          <w:trHeight w:val="1082"/>
        </w:trPr>
        <w:tc>
          <w:tcPr>
            <w:tcW w:w="1377" w:type="dxa"/>
            <w:noWrap/>
          </w:tcPr>
          <w:p w14:paraId="34C0F3AA"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lastRenderedPageBreak/>
              <w:t>gmK</w:t>
            </w:r>
            <w:proofErr w:type="spellEnd"/>
          </w:p>
        </w:tc>
        <w:tc>
          <w:tcPr>
            <w:tcW w:w="1556" w:type="dxa"/>
          </w:tcPr>
          <w:p w14:paraId="69509C05"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Guanylate kinase</w:t>
            </w:r>
          </w:p>
        </w:tc>
        <w:tc>
          <w:tcPr>
            <w:tcW w:w="1451" w:type="dxa"/>
          </w:tcPr>
          <w:p w14:paraId="57843727"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GO:0006163 purine nucleotide metabolic process</w:t>
            </w:r>
            <w:r w:rsidR="00DF4B17">
              <w:rPr>
                <w:rFonts w:eastAsia="Times New Roman" w:cs="Times New Roman"/>
                <w:color w:val="000000"/>
                <w:sz w:val="18"/>
                <w:szCs w:val="18"/>
                <w:lang w:eastAsia="es-CO"/>
              </w:rPr>
              <w:t>.</w:t>
            </w:r>
          </w:p>
          <w:p w14:paraId="17F80600" w14:textId="77777777" w:rsidR="00DF4B17" w:rsidRDefault="00DF4B17" w:rsidP="006C1595">
            <w:pPr>
              <w:spacing w:before="0" w:after="0"/>
              <w:rPr>
                <w:rFonts w:eastAsia="Times New Roman" w:cs="Times New Roman"/>
                <w:color w:val="000000"/>
                <w:sz w:val="18"/>
                <w:szCs w:val="18"/>
                <w:lang w:eastAsia="es-CO"/>
              </w:rPr>
            </w:pPr>
          </w:p>
          <w:p w14:paraId="3933DA19" w14:textId="2D3F5A45" w:rsidR="00DF4B17" w:rsidRDefault="00DF4B17" w:rsidP="006C1595">
            <w:pPr>
              <w:spacing w:before="0" w:after="0"/>
              <w:rPr>
                <w:rFonts w:eastAsia="Times New Roman" w:cs="Times New Roman"/>
                <w:color w:val="000000"/>
                <w:sz w:val="18"/>
                <w:szCs w:val="18"/>
                <w:lang w:eastAsia="es-CO"/>
              </w:rPr>
            </w:pPr>
            <w:r w:rsidRPr="00DF4B17">
              <w:rPr>
                <w:rFonts w:eastAsia="Times New Roman" w:cs="Times New Roman"/>
                <w:color w:val="000000"/>
                <w:sz w:val="18"/>
                <w:szCs w:val="18"/>
                <w:lang w:eastAsia="es-CO"/>
              </w:rPr>
              <w:t>GO:0004385 guanylate kinase activity</w:t>
            </w:r>
          </w:p>
          <w:p w14:paraId="547E4ECC" w14:textId="620AAC93" w:rsidR="00DF4B17" w:rsidRDefault="00DF4B17" w:rsidP="006C1595">
            <w:pPr>
              <w:spacing w:before="0" w:after="0"/>
              <w:rPr>
                <w:rFonts w:eastAsia="Times New Roman" w:cs="Times New Roman"/>
                <w:color w:val="000000"/>
                <w:sz w:val="18"/>
                <w:szCs w:val="18"/>
                <w:lang w:eastAsia="es-CO"/>
              </w:rPr>
            </w:pPr>
          </w:p>
        </w:tc>
        <w:tc>
          <w:tcPr>
            <w:tcW w:w="2392" w:type="dxa"/>
            <w:vAlign w:val="center"/>
          </w:tcPr>
          <w:p w14:paraId="555BACFA" w14:textId="3907C7F1"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Guanylate kinase, also called GMP kinase, is essential for recycling GMP and indirectly, cGMP. This enzyme transfers a phosphate from ATP to GMP, yielding ADP and GDP. Guanylate kinase is a highly conserved monomer and is important for the activation of various antiviral drugs.</w:t>
            </w:r>
          </w:p>
        </w:tc>
        <w:tc>
          <w:tcPr>
            <w:tcW w:w="1022" w:type="dxa"/>
            <w:vAlign w:val="center"/>
          </w:tcPr>
          <w:p w14:paraId="3A31061E" w14:textId="05C47E33"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single copy in 43 species, multi-copy in 0 species</w:t>
            </w:r>
          </w:p>
        </w:tc>
        <w:tc>
          <w:tcPr>
            <w:tcW w:w="1182" w:type="dxa"/>
            <w:gridSpan w:val="2"/>
            <w:vAlign w:val="center"/>
          </w:tcPr>
          <w:p w14:paraId="4B4F9BBC" w14:textId="48165609"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0,78</w:t>
            </w:r>
          </w:p>
        </w:tc>
      </w:tr>
      <w:tr w:rsidR="006C1595" w:rsidRPr="00BB2191" w14:paraId="2ABA6114" w14:textId="288CFFB8" w:rsidTr="00DF4B17">
        <w:trPr>
          <w:trHeight w:val="662"/>
        </w:trPr>
        <w:tc>
          <w:tcPr>
            <w:tcW w:w="1377" w:type="dxa"/>
            <w:noWrap/>
          </w:tcPr>
          <w:p w14:paraId="3CEEC85E"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glpF</w:t>
            </w:r>
            <w:proofErr w:type="spellEnd"/>
          </w:p>
        </w:tc>
        <w:tc>
          <w:tcPr>
            <w:tcW w:w="1556" w:type="dxa"/>
          </w:tcPr>
          <w:p w14:paraId="2F898EB3"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Glycerol kinase</w:t>
            </w:r>
          </w:p>
        </w:tc>
        <w:tc>
          <w:tcPr>
            <w:tcW w:w="1451" w:type="dxa"/>
          </w:tcPr>
          <w:p w14:paraId="718A341B" w14:textId="77777777" w:rsidR="006C1595" w:rsidRDefault="00DF4B17"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GO:0015267 channel activity-</w:t>
            </w:r>
          </w:p>
          <w:p w14:paraId="6E5E3DE8" w14:textId="77777777" w:rsidR="00DF4B17" w:rsidRDefault="00DF4B17" w:rsidP="006C1595">
            <w:pPr>
              <w:spacing w:before="0" w:after="0"/>
              <w:rPr>
                <w:rFonts w:eastAsia="Times New Roman" w:cs="Times New Roman"/>
                <w:color w:val="000000"/>
                <w:sz w:val="18"/>
                <w:szCs w:val="18"/>
                <w:lang w:eastAsia="es-CO"/>
              </w:rPr>
            </w:pPr>
          </w:p>
          <w:p w14:paraId="4B34269E" w14:textId="3E2A1C59" w:rsidR="00DF4B17" w:rsidRPr="00CC7E85" w:rsidRDefault="00DF4B17" w:rsidP="006C1595">
            <w:pPr>
              <w:spacing w:before="0" w:after="0"/>
              <w:rPr>
                <w:rFonts w:eastAsia="Times New Roman" w:cs="Times New Roman"/>
                <w:color w:val="000000"/>
                <w:sz w:val="18"/>
                <w:szCs w:val="18"/>
                <w:lang w:eastAsia="es-CO"/>
              </w:rPr>
            </w:pPr>
            <w:r w:rsidRPr="00CC7E85">
              <w:rPr>
                <w:rFonts w:eastAsia="Times New Roman" w:cs="Times New Roman"/>
                <w:color w:val="000000"/>
                <w:sz w:val="18"/>
                <w:szCs w:val="18"/>
                <w:lang w:eastAsia="es-CO"/>
              </w:rPr>
              <w:t>GO:0016020 membrane</w:t>
            </w:r>
          </w:p>
        </w:tc>
        <w:tc>
          <w:tcPr>
            <w:tcW w:w="2392" w:type="dxa"/>
            <w:vAlign w:val="center"/>
          </w:tcPr>
          <w:p w14:paraId="731B232A" w14:textId="7320E622"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Enables the energy-independent facilitated diffusion, mediated by passage of a solute through a transmembrane aqueous pore or channel</w:t>
            </w:r>
          </w:p>
        </w:tc>
        <w:tc>
          <w:tcPr>
            <w:tcW w:w="1022" w:type="dxa"/>
            <w:vAlign w:val="center"/>
          </w:tcPr>
          <w:p w14:paraId="627C71EE" w14:textId="5B2BB2B7"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single copy in 41 species, multi-copy in 0 species</w:t>
            </w:r>
          </w:p>
        </w:tc>
        <w:tc>
          <w:tcPr>
            <w:tcW w:w="1182" w:type="dxa"/>
            <w:gridSpan w:val="2"/>
            <w:vAlign w:val="center"/>
          </w:tcPr>
          <w:p w14:paraId="443AFDB3" w14:textId="26239D49" w:rsidR="006C1595" w:rsidRPr="00BB2191"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0,82</w:t>
            </w:r>
          </w:p>
        </w:tc>
      </w:tr>
      <w:tr w:rsidR="006C1595" w14:paraId="171FEBAF" w14:textId="08CC9B45" w:rsidTr="00DF4B17">
        <w:trPr>
          <w:trHeight w:val="1171"/>
        </w:trPr>
        <w:tc>
          <w:tcPr>
            <w:tcW w:w="1377" w:type="dxa"/>
            <w:noWrap/>
          </w:tcPr>
          <w:p w14:paraId="7BBD5E93" w14:textId="77777777" w:rsidR="006C1595" w:rsidRDefault="006C1595" w:rsidP="006C1595">
            <w:pPr>
              <w:spacing w:before="0" w:after="0"/>
              <w:jc w:val="center"/>
              <w:rPr>
                <w:rFonts w:eastAsia="Times New Roman" w:cs="Times New Roman"/>
                <w:b/>
                <w:bCs/>
                <w:i/>
                <w:iCs/>
                <w:color w:val="000000"/>
                <w:sz w:val="18"/>
                <w:szCs w:val="18"/>
                <w:lang w:val="es-CO" w:eastAsia="es-CO"/>
              </w:rPr>
            </w:pPr>
            <w:proofErr w:type="spellStart"/>
            <w:r>
              <w:rPr>
                <w:rFonts w:eastAsia="Times New Roman" w:cs="Times New Roman"/>
                <w:b/>
                <w:bCs/>
                <w:i/>
                <w:iCs/>
                <w:color w:val="000000"/>
                <w:sz w:val="18"/>
                <w:szCs w:val="18"/>
                <w:lang w:eastAsia="es-CO"/>
              </w:rPr>
              <w:t>yqil</w:t>
            </w:r>
            <w:proofErr w:type="spellEnd"/>
          </w:p>
        </w:tc>
        <w:tc>
          <w:tcPr>
            <w:tcW w:w="1556" w:type="dxa"/>
          </w:tcPr>
          <w:p w14:paraId="2AE216D4" w14:textId="77777777" w:rsidR="006C1595" w:rsidRDefault="006C1595" w:rsidP="006C1595">
            <w:pPr>
              <w:spacing w:before="0" w:after="0"/>
              <w:jc w:val="center"/>
              <w:rPr>
                <w:rFonts w:eastAsia="Times New Roman" w:cs="Times New Roman"/>
                <w:color w:val="000000"/>
                <w:sz w:val="18"/>
                <w:szCs w:val="18"/>
                <w:lang w:val="es-CO" w:eastAsia="es-CO"/>
              </w:rPr>
            </w:pPr>
            <w:r>
              <w:rPr>
                <w:rFonts w:eastAsia="Times New Roman" w:cs="Times New Roman"/>
                <w:color w:val="000000"/>
                <w:sz w:val="18"/>
                <w:szCs w:val="18"/>
                <w:lang w:eastAsia="es-CO"/>
              </w:rPr>
              <w:t>Acetyl coenzyme A acetyltransferase</w:t>
            </w:r>
          </w:p>
        </w:tc>
        <w:tc>
          <w:tcPr>
            <w:tcW w:w="1451" w:type="dxa"/>
          </w:tcPr>
          <w:p w14:paraId="1A7559B2" w14:textId="77777777" w:rsidR="006C1595" w:rsidRDefault="006C1595" w:rsidP="006C1595">
            <w:pPr>
              <w:spacing w:before="0" w:after="0"/>
              <w:rPr>
                <w:rFonts w:eastAsia="Times New Roman" w:cs="Times New Roman"/>
                <w:color w:val="000000"/>
                <w:sz w:val="18"/>
                <w:szCs w:val="18"/>
                <w:lang w:eastAsia="es-CO"/>
              </w:rPr>
            </w:pPr>
            <w:r>
              <w:rPr>
                <w:rFonts w:eastAsia="Times New Roman" w:cs="Times New Roman"/>
                <w:color w:val="000000"/>
                <w:sz w:val="18"/>
                <w:szCs w:val="18"/>
                <w:lang w:eastAsia="es-CO"/>
              </w:rPr>
              <w:t xml:space="preserve">GO:0003985 Catalysis of the reaction: 2 acetyl-CoA = CoA + </w:t>
            </w:r>
            <w:proofErr w:type="spellStart"/>
            <w:r>
              <w:rPr>
                <w:rFonts w:eastAsia="Times New Roman" w:cs="Times New Roman"/>
                <w:color w:val="000000"/>
                <w:sz w:val="18"/>
                <w:szCs w:val="18"/>
                <w:lang w:eastAsia="es-CO"/>
              </w:rPr>
              <w:t>acetoacetyl</w:t>
            </w:r>
            <w:proofErr w:type="spellEnd"/>
            <w:r>
              <w:rPr>
                <w:rFonts w:eastAsia="Times New Roman" w:cs="Times New Roman"/>
                <w:color w:val="000000"/>
                <w:sz w:val="18"/>
                <w:szCs w:val="18"/>
                <w:lang w:eastAsia="es-CO"/>
              </w:rPr>
              <w:t>-CoA.</w:t>
            </w:r>
          </w:p>
          <w:p w14:paraId="3E928C5F" w14:textId="7F0BB98E" w:rsidR="00DF4B17" w:rsidRDefault="00DF4B17" w:rsidP="006C1595">
            <w:pPr>
              <w:spacing w:before="0" w:after="0"/>
              <w:rPr>
                <w:rFonts w:eastAsia="Times New Roman" w:cs="Times New Roman"/>
                <w:color w:val="000000"/>
                <w:sz w:val="18"/>
                <w:szCs w:val="18"/>
                <w:lang w:eastAsia="es-CO"/>
              </w:rPr>
            </w:pPr>
            <w:r w:rsidRPr="00DF4B17">
              <w:rPr>
                <w:rFonts w:eastAsia="Times New Roman" w:cs="Times New Roman"/>
                <w:color w:val="000000"/>
                <w:sz w:val="18"/>
                <w:szCs w:val="18"/>
                <w:lang w:eastAsia="es-CO"/>
              </w:rPr>
              <w:t>GO:0008152 The chemical reactions and pathways resulting in the formation of acetyl-CoA, a derivative of coenzyme A in which the sulfhydryl group is acetylated.</w:t>
            </w:r>
          </w:p>
        </w:tc>
        <w:tc>
          <w:tcPr>
            <w:tcW w:w="2392" w:type="dxa"/>
            <w:vAlign w:val="center"/>
          </w:tcPr>
          <w:p w14:paraId="1DC06588" w14:textId="7903E340"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The chemical reactions and pathways, including anabolism and catabolism, by which living organisms transform chemical substances. Metabolic processes typically transform small molecules, but also include macromolecular processes such as DNA repair and replication, and protein synthesis and degradation.</w:t>
            </w:r>
          </w:p>
        </w:tc>
        <w:tc>
          <w:tcPr>
            <w:tcW w:w="1022" w:type="dxa"/>
            <w:vAlign w:val="center"/>
          </w:tcPr>
          <w:p w14:paraId="404A8DA7" w14:textId="07291F6E"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single copy in 43 species, multi-copy in 0 species</w:t>
            </w:r>
          </w:p>
        </w:tc>
        <w:tc>
          <w:tcPr>
            <w:tcW w:w="1182" w:type="dxa"/>
            <w:gridSpan w:val="2"/>
            <w:vAlign w:val="center"/>
          </w:tcPr>
          <w:p w14:paraId="2C6D5A38" w14:textId="7A2ADA00" w:rsidR="006C1595" w:rsidRDefault="006C1595" w:rsidP="006C1595">
            <w:pPr>
              <w:spacing w:before="0" w:after="160" w:line="259" w:lineRule="auto"/>
              <w:rPr>
                <w:rFonts w:eastAsia="Times New Roman" w:cs="Times New Roman"/>
                <w:color w:val="000000"/>
                <w:sz w:val="18"/>
                <w:szCs w:val="18"/>
                <w:lang w:eastAsia="es-CO"/>
              </w:rPr>
            </w:pPr>
            <w:r>
              <w:rPr>
                <w:rFonts w:eastAsia="Times New Roman" w:cs="Times New Roman"/>
                <w:color w:val="000000"/>
                <w:sz w:val="18"/>
                <w:szCs w:val="18"/>
                <w:lang w:eastAsia="es-CO"/>
              </w:rPr>
              <w:t>0,99</w:t>
            </w:r>
          </w:p>
        </w:tc>
      </w:tr>
    </w:tbl>
    <w:p w14:paraId="0641CD7B" w14:textId="77777777" w:rsidR="00E6488A" w:rsidRDefault="00E6488A"/>
    <w:sectPr w:rsidR="00E648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B3"/>
    <w:rsid w:val="004B5534"/>
    <w:rsid w:val="006A7DA5"/>
    <w:rsid w:val="006C1595"/>
    <w:rsid w:val="00BB2191"/>
    <w:rsid w:val="00BE3349"/>
    <w:rsid w:val="00CC7E85"/>
    <w:rsid w:val="00CF23B3"/>
    <w:rsid w:val="00D237B7"/>
    <w:rsid w:val="00DF4B17"/>
    <w:rsid w:val="00E6488A"/>
    <w:rsid w:val="00F122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86EB"/>
  <w15:chartTrackingRefBased/>
  <w15:docId w15:val="{AA2662F1-22DB-4532-95AF-5D92B0512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B3"/>
    <w:pPr>
      <w:spacing w:before="120" w:after="240" w:line="240" w:lineRule="auto"/>
    </w:pPr>
    <w:rPr>
      <w:rFonts w:ascii="Times New Roman" w:hAnsi="Times New Roman"/>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B2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544</Words>
  <Characters>2998</Characters>
  <Application>Microsoft Office Word</Application>
  <DocSecurity>0</DocSecurity>
  <Lines>24</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del Carmen Jimenez Velasquez</dc:creator>
  <cp:keywords/>
  <dc:description/>
  <cp:lastModifiedBy>Sabrina del Carmen Jimenez Velasquez</cp:lastModifiedBy>
  <cp:revision>10</cp:revision>
  <dcterms:created xsi:type="dcterms:W3CDTF">2021-01-26T01:29:00Z</dcterms:created>
  <dcterms:modified xsi:type="dcterms:W3CDTF">2024-04-09T13:48:00Z</dcterms:modified>
</cp:coreProperties>
</file>