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847E4" w14:textId="77777777" w:rsidR="00466535" w:rsidRDefault="00466535" w:rsidP="00466535">
      <w:pPr>
        <w:pStyle w:val="Heading1"/>
        <w:spacing w:before="0" w:line="360" w:lineRule="auto"/>
        <w:rPr>
          <w:b/>
          <w:bCs/>
        </w:rPr>
      </w:pPr>
      <w:r>
        <w:rPr>
          <w:b/>
          <w:bCs/>
        </w:rPr>
        <w:t xml:space="preserve">SUPPLEMENTARY FIGURES </w:t>
      </w:r>
    </w:p>
    <w:p w14:paraId="07BAE0AE" w14:textId="77777777" w:rsidR="00466535" w:rsidRDefault="00466535" w:rsidP="00466535">
      <w:pPr>
        <w:keepNext/>
        <w:spacing w:line="360" w:lineRule="auto"/>
      </w:pPr>
      <w:r>
        <w:rPr>
          <w:noProof/>
        </w:rPr>
        <w:drawing>
          <wp:inline distT="0" distB="0" distL="0" distR="0" wp14:anchorId="306E2EB9" wp14:editId="0E0349CC">
            <wp:extent cx="5943600" cy="4855845"/>
            <wp:effectExtent l="0" t="0" r="0" b="0"/>
            <wp:docPr id="13564974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497477" name="Picture 13564974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A32FA" w14:textId="77777777" w:rsidR="00466535" w:rsidRPr="00787F24" w:rsidRDefault="00466535" w:rsidP="00466535">
      <w:pPr>
        <w:pStyle w:val="Caption"/>
        <w:spacing w:after="0" w:line="360" w:lineRule="auto"/>
        <w:rPr>
          <w:b/>
          <w:bCs/>
          <w:i w:val="0"/>
          <w:iCs w:val="0"/>
          <w:color w:val="auto"/>
          <w:sz w:val="24"/>
          <w:szCs w:val="24"/>
        </w:rPr>
      </w:pPr>
      <w:bookmarkStart w:id="0" w:name="_Ref139153259"/>
      <w:r w:rsidRPr="00787F24">
        <w:rPr>
          <w:b/>
          <w:bCs/>
          <w:i w:val="0"/>
          <w:iCs w:val="0"/>
          <w:color w:val="auto"/>
          <w:sz w:val="24"/>
          <w:szCs w:val="24"/>
        </w:rPr>
        <w:t xml:space="preserve">Supplementary Figure 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87F24">
        <w:rPr>
          <w:b/>
          <w:bCs/>
          <w:i w:val="0"/>
          <w:iCs w:val="0"/>
          <w:color w:val="auto"/>
          <w:sz w:val="24"/>
          <w:szCs w:val="24"/>
        </w:rPr>
        <w:instrText xml:space="preserve"> SEQ Supplementary_Figure \* ARABIC </w:instrTex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787F24">
        <w:rPr>
          <w:b/>
          <w:bCs/>
          <w:i w:val="0"/>
          <w:iCs w:val="0"/>
          <w:color w:val="auto"/>
          <w:sz w:val="24"/>
          <w:szCs w:val="24"/>
        </w:rPr>
        <w:t xml:space="preserve">: Summary of the three bulk transcriptomics </w:t>
      </w:r>
      <w:r>
        <w:rPr>
          <w:b/>
          <w:bCs/>
          <w:i w:val="0"/>
          <w:iCs w:val="0"/>
          <w:color w:val="auto"/>
          <w:sz w:val="24"/>
          <w:szCs w:val="24"/>
        </w:rPr>
        <w:t>cohort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t>s used.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</w:t>
      </w:r>
    </w:p>
    <w:p w14:paraId="64926A66" w14:textId="77777777" w:rsidR="00466535" w:rsidRDefault="00466535" w:rsidP="00466535">
      <w:pPr>
        <w:spacing w:line="360" w:lineRule="auto"/>
      </w:pPr>
      <w:r w:rsidRPr="007602BE">
        <w:rPr>
          <w:b/>
          <w:bCs/>
        </w:rPr>
        <w:t xml:space="preserve">A. </w:t>
      </w:r>
      <w:r>
        <w:t xml:space="preserve">Distribution of responders (R) vs. non-responders (NR) across the three cohorts. R and NR indicate the patients who achieved pCR following neoadjuvant treatment and those who did not, respectively. </w:t>
      </w:r>
    </w:p>
    <w:p w14:paraId="6008B321" w14:textId="77777777" w:rsidR="00466535" w:rsidRDefault="00466535" w:rsidP="00466535">
      <w:pPr>
        <w:spacing w:line="360" w:lineRule="auto"/>
      </w:pPr>
      <w:r>
        <w:rPr>
          <w:b/>
          <w:bCs/>
        </w:rPr>
        <w:t>B</w:t>
      </w:r>
      <w:r w:rsidRPr="007602BE">
        <w:rPr>
          <w:b/>
          <w:bCs/>
        </w:rPr>
        <w:t xml:space="preserve">. </w:t>
      </w:r>
      <w:r>
        <w:t xml:space="preserve">Distribution of breast cancer subtypes across the three cohorts. ER+ / HER2- and TN stand for ER-positive, HER2-negative tumor subtype and triple negative tumor subtype, respectively. </w:t>
      </w:r>
    </w:p>
    <w:p w14:paraId="48CCDE4B" w14:textId="77777777" w:rsidR="00466535" w:rsidRDefault="00466535" w:rsidP="00466535">
      <w:pPr>
        <w:pStyle w:val="Caption"/>
        <w:spacing w:after="0" w:line="360" w:lineRule="auto"/>
      </w:pPr>
      <w:r>
        <w:rPr>
          <w:b/>
          <w:bCs/>
          <w:i w:val="0"/>
          <w:iCs w:val="0"/>
          <w:color w:val="auto"/>
          <w:sz w:val="24"/>
          <w:szCs w:val="24"/>
        </w:rPr>
        <w:t>C.</w:t>
      </w:r>
      <w:r>
        <w:rPr>
          <w:i w:val="0"/>
          <w:iCs w:val="0"/>
          <w:color w:val="auto"/>
          <w:sz w:val="24"/>
          <w:szCs w:val="24"/>
        </w:rPr>
        <w:t xml:space="preserve"> Fractions of chemotherapy regimens used for neoadjuvant treatment across the three cohorts. E = Epirubicin, C = Cyclophosphamide, F = 5-Flurouracil, T = Docetaxel (Taxotere), P = Paclitaxel (Taxol), Cb = Carboplatin. </w:t>
      </w:r>
    </w:p>
    <w:p w14:paraId="7678ACE6" w14:textId="77777777" w:rsidR="00466535" w:rsidRDefault="00466535" w:rsidP="00466535">
      <w:pPr>
        <w:spacing w:line="360" w:lineRule="auto"/>
      </w:pPr>
      <w:r>
        <w:lastRenderedPageBreak/>
        <w:t xml:space="preserve"> </w:t>
      </w:r>
      <w:r>
        <w:rPr>
          <w:noProof/>
        </w:rPr>
        <w:drawing>
          <wp:inline distT="0" distB="0" distL="0" distR="0" wp14:anchorId="2F32E1BD" wp14:editId="4E0AE634">
            <wp:extent cx="5943600" cy="2820035"/>
            <wp:effectExtent l="0" t="0" r="0" b="0"/>
            <wp:docPr id="1850728143" name="Picture 1850728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72814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DE29A" w14:textId="77777777" w:rsidR="00466535" w:rsidRDefault="00466535" w:rsidP="00466535">
      <w:pPr>
        <w:pStyle w:val="Caption"/>
        <w:spacing w:after="0" w:line="360" w:lineRule="auto"/>
        <w:rPr>
          <w:b/>
          <w:bCs/>
          <w:i w:val="0"/>
          <w:iCs w:val="0"/>
          <w:color w:val="auto"/>
          <w:sz w:val="24"/>
          <w:szCs w:val="24"/>
        </w:rPr>
      </w:pPr>
      <w:bookmarkStart w:id="1" w:name="_Ref139153426"/>
      <w:r w:rsidRPr="00787F24">
        <w:rPr>
          <w:b/>
          <w:bCs/>
          <w:i w:val="0"/>
          <w:iCs w:val="0"/>
          <w:color w:val="auto"/>
          <w:sz w:val="24"/>
          <w:szCs w:val="24"/>
        </w:rPr>
        <w:t xml:space="preserve">Supplementary Figure 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87F24">
        <w:rPr>
          <w:b/>
          <w:bCs/>
          <w:i w:val="0"/>
          <w:iCs w:val="0"/>
          <w:color w:val="auto"/>
          <w:sz w:val="24"/>
          <w:szCs w:val="24"/>
        </w:rPr>
        <w:instrText xml:space="preserve"> SEQ Supplementary_Figure \* ARABIC </w:instrTex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1"/>
      <w:r w:rsidRPr="00787F24"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The prominent cell types and ensembles mediating chemotherapy response in breast cancer tumor microenvironment. </w:t>
      </w:r>
    </w:p>
    <w:p w14:paraId="743AE8E9" w14:textId="77777777" w:rsidR="00466535" w:rsidRPr="00BB6D69" w:rsidRDefault="00466535" w:rsidP="00466535">
      <w:pPr>
        <w:spacing w:line="360" w:lineRule="auto"/>
      </w:pPr>
      <w:r w:rsidRPr="007602BE">
        <w:rPr>
          <w:b/>
          <w:bCs/>
        </w:rPr>
        <w:t>A</w:t>
      </w:r>
      <w:r>
        <w:rPr>
          <w:b/>
          <w:bCs/>
        </w:rPr>
        <w:t>-B</w:t>
      </w:r>
      <w:r w:rsidRPr="007602BE">
        <w:rPr>
          <w:b/>
          <w:bCs/>
        </w:rPr>
        <w:t xml:space="preserve">. </w:t>
      </w:r>
      <w:r>
        <w:t>Odds ratios for the prominent cell types (</w:t>
      </w:r>
      <w:r w:rsidRPr="000A0022">
        <w:rPr>
          <w:b/>
          <w:bCs/>
        </w:rPr>
        <w:t>A</w:t>
      </w:r>
      <w:r>
        <w:t>) and multi-cell-type ensembles (</w:t>
      </w:r>
      <w:r>
        <w:rPr>
          <w:b/>
          <w:bCs/>
        </w:rPr>
        <w:t>B</w:t>
      </w:r>
      <w:r>
        <w:t xml:space="preserve">) as compared to the bulk across three cohorts. Cell types are ranked by their area under the receiver operating characteristics curve (AUC) values in cross-validation in a descending order (see </w:t>
      </w:r>
      <w:r>
        <w:rPr>
          <w:b/>
          <w:bCs/>
        </w:rPr>
        <w:fldChar w:fldCharType="begin"/>
      </w:r>
      <w:r>
        <w:instrText xml:space="preserve"> REF _Ref139153398 \h </w:instrText>
      </w:r>
      <w:r>
        <w:rPr>
          <w:b/>
          <w:bCs/>
        </w:rPr>
        <w:instrText xml:space="preserve"> \* MERGEFORMAT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AD75B0">
        <w:rPr>
          <w:rFonts w:cstheme="minorHAnsi"/>
          <w:b/>
        </w:rPr>
        <w:t xml:space="preserve">Figure </w:t>
      </w:r>
      <w:r>
        <w:rPr>
          <w:rFonts w:cstheme="minorHAnsi"/>
          <w:b/>
          <w:noProof/>
        </w:rPr>
        <w:t>2</w:t>
      </w:r>
      <w:r>
        <w:rPr>
          <w:b/>
          <w:bCs/>
        </w:rPr>
        <w:fldChar w:fldCharType="end"/>
      </w:r>
      <w:r w:rsidRPr="00BB6D69">
        <w:rPr>
          <w:b/>
          <w:bCs/>
        </w:rPr>
        <w:t>B</w:t>
      </w:r>
      <w:r>
        <w:t xml:space="preserve">). Ensembles are ranked by their AUC values in external validation in a descending order (see </w:t>
      </w:r>
      <w:r>
        <w:rPr>
          <w:b/>
          <w:bCs/>
        </w:rPr>
        <w:fldChar w:fldCharType="begin"/>
      </w:r>
      <w:r>
        <w:instrText xml:space="preserve"> REF _Ref139153524 \h </w:instrText>
      </w:r>
      <w:r>
        <w:rPr>
          <w:b/>
          <w:bCs/>
        </w:rPr>
        <w:instrText xml:space="preserve"> \* MERGEFORMAT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AD75B0">
        <w:rPr>
          <w:b/>
          <w:bCs/>
        </w:rPr>
        <w:t xml:space="preserve">Figure </w:t>
      </w:r>
      <w:r>
        <w:rPr>
          <w:b/>
          <w:bCs/>
          <w:noProof/>
        </w:rPr>
        <w:t>3</w:t>
      </w:r>
      <w:r>
        <w:rPr>
          <w:b/>
          <w:bCs/>
        </w:rPr>
        <w:fldChar w:fldCharType="end"/>
      </w:r>
      <w:r>
        <w:rPr>
          <w:b/>
          <w:bCs/>
        </w:rPr>
        <w:t>A-D</w:t>
      </w:r>
      <w:r>
        <w:t xml:space="preserve">). </w:t>
      </w:r>
    </w:p>
    <w:p w14:paraId="130630FA" w14:textId="77777777" w:rsidR="00466535" w:rsidRPr="00BB6D69" w:rsidRDefault="00466535" w:rsidP="00466535">
      <w:pPr>
        <w:spacing w:line="360" w:lineRule="auto"/>
      </w:pPr>
      <w:r>
        <w:rPr>
          <w:b/>
          <w:bCs/>
        </w:rPr>
        <w:t>C-D</w:t>
      </w:r>
      <w:r w:rsidRPr="007602BE">
        <w:rPr>
          <w:b/>
          <w:bCs/>
        </w:rPr>
        <w:t xml:space="preserve">. </w:t>
      </w:r>
      <w:r>
        <w:t>Sensitivities for the prominent cell types (</w:t>
      </w:r>
      <w:r>
        <w:rPr>
          <w:b/>
          <w:bCs/>
        </w:rPr>
        <w:t>C</w:t>
      </w:r>
      <w:r>
        <w:t>) and multi-cell-type ensembles (</w:t>
      </w:r>
      <w:r>
        <w:rPr>
          <w:b/>
          <w:bCs/>
        </w:rPr>
        <w:t>D</w:t>
      </w:r>
      <w:r>
        <w:t xml:space="preserve">) as compared to the bulk across the three cohorts. Cell types are ranked by their AUC values in cross-validation in a descending order (see </w:t>
      </w:r>
      <w:r>
        <w:rPr>
          <w:b/>
          <w:bCs/>
        </w:rPr>
        <w:fldChar w:fldCharType="begin"/>
      </w:r>
      <w:r>
        <w:instrText xml:space="preserve"> REF _Ref139153398 \h </w:instrText>
      </w:r>
      <w:r>
        <w:rPr>
          <w:b/>
          <w:bCs/>
        </w:rPr>
        <w:instrText xml:space="preserve"> \* MERGEFORMAT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AD75B0">
        <w:rPr>
          <w:rFonts w:cstheme="minorHAnsi"/>
          <w:b/>
        </w:rPr>
        <w:t xml:space="preserve">Figure </w:t>
      </w:r>
      <w:r>
        <w:rPr>
          <w:rFonts w:cstheme="minorHAnsi"/>
          <w:b/>
          <w:noProof/>
        </w:rPr>
        <w:t>2</w:t>
      </w:r>
      <w:r>
        <w:rPr>
          <w:b/>
          <w:bCs/>
        </w:rPr>
        <w:fldChar w:fldCharType="end"/>
      </w:r>
      <w:r w:rsidRPr="00BB6D69">
        <w:rPr>
          <w:b/>
          <w:bCs/>
        </w:rPr>
        <w:t>B</w:t>
      </w:r>
      <w:r>
        <w:t xml:space="preserve">). Cell ensembles are ranked by their AUC values in external validation in a descending order (see </w:t>
      </w:r>
      <w:r>
        <w:rPr>
          <w:b/>
          <w:bCs/>
        </w:rPr>
        <w:fldChar w:fldCharType="begin"/>
      </w:r>
      <w:r>
        <w:instrText xml:space="preserve"> REF _Ref139153524 \h </w:instrText>
      </w:r>
      <w:r>
        <w:rPr>
          <w:b/>
          <w:bCs/>
        </w:rPr>
        <w:instrText xml:space="preserve"> \* MERGEFORMAT 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AD75B0">
        <w:rPr>
          <w:b/>
          <w:bCs/>
        </w:rPr>
        <w:t xml:space="preserve">Figure </w:t>
      </w:r>
      <w:r>
        <w:rPr>
          <w:b/>
          <w:bCs/>
          <w:noProof/>
        </w:rPr>
        <w:t>3</w:t>
      </w:r>
      <w:r>
        <w:rPr>
          <w:b/>
          <w:bCs/>
        </w:rPr>
        <w:fldChar w:fldCharType="end"/>
      </w:r>
      <w:r>
        <w:rPr>
          <w:b/>
          <w:bCs/>
        </w:rPr>
        <w:t>A-D</w:t>
      </w:r>
      <w:r>
        <w:t xml:space="preserve">). </w:t>
      </w:r>
    </w:p>
    <w:p w14:paraId="6F91A3E2" w14:textId="77777777" w:rsidR="00466535" w:rsidRDefault="00466535" w:rsidP="00466535">
      <w:pPr>
        <w:spacing w:line="360" w:lineRule="auto"/>
      </w:pPr>
    </w:p>
    <w:p w14:paraId="414916BA" w14:textId="77777777" w:rsidR="00466535" w:rsidRDefault="00466535" w:rsidP="00466535">
      <w:pPr>
        <w:keepNext/>
        <w:spacing w:line="360" w:lineRule="auto"/>
      </w:pPr>
      <w:r>
        <w:rPr>
          <w:noProof/>
        </w:rPr>
        <w:lastRenderedPageBreak/>
        <w:drawing>
          <wp:inline distT="0" distB="0" distL="0" distR="0" wp14:anchorId="132E2ADE" wp14:editId="6D2F2F2F">
            <wp:extent cx="5943600" cy="3557270"/>
            <wp:effectExtent l="0" t="0" r="0" b="0"/>
            <wp:docPr id="7387042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04217" name="Picture 7387042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9C0B4" w14:textId="77777777" w:rsidR="00466535" w:rsidRPr="00D23B1C" w:rsidRDefault="00466535" w:rsidP="00466535">
      <w:pPr>
        <w:spacing w:line="360" w:lineRule="auto"/>
        <w:rPr>
          <w:b/>
          <w:bCs/>
        </w:rPr>
      </w:pPr>
      <w:bookmarkStart w:id="2" w:name="_Ref165309697"/>
      <w:r w:rsidRPr="00D23B1C">
        <w:rPr>
          <w:b/>
          <w:bCs/>
        </w:rPr>
        <w:t xml:space="preserve">Supplementary Figure </w:t>
      </w:r>
      <w:r w:rsidRPr="00D23B1C">
        <w:rPr>
          <w:b/>
          <w:bCs/>
        </w:rPr>
        <w:fldChar w:fldCharType="begin"/>
      </w:r>
      <w:r w:rsidRPr="00D23B1C">
        <w:rPr>
          <w:b/>
          <w:bCs/>
        </w:rPr>
        <w:instrText xml:space="preserve"> SEQ Supplementary_Figure \* ARABIC </w:instrText>
      </w:r>
      <w:r w:rsidRPr="00D23B1C">
        <w:rPr>
          <w:b/>
          <w:bCs/>
        </w:rPr>
        <w:fldChar w:fldCharType="separate"/>
      </w:r>
      <w:r>
        <w:rPr>
          <w:b/>
          <w:bCs/>
          <w:noProof/>
        </w:rPr>
        <w:t>3</w:t>
      </w:r>
      <w:r w:rsidRPr="00D23B1C">
        <w:rPr>
          <w:b/>
          <w:bCs/>
        </w:rPr>
        <w:fldChar w:fldCharType="end"/>
      </w:r>
      <w:bookmarkEnd w:id="2"/>
      <w:r w:rsidRPr="00D23B1C">
        <w:rPr>
          <w:b/>
          <w:bCs/>
        </w:rPr>
        <w:t xml:space="preserve">: The prominent cell types and ensembles mediating chemotherapy response in breast cancer tumor microenvironment in a subtype-specific manner.  </w:t>
      </w:r>
    </w:p>
    <w:p w14:paraId="276278C8" w14:textId="77777777" w:rsidR="00466535" w:rsidRPr="00D23B1C" w:rsidRDefault="00466535" w:rsidP="00466535">
      <w:pPr>
        <w:spacing w:line="360" w:lineRule="auto"/>
        <w:rPr>
          <w:rFonts w:cstheme="minorHAnsi"/>
        </w:rPr>
      </w:pPr>
      <w:r w:rsidRPr="00D23B1C">
        <w:rPr>
          <w:b/>
          <w:bCs/>
        </w:rPr>
        <w:t>A-B.</w:t>
      </w:r>
      <w:r w:rsidRPr="00D23B1C">
        <w:t xml:space="preserve"> Comparison of model performances in cross-validation with TransNEO for the ER-positive, HER2-negative (ER+</w:t>
      </w:r>
      <w:r>
        <w:t xml:space="preserve"> </w:t>
      </w:r>
      <w:r w:rsidRPr="00D23B1C">
        <w:t>/</w:t>
      </w:r>
      <w:r>
        <w:t xml:space="preserve"> </w:t>
      </w:r>
      <w:r w:rsidRPr="00D23B1C">
        <w:t xml:space="preserve">HER2-; </w:t>
      </w:r>
      <w:r w:rsidRPr="00D23B1C">
        <w:rPr>
          <w:b/>
          <w:bCs/>
        </w:rPr>
        <w:t>A</w:t>
      </w:r>
      <w:r w:rsidRPr="00D23B1C">
        <w:t xml:space="preserve">) and triple negative (TN; </w:t>
      </w:r>
      <w:r w:rsidRPr="00D23B1C">
        <w:rPr>
          <w:b/>
          <w:bCs/>
        </w:rPr>
        <w:t>B</w:t>
      </w:r>
      <w:r w:rsidRPr="00D23B1C">
        <w:t xml:space="preserve">) subtypes across nine cell-type-specific, bulk, and Sammut et al. predictors. </w:t>
      </w:r>
      <w:r w:rsidRPr="00D23B1C">
        <w:rPr>
          <w:rFonts w:cstheme="minorHAnsi"/>
        </w:rPr>
        <w:t xml:space="preserve">AUC and AP stand for the area under the receiver operating characteristics curve and average precision (equivalent to the area under precision-recall curve), respectively. Cell types are ranked by their AUC values in a descending order. </w:t>
      </w:r>
    </w:p>
    <w:p w14:paraId="07C05DC3" w14:textId="77777777" w:rsidR="00466535" w:rsidRPr="00D23B1C" w:rsidRDefault="00466535" w:rsidP="00466535">
      <w:pPr>
        <w:spacing w:line="360" w:lineRule="auto"/>
        <w:rPr>
          <w:rFonts w:cstheme="minorHAnsi"/>
        </w:rPr>
      </w:pPr>
      <w:r w:rsidRPr="00D23B1C">
        <w:rPr>
          <w:b/>
          <w:bCs/>
        </w:rPr>
        <w:t>C-D.</w:t>
      </w:r>
      <w:r w:rsidRPr="00D23B1C">
        <w:t xml:space="preserve"> Comparison of model performances in external validation with ARTemis + PBCP for the ER+</w:t>
      </w:r>
      <w:r>
        <w:t xml:space="preserve"> </w:t>
      </w:r>
      <w:r w:rsidRPr="00D23B1C">
        <w:t>/</w:t>
      </w:r>
      <w:r>
        <w:t xml:space="preserve"> </w:t>
      </w:r>
      <w:r w:rsidRPr="00D23B1C">
        <w:t>HER2- (</w:t>
      </w:r>
      <w:r w:rsidRPr="00D23B1C">
        <w:rPr>
          <w:b/>
          <w:bCs/>
        </w:rPr>
        <w:t>C</w:t>
      </w:r>
      <w:r w:rsidRPr="00D23B1C">
        <w:t>) and TN (</w:t>
      </w:r>
      <w:r w:rsidRPr="00D23B1C">
        <w:rPr>
          <w:b/>
          <w:bCs/>
        </w:rPr>
        <w:t>D</w:t>
      </w:r>
      <w:r w:rsidRPr="00D23B1C">
        <w:t>) subtypes across nine cell-type-specific, bulk, and Sammut et al. predictors.</w:t>
      </w:r>
      <w:r w:rsidRPr="00D23B1C">
        <w:rPr>
          <w:rFonts w:cstheme="minorHAnsi"/>
        </w:rPr>
        <w:t xml:space="preserve"> Cell types are ranked by their AUC values in a descending order. </w:t>
      </w:r>
    </w:p>
    <w:p w14:paraId="79D9B1CA" w14:textId="77777777" w:rsidR="00466535" w:rsidRDefault="00466535" w:rsidP="00466535">
      <w:pPr>
        <w:spacing w:line="360" w:lineRule="auto"/>
        <w:rPr>
          <w:rFonts w:cstheme="minorHAnsi"/>
        </w:rPr>
      </w:pPr>
      <w:r w:rsidRPr="00D23B1C">
        <w:rPr>
          <w:b/>
          <w:bCs/>
        </w:rPr>
        <w:t>E-F.</w:t>
      </w:r>
      <w:r w:rsidRPr="00D23B1C">
        <w:t xml:space="preserve"> Comparison of model performances in external validation with ARTemis + PBCP for the ER+</w:t>
      </w:r>
      <w:r>
        <w:t xml:space="preserve"> </w:t>
      </w:r>
      <w:r w:rsidRPr="00D23B1C">
        <w:t>/</w:t>
      </w:r>
      <w:r>
        <w:t xml:space="preserve"> </w:t>
      </w:r>
      <w:r w:rsidRPr="00D23B1C">
        <w:t>HER2- (</w:t>
      </w:r>
      <w:r w:rsidRPr="00D23B1C">
        <w:rPr>
          <w:b/>
          <w:bCs/>
        </w:rPr>
        <w:t>E</w:t>
      </w:r>
      <w:r w:rsidRPr="00D23B1C">
        <w:t>) and TN (</w:t>
      </w:r>
      <w:r w:rsidRPr="00D23B1C">
        <w:rPr>
          <w:b/>
          <w:bCs/>
        </w:rPr>
        <w:t>F</w:t>
      </w:r>
      <w:r w:rsidRPr="00D23B1C">
        <w:t>) subtypes across five most prominent two-cell-ensembles, five most prominent three-cell-ensembles, bulk, and Sammut et al. predictors.</w:t>
      </w:r>
      <w:r w:rsidRPr="00D23B1C">
        <w:rPr>
          <w:rFonts w:cstheme="minorHAnsi"/>
        </w:rPr>
        <w:t xml:space="preserve"> Ensembles are ranked by their AUC values in a descending order.</w:t>
      </w:r>
      <w:r>
        <w:rPr>
          <w:rFonts w:cstheme="minorHAnsi"/>
        </w:rPr>
        <w:t xml:space="preserve"> </w:t>
      </w:r>
    </w:p>
    <w:p w14:paraId="2F869C2D" w14:textId="77777777" w:rsidR="00466535" w:rsidRDefault="00466535" w:rsidP="00466535">
      <w:pPr>
        <w:spacing w:line="360" w:lineRule="auto"/>
      </w:pPr>
    </w:p>
    <w:p w14:paraId="5A2245AF" w14:textId="77777777" w:rsidR="00466535" w:rsidRDefault="00466535" w:rsidP="00466535">
      <w:pPr>
        <w:spacing w:line="360" w:lineRule="auto"/>
      </w:pPr>
      <w:r>
        <w:rPr>
          <w:noProof/>
        </w:rPr>
        <w:drawing>
          <wp:inline distT="0" distB="0" distL="0" distR="0" wp14:anchorId="4632022E" wp14:editId="078A6BF7">
            <wp:extent cx="5943600" cy="6584315"/>
            <wp:effectExtent l="0" t="0" r="0" b="0"/>
            <wp:docPr id="12647041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04190" name="Picture 12647041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83485" w14:textId="77777777" w:rsidR="00466535" w:rsidRDefault="00466535" w:rsidP="00466535">
      <w:pPr>
        <w:pStyle w:val="Caption"/>
        <w:spacing w:after="0" w:line="360" w:lineRule="auto"/>
        <w:rPr>
          <w:b/>
          <w:bCs/>
          <w:i w:val="0"/>
          <w:iCs w:val="0"/>
          <w:color w:val="auto"/>
          <w:sz w:val="24"/>
          <w:szCs w:val="24"/>
        </w:rPr>
      </w:pPr>
      <w:bookmarkStart w:id="3" w:name="_Ref144306417"/>
      <w:r w:rsidRPr="00787F24">
        <w:rPr>
          <w:b/>
          <w:bCs/>
          <w:i w:val="0"/>
          <w:iCs w:val="0"/>
          <w:color w:val="auto"/>
          <w:sz w:val="24"/>
          <w:szCs w:val="24"/>
        </w:rPr>
        <w:t xml:space="preserve">Supplementary Figure 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87F24">
        <w:rPr>
          <w:b/>
          <w:bCs/>
          <w:i w:val="0"/>
          <w:iCs w:val="0"/>
          <w:color w:val="auto"/>
          <w:sz w:val="24"/>
          <w:szCs w:val="24"/>
        </w:rPr>
        <w:instrText xml:space="preserve"> SEQ Supplementary_Figure \* ARABIC </w:instrTex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3"/>
      <w:r w:rsidRPr="00787F24"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b/>
          <w:bCs/>
          <w:i w:val="0"/>
          <w:iCs w:val="0"/>
          <w:color w:val="auto"/>
          <w:sz w:val="24"/>
          <w:szCs w:val="24"/>
        </w:rPr>
        <w:t>The CD4</w:t>
      </w:r>
      <w:r w:rsidRPr="005A249F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+</w:t>
      </w:r>
      <w:r>
        <w:rPr>
          <w:b/>
          <w:bCs/>
          <w:i w:val="0"/>
          <w:iCs w:val="0"/>
          <w:color w:val="auto"/>
          <w:sz w:val="24"/>
          <w:szCs w:val="24"/>
          <w:vertAlign w:val="superscript"/>
        </w:rPr>
        <w:t xml:space="preserve"> </w:t>
      </w:r>
      <w:r>
        <w:rPr>
          <w:b/>
          <w:bCs/>
          <w:i w:val="0"/>
          <w:iCs w:val="0"/>
          <w:color w:val="auto"/>
          <w:sz w:val="24"/>
          <w:szCs w:val="24"/>
        </w:rPr>
        <w:t>/ CD8</w:t>
      </w:r>
      <w:r w:rsidRPr="005A249F">
        <w:rPr>
          <w:b/>
          <w:bCs/>
          <w:i w:val="0"/>
          <w:iCs w:val="0"/>
          <w:color w:val="auto"/>
          <w:sz w:val="24"/>
          <w:szCs w:val="24"/>
          <w:vertAlign w:val="superscript"/>
        </w:rPr>
        <w:t>+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 T-cells enrichment and cell abundance – clinical response association analyses reaffirm the poor chemotherapy response stratification by T-cells at the current resolution. </w:t>
      </w:r>
    </w:p>
    <w:p w14:paraId="5463CC60" w14:textId="77777777" w:rsidR="00466535" w:rsidRDefault="00466535" w:rsidP="00466535">
      <w:pPr>
        <w:spacing w:line="360" w:lineRule="auto"/>
      </w:pPr>
      <w:r>
        <w:rPr>
          <w:b/>
          <w:bCs/>
        </w:rPr>
        <w:lastRenderedPageBreak/>
        <w:t>A-B.</w:t>
      </w:r>
      <w:r>
        <w:t xml:space="preserve"> GSVA enrichment scores (</w:t>
      </w:r>
      <w:r w:rsidRPr="00290736">
        <w:rPr>
          <w:b/>
          <w:bCs/>
        </w:rPr>
        <w:t>A</w:t>
      </w:r>
      <w:r>
        <w:t>) and predictive performance (</w:t>
      </w:r>
      <w:r>
        <w:rPr>
          <w:b/>
          <w:bCs/>
        </w:rPr>
        <w:t>B</w:t>
      </w:r>
      <w:r>
        <w:t>) of CD4</w:t>
      </w:r>
      <w:r w:rsidRPr="005A249F">
        <w:rPr>
          <w:vertAlign w:val="superscript"/>
        </w:rPr>
        <w:t>+</w:t>
      </w:r>
      <w:r>
        <w:t xml:space="preserve"> T-cells for chemotherapy response stratification across TransNEO (</w:t>
      </w:r>
      <w:r>
        <w:rPr>
          <w:i/>
          <w:iCs/>
        </w:rPr>
        <w:t>n</w:t>
      </w:r>
      <w:r>
        <w:t xml:space="preserve"> = 94), ARTemis + PBCP (</w:t>
      </w:r>
      <w:r>
        <w:rPr>
          <w:i/>
          <w:iCs/>
        </w:rPr>
        <w:t>n</w:t>
      </w:r>
      <w:r>
        <w:t xml:space="preserve"> = 55), and BrighTNess (</w:t>
      </w:r>
      <w:r>
        <w:rPr>
          <w:i/>
          <w:iCs/>
        </w:rPr>
        <w:t>n</w:t>
      </w:r>
      <w:r>
        <w:t xml:space="preserve"> = 106) cohorts. </w:t>
      </w:r>
      <w:r w:rsidRPr="00610F97">
        <w:t xml:space="preserve">R and NR stand for responders and non-responders, respectively. </w:t>
      </w:r>
      <w:r>
        <w:rPr>
          <w:rFonts w:cstheme="minorHAnsi"/>
        </w:rPr>
        <w:t xml:space="preserve">The differences between the prediction scores were computed by using a one-tailed Wilcoxon rank-sum test. </w:t>
      </w:r>
      <w:r w:rsidRPr="00AD75B0">
        <w:rPr>
          <w:rFonts w:cstheme="minorHAnsi"/>
        </w:rPr>
        <w:t xml:space="preserve">AUC and AP stand for the area under the receiver operating characteristics </w:t>
      </w:r>
      <w:r>
        <w:rPr>
          <w:rFonts w:cstheme="minorHAnsi"/>
        </w:rPr>
        <w:t xml:space="preserve">curve and average precision (equivalent to the area under </w:t>
      </w:r>
      <w:r w:rsidRPr="00AD75B0">
        <w:rPr>
          <w:rFonts w:cstheme="minorHAnsi"/>
        </w:rPr>
        <w:t>precision-recall curve</w:t>
      </w:r>
      <w:r>
        <w:rPr>
          <w:rFonts w:cstheme="minorHAnsi"/>
        </w:rPr>
        <w:t>)</w:t>
      </w:r>
      <w:r w:rsidRPr="00AD75B0">
        <w:rPr>
          <w:rFonts w:cstheme="minorHAnsi"/>
        </w:rPr>
        <w:t>, respectively.</w:t>
      </w:r>
      <w:r w:rsidRPr="006D726B">
        <w:t xml:space="preserve"> </w:t>
      </w:r>
    </w:p>
    <w:p w14:paraId="13A454AC" w14:textId="77777777" w:rsidR="00466535" w:rsidRDefault="00466535" w:rsidP="00466535">
      <w:pPr>
        <w:spacing w:line="360" w:lineRule="auto"/>
      </w:pPr>
      <w:r>
        <w:rPr>
          <w:b/>
          <w:bCs/>
        </w:rPr>
        <w:t>C-D.</w:t>
      </w:r>
      <w:r>
        <w:t xml:space="preserve"> GSVA enrichment scores (</w:t>
      </w:r>
      <w:r>
        <w:rPr>
          <w:b/>
          <w:bCs/>
        </w:rPr>
        <w:t>C</w:t>
      </w:r>
      <w:r>
        <w:t>) and predictive performance (</w:t>
      </w:r>
      <w:r>
        <w:rPr>
          <w:b/>
          <w:bCs/>
        </w:rPr>
        <w:t>D</w:t>
      </w:r>
      <w:r>
        <w:t>) of CD8</w:t>
      </w:r>
      <w:r w:rsidRPr="005A249F">
        <w:rPr>
          <w:vertAlign w:val="superscript"/>
        </w:rPr>
        <w:t>+</w:t>
      </w:r>
      <w:r>
        <w:t xml:space="preserve"> T-cells for chemotherapy response stratification across the three cohorts. </w:t>
      </w:r>
    </w:p>
    <w:p w14:paraId="2250FD23" w14:textId="77777777" w:rsidR="00466535" w:rsidRPr="005A249F" w:rsidRDefault="00466535" w:rsidP="00466535">
      <w:pPr>
        <w:spacing w:line="360" w:lineRule="auto"/>
        <w:rPr>
          <w:bCs/>
        </w:rPr>
      </w:pPr>
      <w:r w:rsidRPr="005A249F">
        <w:rPr>
          <w:b/>
          <w:bCs/>
        </w:rPr>
        <w:t>E-G.</w:t>
      </w:r>
      <w:r w:rsidRPr="005A249F">
        <w:t xml:space="preserve"> </w:t>
      </w:r>
      <w:r>
        <w:t>Predictive performance of abundances of the nine cell types for TransNEO (</w:t>
      </w:r>
      <w:r w:rsidRPr="005A249F">
        <w:rPr>
          <w:b/>
          <w:bCs/>
        </w:rPr>
        <w:t>E</w:t>
      </w:r>
      <w:r>
        <w:t>), ARTemis + PBCP (</w:t>
      </w:r>
      <w:r>
        <w:rPr>
          <w:b/>
        </w:rPr>
        <w:t>F</w:t>
      </w:r>
      <w:r>
        <w:rPr>
          <w:bCs/>
        </w:rPr>
        <w:t>), and BrighTNess (</w:t>
      </w:r>
      <w:r>
        <w:rPr>
          <w:b/>
        </w:rPr>
        <w:t>G</w:t>
      </w:r>
      <w:r>
        <w:rPr>
          <w:bCs/>
        </w:rPr>
        <w:t xml:space="preserve">) cohorts. Cell types are ranked by their AUC values for TransNEO in a descending order. </w:t>
      </w:r>
    </w:p>
    <w:p w14:paraId="180BF977" w14:textId="77777777" w:rsidR="00466535" w:rsidRDefault="00466535" w:rsidP="00466535">
      <w:pPr>
        <w:spacing w:line="360" w:lineRule="auto"/>
      </w:pPr>
    </w:p>
    <w:p w14:paraId="1E6E043A" w14:textId="77777777" w:rsidR="00466535" w:rsidRDefault="00466535" w:rsidP="00466535">
      <w:pPr>
        <w:keepNext/>
        <w:spacing w:line="360" w:lineRule="auto"/>
      </w:pPr>
      <w:r>
        <w:rPr>
          <w:noProof/>
        </w:rPr>
        <w:lastRenderedPageBreak/>
        <w:drawing>
          <wp:inline distT="0" distB="0" distL="0" distR="0" wp14:anchorId="645CA09F" wp14:editId="508ACEF3">
            <wp:extent cx="5943600" cy="4363720"/>
            <wp:effectExtent l="0" t="0" r="0" b="5080"/>
            <wp:docPr id="18431458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145886" name="Picture 18431458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4EF2C" w14:textId="77777777" w:rsidR="00466535" w:rsidRPr="00D23B1C" w:rsidRDefault="00466535" w:rsidP="00466535">
      <w:pPr>
        <w:spacing w:line="360" w:lineRule="auto"/>
        <w:rPr>
          <w:b/>
          <w:bCs/>
        </w:rPr>
      </w:pPr>
      <w:bookmarkStart w:id="4" w:name="_Ref164634801"/>
      <w:r w:rsidRPr="00D23B1C">
        <w:rPr>
          <w:b/>
          <w:bCs/>
        </w:rPr>
        <w:t xml:space="preserve">Supplementary Figure </w:t>
      </w:r>
      <w:r w:rsidRPr="00D23B1C">
        <w:rPr>
          <w:b/>
          <w:bCs/>
        </w:rPr>
        <w:fldChar w:fldCharType="begin"/>
      </w:r>
      <w:r w:rsidRPr="00D23B1C">
        <w:rPr>
          <w:b/>
          <w:bCs/>
        </w:rPr>
        <w:instrText xml:space="preserve"> SEQ Supplementary_Figure \* ARABIC </w:instrText>
      </w:r>
      <w:r w:rsidRPr="00D23B1C">
        <w:rPr>
          <w:b/>
          <w:bCs/>
        </w:rPr>
        <w:fldChar w:fldCharType="separate"/>
      </w:r>
      <w:r>
        <w:rPr>
          <w:b/>
          <w:bCs/>
          <w:noProof/>
        </w:rPr>
        <w:t>5</w:t>
      </w:r>
      <w:r w:rsidRPr="00D23B1C">
        <w:rPr>
          <w:b/>
          <w:bCs/>
        </w:rPr>
        <w:fldChar w:fldCharType="end"/>
      </w:r>
      <w:bookmarkEnd w:id="4"/>
      <w:r w:rsidRPr="00D23B1C">
        <w:rPr>
          <w:b/>
          <w:bCs/>
        </w:rPr>
        <w:t xml:space="preserve">: The prominent immune cell types and ensembles mediating response to the most prevalent immunogenic chemotherapy regimen in each breast cancer cohort. </w:t>
      </w:r>
    </w:p>
    <w:p w14:paraId="3B785D7A" w14:textId="77777777" w:rsidR="00466535" w:rsidRPr="00D23B1C" w:rsidRDefault="00466535" w:rsidP="00466535">
      <w:pPr>
        <w:spacing w:line="360" w:lineRule="auto"/>
      </w:pPr>
      <w:r w:rsidRPr="00D23B1C">
        <w:rPr>
          <w:b/>
          <w:bCs/>
        </w:rPr>
        <w:t>A.</w:t>
      </w:r>
      <w:r w:rsidRPr="00D23B1C">
        <w:t xml:space="preserve"> Comparison of model performances in cross-validation with TransNEO for the T-FEC regimen (</w:t>
      </w:r>
      <w:r w:rsidRPr="00D23B1C">
        <w:rPr>
          <w:i/>
          <w:iCs/>
        </w:rPr>
        <w:t>n</w:t>
      </w:r>
      <w:r w:rsidRPr="00D23B1C">
        <w:t xml:space="preserve"> = 61) across nine cell-type-specific and bulk predictors. </w:t>
      </w:r>
      <w:r w:rsidRPr="00D23B1C">
        <w:rPr>
          <w:rFonts w:cstheme="minorHAnsi"/>
        </w:rPr>
        <w:t xml:space="preserve">AUC and AP stand for the area under the receiver operating characteristics curve and average precision (equivalent to the area under precision-recall curve), respectively. Cell types are ranked by their AUC values in a descending order. Here, T = docetaxel/taxotere, F = 5-flurouracil, E = epirubicin, and C = cyclophosphamide. </w:t>
      </w:r>
    </w:p>
    <w:p w14:paraId="13A6D9C7" w14:textId="77777777" w:rsidR="00466535" w:rsidRPr="00D23B1C" w:rsidRDefault="00466535" w:rsidP="00466535">
      <w:pPr>
        <w:spacing w:line="360" w:lineRule="auto"/>
      </w:pPr>
      <w:r w:rsidRPr="00D23B1C">
        <w:rPr>
          <w:b/>
          <w:bCs/>
        </w:rPr>
        <w:t xml:space="preserve">B-C. </w:t>
      </w:r>
      <w:r w:rsidRPr="00D23B1C">
        <w:t>Comparison of model performances in external validation with ARTemis + PBCP for the T-FEC regimen (</w:t>
      </w:r>
      <w:r w:rsidRPr="00D23B1C">
        <w:rPr>
          <w:i/>
          <w:iCs/>
        </w:rPr>
        <w:t>n</w:t>
      </w:r>
      <w:r w:rsidRPr="00D23B1C">
        <w:t xml:space="preserve"> = 40) across the top cell-type-specific models (</w:t>
      </w:r>
      <w:r w:rsidRPr="00D23B1C">
        <w:rPr>
          <w:b/>
          <w:bCs/>
        </w:rPr>
        <w:t>B</w:t>
      </w:r>
      <w:r w:rsidRPr="00D23B1C">
        <w:t>) and top multi-cell-type ensembles (</w:t>
      </w:r>
      <w:r w:rsidRPr="00D23B1C">
        <w:rPr>
          <w:b/>
          <w:bCs/>
        </w:rPr>
        <w:t>C</w:t>
      </w:r>
      <w:r w:rsidRPr="00D23B1C">
        <w:t xml:space="preserve">). Cell types and ensembles are ranked by their AUC values in a descending order. </w:t>
      </w:r>
    </w:p>
    <w:p w14:paraId="02FD7393" w14:textId="77777777" w:rsidR="00466535" w:rsidRDefault="00466535" w:rsidP="00466535">
      <w:pPr>
        <w:spacing w:line="360" w:lineRule="auto"/>
      </w:pPr>
      <w:r w:rsidRPr="00D23B1C">
        <w:rPr>
          <w:b/>
          <w:bCs/>
        </w:rPr>
        <w:lastRenderedPageBreak/>
        <w:t xml:space="preserve">D-E. </w:t>
      </w:r>
      <w:r w:rsidRPr="00D23B1C">
        <w:t>Comparison of model performances in external validation with BrighTNess for paclitaxel + carboplatin regimen (</w:t>
      </w:r>
      <w:r w:rsidRPr="00D23B1C">
        <w:rPr>
          <w:i/>
          <w:iCs/>
        </w:rPr>
        <w:t>n</w:t>
      </w:r>
      <w:r w:rsidRPr="00D23B1C">
        <w:t xml:space="preserve"> = 106) across the top cell-type-specific models (</w:t>
      </w:r>
      <w:r w:rsidRPr="00D23B1C">
        <w:rPr>
          <w:b/>
          <w:bCs/>
        </w:rPr>
        <w:t>D</w:t>
      </w:r>
      <w:r w:rsidRPr="00D23B1C">
        <w:t>) and top multi-cell-type ensembles (</w:t>
      </w:r>
      <w:r w:rsidRPr="00D23B1C">
        <w:rPr>
          <w:b/>
          <w:bCs/>
        </w:rPr>
        <w:t>E</w:t>
      </w:r>
      <w:r w:rsidRPr="00D23B1C">
        <w:t>). Cell types and ensembles are ranked by their AUC values in a descending order.</w:t>
      </w:r>
      <w:r>
        <w:t xml:space="preserve"> </w:t>
      </w:r>
    </w:p>
    <w:p w14:paraId="50477E6E" w14:textId="77777777" w:rsidR="00466535" w:rsidRPr="00D51B9A" w:rsidRDefault="00466535" w:rsidP="00466535">
      <w:pPr>
        <w:pStyle w:val="Caption"/>
        <w:spacing w:line="360" w:lineRule="auto"/>
      </w:pPr>
    </w:p>
    <w:p w14:paraId="61CA2C5C" w14:textId="77777777" w:rsidR="00466535" w:rsidRDefault="00466535" w:rsidP="00466535">
      <w:pPr>
        <w:spacing w:line="360" w:lineRule="auto"/>
      </w:pPr>
      <w:r>
        <w:rPr>
          <w:noProof/>
        </w:rPr>
        <w:drawing>
          <wp:inline distT="0" distB="0" distL="0" distR="0" wp14:anchorId="78321C49" wp14:editId="35741ED2">
            <wp:extent cx="5943600" cy="4683760"/>
            <wp:effectExtent l="0" t="0" r="0" b="0"/>
            <wp:docPr id="7689960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96042" name="Picture 7689960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4B392" w14:textId="77777777" w:rsidR="00466535" w:rsidRDefault="00466535" w:rsidP="00466535">
      <w:pPr>
        <w:pStyle w:val="Caption"/>
        <w:spacing w:after="0" w:line="360" w:lineRule="auto"/>
        <w:rPr>
          <w:b/>
          <w:bCs/>
          <w:i w:val="0"/>
          <w:iCs w:val="0"/>
          <w:color w:val="auto"/>
          <w:sz w:val="24"/>
          <w:szCs w:val="24"/>
        </w:rPr>
      </w:pPr>
      <w:bookmarkStart w:id="5" w:name="_Ref139153741"/>
      <w:r w:rsidRPr="00787F24">
        <w:rPr>
          <w:b/>
          <w:bCs/>
          <w:i w:val="0"/>
          <w:iCs w:val="0"/>
          <w:color w:val="auto"/>
          <w:sz w:val="24"/>
          <w:szCs w:val="24"/>
        </w:rPr>
        <w:t xml:space="preserve">Supplementary Figure 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87F24">
        <w:rPr>
          <w:b/>
          <w:bCs/>
          <w:i w:val="0"/>
          <w:iCs w:val="0"/>
          <w:color w:val="auto"/>
          <w:sz w:val="24"/>
          <w:szCs w:val="24"/>
        </w:rPr>
        <w:instrText xml:space="preserve"> SEQ Supplementary_Figure \* ARABIC </w:instrTex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5"/>
      <w:r w:rsidRPr="00787F24"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b/>
          <w:bCs/>
          <w:i w:val="0"/>
          <w:iCs w:val="0"/>
          <w:color w:val="auto"/>
          <w:sz w:val="24"/>
          <w:szCs w:val="24"/>
        </w:rPr>
        <w:t xml:space="preserve">The cell-cell interactions (CCIs) encompassing prominent cell types capture the performance of CCIs using all nine cell types in mediating chemotherapy response and are validated in single-cell (SC) breast cancer tumor microenvironment. </w:t>
      </w:r>
    </w:p>
    <w:p w14:paraId="49399BF7" w14:textId="77777777" w:rsidR="00466535" w:rsidRDefault="00466535" w:rsidP="00466535">
      <w:pPr>
        <w:spacing w:line="360" w:lineRule="auto"/>
      </w:pPr>
      <w:r w:rsidRPr="006D726B">
        <w:rPr>
          <w:b/>
          <w:bCs/>
        </w:rPr>
        <w:t>A</w:t>
      </w:r>
      <w:r>
        <w:rPr>
          <w:b/>
          <w:bCs/>
        </w:rPr>
        <w:t>-B</w:t>
      </w:r>
      <w:r w:rsidRPr="006D726B">
        <w:rPr>
          <w:b/>
          <w:bCs/>
        </w:rPr>
        <w:t xml:space="preserve">. </w:t>
      </w:r>
      <w:r w:rsidRPr="006D726B">
        <w:t>Prediction scores</w:t>
      </w:r>
      <w:r>
        <w:t xml:space="preserve"> (</w:t>
      </w:r>
      <w:r w:rsidRPr="007E6B73">
        <w:rPr>
          <w:b/>
          <w:bCs/>
        </w:rPr>
        <w:t>A</w:t>
      </w:r>
      <w:r>
        <w:t>) and model performance (</w:t>
      </w:r>
      <w:r w:rsidRPr="007E6B73">
        <w:rPr>
          <w:b/>
          <w:bCs/>
        </w:rPr>
        <w:t>B</w:t>
      </w:r>
      <w:r>
        <w:t>)</w:t>
      </w:r>
      <w:r w:rsidRPr="006D726B">
        <w:t xml:space="preserve"> </w:t>
      </w:r>
      <w:r>
        <w:t>for</w:t>
      </w:r>
      <w:r w:rsidRPr="006D726B">
        <w:t xml:space="preserve"> DECODEMi </w:t>
      </w:r>
      <w:r>
        <w:t xml:space="preserve">using all available CCIs </w:t>
      </w:r>
      <w:r w:rsidRPr="006D726B">
        <w:t>in cross-validation with TransNEO (</w:t>
      </w:r>
      <w:r w:rsidRPr="004679DE">
        <w:rPr>
          <w:i/>
          <w:iCs/>
        </w:rPr>
        <w:t>n</w:t>
      </w:r>
      <w:r w:rsidRPr="006D726B">
        <w:t xml:space="preserve"> = 94) and in external validation with ARTemis + PBCP (</w:t>
      </w:r>
      <w:r w:rsidRPr="004679DE">
        <w:rPr>
          <w:i/>
          <w:iCs/>
        </w:rPr>
        <w:t>n</w:t>
      </w:r>
      <w:r w:rsidRPr="006D726B">
        <w:t xml:space="preserve"> = 55) and BrighTNess</w:t>
      </w:r>
      <w:r w:rsidRPr="00610F97">
        <w:t xml:space="preserve"> (</w:t>
      </w:r>
      <w:r w:rsidRPr="004679DE">
        <w:rPr>
          <w:i/>
          <w:iCs/>
        </w:rPr>
        <w:t>n</w:t>
      </w:r>
      <w:r w:rsidRPr="00610F97">
        <w:t xml:space="preserve"> = 106). R and NR </w:t>
      </w:r>
      <w:r>
        <w:t>stand</w:t>
      </w:r>
      <w:r w:rsidRPr="00610F97">
        <w:t xml:space="preserve"> for responders and non-responders, </w:t>
      </w:r>
      <w:r w:rsidRPr="00610F97">
        <w:lastRenderedPageBreak/>
        <w:t xml:space="preserve">respectively. </w:t>
      </w:r>
      <w:r>
        <w:rPr>
          <w:rFonts w:cstheme="minorHAnsi"/>
        </w:rPr>
        <w:t xml:space="preserve">The differences between the prediction scores were computed by using a one-tailed Wilcoxon rank-sum test. </w:t>
      </w:r>
      <w:r w:rsidRPr="00AD75B0">
        <w:rPr>
          <w:rFonts w:cstheme="minorHAnsi"/>
        </w:rPr>
        <w:t xml:space="preserve">AUC and AP stand for the area under the receiver operating characteristics </w:t>
      </w:r>
      <w:r>
        <w:rPr>
          <w:rFonts w:cstheme="minorHAnsi"/>
        </w:rPr>
        <w:t xml:space="preserve">curve and average precision (equivalent to the area under </w:t>
      </w:r>
      <w:r w:rsidRPr="00AD75B0">
        <w:rPr>
          <w:rFonts w:cstheme="minorHAnsi"/>
        </w:rPr>
        <w:t>precision-recall curve</w:t>
      </w:r>
      <w:r>
        <w:rPr>
          <w:rFonts w:cstheme="minorHAnsi"/>
        </w:rPr>
        <w:t>)</w:t>
      </w:r>
      <w:r w:rsidRPr="00AD75B0">
        <w:rPr>
          <w:rFonts w:cstheme="minorHAnsi"/>
        </w:rPr>
        <w:t>, respectively.</w:t>
      </w:r>
      <w:r w:rsidRPr="006D726B">
        <w:t xml:space="preserve"> </w:t>
      </w:r>
    </w:p>
    <w:p w14:paraId="422127D9" w14:textId="77777777" w:rsidR="00466535" w:rsidRDefault="00466535" w:rsidP="00466535">
      <w:pPr>
        <w:spacing w:line="360" w:lineRule="auto"/>
      </w:pPr>
      <w:r w:rsidRPr="007E6B73">
        <w:rPr>
          <w:b/>
          <w:bCs/>
        </w:rPr>
        <w:t>C-D.</w:t>
      </w:r>
      <w:r w:rsidRPr="007602BE">
        <w:rPr>
          <w:b/>
          <w:bCs/>
        </w:rPr>
        <w:t xml:space="preserve"> </w:t>
      </w:r>
      <w:r>
        <w:t>Odds ratios (</w:t>
      </w:r>
      <w:r w:rsidRPr="007E6B73">
        <w:rPr>
          <w:b/>
          <w:bCs/>
        </w:rPr>
        <w:t>C</w:t>
      </w:r>
      <w:r>
        <w:t>) and sensitivities (</w:t>
      </w:r>
      <w:r w:rsidRPr="007E6B73">
        <w:rPr>
          <w:b/>
          <w:bCs/>
        </w:rPr>
        <w:t>D</w:t>
      </w:r>
      <w:r>
        <w:t xml:space="preserve">) for DECODEMi using different sets of CCIs </w:t>
      </w:r>
      <w:r w:rsidRPr="006D726B">
        <w:t>in cross-validation with TransNEO (</w:t>
      </w:r>
      <w:r w:rsidRPr="004679DE">
        <w:rPr>
          <w:i/>
          <w:iCs/>
        </w:rPr>
        <w:t>n</w:t>
      </w:r>
      <w:r w:rsidRPr="006D726B">
        <w:t xml:space="preserve"> = 94) and in external validation with ARTemis + PBCP (</w:t>
      </w:r>
      <w:r w:rsidRPr="004679DE">
        <w:rPr>
          <w:i/>
          <w:iCs/>
        </w:rPr>
        <w:t>n</w:t>
      </w:r>
      <w:r w:rsidRPr="006D726B">
        <w:t xml:space="preserve"> = 55) and BrighTNess</w:t>
      </w:r>
      <w:r w:rsidRPr="00610F97">
        <w:t xml:space="preserve"> (</w:t>
      </w:r>
      <w:r w:rsidRPr="004679DE">
        <w:rPr>
          <w:i/>
          <w:iCs/>
        </w:rPr>
        <w:t>n</w:t>
      </w:r>
      <w:r w:rsidRPr="00610F97">
        <w:t xml:space="preserve"> = 106).</w:t>
      </w:r>
    </w:p>
    <w:p w14:paraId="0D0296DD" w14:textId="77777777" w:rsidR="00466535" w:rsidRDefault="00466535" w:rsidP="00466535">
      <w:pPr>
        <w:spacing w:line="360" w:lineRule="auto"/>
      </w:pPr>
      <w:r>
        <w:rPr>
          <w:b/>
          <w:bCs/>
        </w:rPr>
        <w:t>E</w:t>
      </w:r>
      <w:r w:rsidRPr="007E6B73">
        <w:rPr>
          <w:b/>
          <w:bCs/>
        </w:rPr>
        <w:t>-</w:t>
      </w:r>
      <w:r>
        <w:rPr>
          <w:b/>
          <w:bCs/>
        </w:rPr>
        <w:t>G</w:t>
      </w:r>
      <w:r w:rsidRPr="007E6B73">
        <w:rPr>
          <w:b/>
          <w:bCs/>
        </w:rPr>
        <w:t xml:space="preserve">. </w:t>
      </w:r>
      <w:r w:rsidRPr="007E6B73">
        <w:t>Protein</w:t>
      </w:r>
      <w:r>
        <w:t xml:space="preserve">-protein interaction networks obtained from STRING </w:t>
      </w:r>
      <w:r>
        <w:fldChar w:fldCharType="begin"/>
      </w:r>
      <w:r>
        <w:instrText xml:space="preserve"> REF _Ref137995211 \r \h  \* MERGEFORMAT </w:instrText>
      </w:r>
      <w:r>
        <w:fldChar w:fldCharType="separate"/>
      </w:r>
      <w:r>
        <w:t>[48]</w:t>
      </w:r>
      <w:r>
        <w:fldChar w:fldCharType="end"/>
      </w:r>
      <w:r>
        <w:t xml:space="preserve"> displaying the known interaction networks for three prominent CCIs </w:t>
      </w:r>
      <w:r>
        <w:rPr>
          <w:i/>
          <w:iCs/>
        </w:rPr>
        <w:t>i.e.</w:t>
      </w:r>
      <w:r>
        <w:t xml:space="preserve">, </w:t>
      </w:r>
      <w:r w:rsidRPr="007E6B73">
        <w:rPr>
          <w:i/>
          <w:iCs/>
        </w:rPr>
        <w:t>GDF9</w:t>
      </w:r>
      <w:r>
        <w:t xml:space="preserve"> – </w:t>
      </w:r>
      <w:r w:rsidRPr="007E6B73">
        <w:rPr>
          <w:i/>
          <w:iCs/>
        </w:rPr>
        <w:t>BMPR1B</w:t>
      </w:r>
      <w:r>
        <w:t xml:space="preserve"> (</w:t>
      </w:r>
      <w:r>
        <w:rPr>
          <w:b/>
          <w:bCs/>
        </w:rPr>
        <w:t>E</w:t>
      </w:r>
      <w:r>
        <w:t xml:space="preserve">), </w:t>
      </w:r>
      <w:r w:rsidRPr="007E6B73">
        <w:rPr>
          <w:i/>
          <w:iCs/>
        </w:rPr>
        <w:t>NRTN</w:t>
      </w:r>
      <w:r>
        <w:t xml:space="preserve"> – </w:t>
      </w:r>
      <w:r w:rsidRPr="007E6B73">
        <w:rPr>
          <w:i/>
          <w:iCs/>
        </w:rPr>
        <w:t>GFRA1</w:t>
      </w:r>
      <w:r>
        <w:t xml:space="preserve"> and </w:t>
      </w:r>
      <w:r>
        <w:rPr>
          <w:i/>
          <w:iCs/>
        </w:rPr>
        <w:t>A</w:t>
      </w:r>
      <w:r w:rsidRPr="009F1B21">
        <w:rPr>
          <w:i/>
          <w:iCs/>
        </w:rPr>
        <w:t>RTN</w:t>
      </w:r>
      <w:r>
        <w:t xml:space="preserve"> – </w:t>
      </w:r>
      <w:r w:rsidRPr="009F1B21">
        <w:rPr>
          <w:i/>
          <w:iCs/>
        </w:rPr>
        <w:t>GFRA1</w:t>
      </w:r>
      <w:r>
        <w:t xml:space="preserve"> (</w:t>
      </w:r>
      <w:r>
        <w:rPr>
          <w:b/>
          <w:bCs/>
        </w:rPr>
        <w:t>F</w:t>
      </w:r>
      <w:r>
        <w:t xml:space="preserve">), and </w:t>
      </w:r>
      <w:r w:rsidRPr="007E6B73">
        <w:rPr>
          <w:i/>
          <w:iCs/>
        </w:rPr>
        <w:t>CX3CL1</w:t>
      </w:r>
      <w:r>
        <w:t xml:space="preserve"> – </w:t>
      </w:r>
      <w:r w:rsidRPr="007E6B73">
        <w:rPr>
          <w:i/>
          <w:iCs/>
        </w:rPr>
        <w:t>CX3CR1</w:t>
      </w:r>
      <w:r>
        <w:t xml:space="preserve"> (</w:t>
      </w:r>
      <w:r>
        <w:rPr>
          <w:b/>
          <w:bCs/>
        </w:rPr>
        <w:t>G</w:t>
      </w:r>
      <w:r w:rsidRPr="007E6B73">
        <w:t>)</w:t>
      </w:r>
      <w:r>
        <w:t xml:space="preserve">. </w:t>
      </w:r>
    </w:p>
    <w:p w14:paraId="37624665" w14:textId="77777777" w:rsidR="00466535" w:rsidRDefault="00466535" w:rsidP="00466535">
      <w:pPr>
        <w:spacing w:line="360" w:lineRule="auto"/>
      </w:pPr>
    </w:p>
    <w:p w14:paraId="50336DAD" w14:textId="77777777" w:rsidR="00466535" w:rsidRDefault="00466535" w:rsidP="00466535">
      <w:pPr>
        <w:spacing w:line="360" w:lineRule="auto"/>
      </w:pPr>
      <w:r>
        <w:rPr>
          <w:noProof/>
        </w:rPr>
        <w:drawing>
          <wp:inline distT="0" distB="0" distL="0" distR="0" wp14:anchorId="42CF3355" wp14:editId="21F123F0">
            <wp:extent cx="5943600" cy="4815205"/>
            <wp:effectExtent l="0" t="0" r="0" b="0"/>
            <wp:docPr id="12284572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457294" name="Picture 12284572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36FA5" w14:textId="77777777" w:rsidR="00466535" w:rsidRDefault="00466535" w:rsidP="00466535">
      <w:pPr>
        <w:pStyle w:val="Caption"/>
        <w:spacing w:after="0" w:line="360" w:lineRule="auto"/>
        <w:rPr>
          <w:b/>
          <w:bCs/>
          <w:i w:val="0"/>
          <w:iCs w:val="0"/>
          <w:color w:val="000000" w:themeColor="text1"/>
          <w:sz w:val="24"/>
          <w:szCs w:val="24"/>
        </w:rPr>
      </w:pPr>
      <w:bookmarkStart w:id="6" w:name="_Ref139153913"/>
      <w:r w:rsidRPr="00787F24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Supplementary Figure 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87F24">
        <w:rPr>
          <w:b/>
          <w:bCs/>
          <w:i w:val="0"/>
          <w:iCs w:val="0"/>
          <w:color w:val="auto"/>
          <w:sz w:val="24"/>
          <w:szCs w:val="24"/>
        </w:rPr>
        <w:instrText xml:space="preserve"> SEQ Supplementary_Figure \* ARABIC </w:instrTex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787F24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6"/>
      <w:r w:rsidRPr="00787F24">
        <w:rPr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The generalizability of DECODEM to single-cell (SC) transcriptomics and TCGA patient survival stratification. </w:t>
      </w:r>
    </w:p>
    <w:p w14:paraId="7EDEF90F" w14:textId="77777777" w:rsidR="00466535" w:rsidRDefault="00466535" w:rsidP="00466535">
      <w:pPr>
        <w:spacing w:line="360" w:lineRule="auto"/>
      </w:pPr>
      <w:r w:rsidRPr="007602BE">
        <w:rPr>
          <w:b/>
          <w:bCs/>
        </w:rPr>
        <w:t>A</w:t>
      </w:r>
      <w:r>
        <w:rPr>
          <w:b/>
          <w:bCs/>
        </w:rPr>
        <w:t>-B</w:t>
      </w:r>
      <w:r w:rsidRPr="007602BE">
        <w:rPr>
          <w:b/>
          <w:bCs/>
        </w:rPr>
        <w:t xml:space="preserve">. </w:t>
      </w:r>
      <w:r>
        <w:t>Prediction scores (</w:t>
      </w:r>
      <w:r w:rsidRPr="00E9252C">
        <w:rPr>
          <w:b/>
          <w:bCs/>
        </w:rPr>
        <w:t>A</w:t>
      </w:r>
      <w:r>
        <w:t>) and the area under the receiver operating characteristics curve (AUC) values (</w:t>
      </w:r>
      <w:r w:rsidRPr="00063531">
        <w:rPr>
          <w:b/>
          <w:bCs/>
        </w:rPr>
        <w:t>B</w:t>
      </w:r>
      <w:r>
        <w:t xml:space="preserve">) for all available cell types in external validation </w:t>
      </w:r>
      <w:r w:rsidRPr="00063531">
        <w:t>with</w:t>
      </w:r>
      <w:r>
        <w:t xml:space="preserve"> SC expression of TNBC patients (SC-TNBC) treated with chemotherapy (</w:t>
      </w:r>
      <w:r w:rsidRPr="004679DE">
        <w:rPr>
          <w:i/>
          <w:iCs/>
        </w:rPr>
        <w:t>n</w:t>
      </w:r>
      <w:r>
        <w:t xml:space="preserve"> = 6) from Zhang et al. </w:t>
      </w:r>
      <w:r>
        <w:fldChar w:fldCharType="begin"/>
      </w:r>
      <w:r>
        <w:instrText xml:space="preserve"> REF _Ref137767252 \r \h  \* MERGEFORMAT </w:instrText>
      </w:r>
      <w:r>
        <w:fldChar w:fldCharType="separate"/>
      </w:r>
      <w:r>
        <w:t>[48]</w:t>
      </w:r>
      <w:r>
        <w:fldChar w:fldCharType="end"/>
      </w:r>
      <w:r>
        <w:t xml:space="preserve">. Pseudobulk is shown as a baseline and computed as the mean expression across all available cells per patient after filtering for low-variance genes (threshold = 0.8). </w:t>
      </w:r>
      <w:r w:rsidRPr="00610F97">
        <w:t xml:space="preserve">R and NR </w:t>
      </w:r>
      <w:r>
        <w:t>stand</w:t>
      </w:r>
      <w:r w:rsidRPr="00610F97">
        <w:t xml:space="preserve"> for responders and non-responders, respectively.</w:t>
      </w:r>
      <w:r>
        <w:t xml:space="preserve"> </w:t>
      </w:r>
      <w:r>
        <w:rPr>
          <w:rFonts w:cstheme="minorHAnsi"/>
        </w:rPr>
        <w:t>The differences between the prediction scores were computed by using a one-tailed Wilcoxon rank-sum test.</w:t>
      </w:r>
    </w:p>
    <w:p w14:paraId="4B05B8C6" w14:textId="77777777" w:rsidR="00466535" w:rsidRDefault="00466535" w:rsidP="00466535">
      <w:pPr>
        <w:spacing w:line="360" w:lineRule="auto"/>
      </w:pPr>
      <w:r>
        <w:rPr>
          <w:b/>
          <w:bCs/>
        </w:rPr>
        <w:t>C-D</w:t>
      </w:r>
      <w:r w:rsidRPr="007602BE">
        <w:rPr>
          <w:b/>
          <w:bCs/>
        </w:rPr>
        <w:t xml:space="preserve">. </w:t>
      </w:r>
      <w:r>
        <w:t>Prediction scores (</w:t>
      </w:r>
      <w:r>
        <w:rPr>
          <w:b/>
          <w:bCs/>
        </w:rPr>
        <w:t>C</w:t>
      </w:r>
      <w:r>
        <w:t>) and the AUC values (</w:t>
      </w:r>
      <w:r>
        <w:rPr>
          <w:b/>
          <w:bCs/>
        </w:rPr>
        <w:t>D</w:t>
      </w:r>
      <w:r>
        <w:t xml:space="preserve">) for four cell types in external validation </w:t>
      </w:r>
      <w:r w:rsidRPr="00063531">
        <w:t>with</w:t>
      </w:r>
      <w:r>
        <w:t xml:space="preserve"> SC expression of TNBC patients (SC-TNBC) treated with chemotherapy and immunotherapy (</w:t>
      </w:r>
      <w:r w:rsidRPr="004679DE">
        <w:rPr>
          <w:i/>
          <w:iCs/>
        </w:rPr>
        <w:t>n</w:t>
      </w:r>
      <w:r>
        <w:t xml:space="preserve"> = 9) from Zhang et al. </w:t>
      </w:r>
      <w:r>
        <w:fldChar w:fldCharType="begin"/>
      </w:r>
      <w:r>
        <w:instrText xml:space="preserve"> REF _Ref137767252 \r \h  \* MERGEFORMAT </w:instrText>
      </w:r>
      <w:r>
        <w:fldChar w:fldCharType="separate"/>
      </w:r>
      <w:r>
        <w:t>[48]</w:t>
      </w:r>
      <w:r>
        <w:fldChar w:fldCharType="end"/>
      </w:r>
      <w:r>
        <w:t xml:space="preserve">. </w:t>
      </w:r>
    </w:p>
    <w:p w14:paraId="358E5561" w14:textId="77777777" w:rsidR="00466535" w:rsidRPr="002655E2" w:rsidRDefault="00466535" w:rsidP="00466535">
      <w:pPr>
        <w:pStyle w:val="Caption"/>
        <w:spacing w:after="0" w:line="360" w:lineRule="auto"/>
        <w:rPr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color w:val="auto"/>
          <w:sz w:val="24"/>
          <w:szCs w:val="24"/>
        </w:rPr>
        <w:t>E-F.</w:t>
      </w:r>
      <w:r>
        <w:rPr>
          <w:i w:val="0"/>
          <w:iCs w:val="0"/>
          <w:color w:val="auto"/>
          <w:sz w:val="24"/>
          <w:szCs w:val="24"/>
        </w:rPr>
        <w:t xml:space="preserve"> Kaplan-Meier curves depicting the overall survival (OS; </w:t>
      </w:r>
      <w:r>
        <w:rPr>
          <w:b/>
          <w:bCs/>
          <w:i w:val="0"/>
          <w:iCs w:val="0"/>
          <w:color w:val="auto"/>
          <w:sz w:val="24"/>
          <w:szCs w:val="24"/>
        </w:rPr>
        <w:t>E</w:t>
      </w:r>
      <w:r>
        <w:rPr>
          <w:i w:val="0"/>
          <w:iCs w:val="0"/>
          <w:color w:val="auto"/>
          <w:sz w:val="24"/>
          <w:szCs w:val="24"/>
        </w:rPr>
        <w:t xml:space="preserve">) and progression-free interval (PFI; </w:t>
      </w:r>
      <w:r>
        <w:rPr>
          <w:b/>
          <w:bCs/>
          <w:i w:val="0"/>
          <w:iCs w:val="0"/>
          <w:color w:val="auto"/>
          <w:sz w:val="24"/>
          <w:szCs w:val="24"/>
        </w:rPr>
        <w:t>F</w:t>
      </w:r>
      <w:r>
        <w:rPr>
          <w:i w:val="0"/>
          <w:iCs w:val="0"/>
          <w:color w:val="auto"/>
          <w:sz w:val="24"/>
          <w:szCs w:val="24"/>
        </w:rPr>
        <w:t xml:space="preserve">) of the 705 BC patients from TCGA (TCGA-BRCA). </w:t>
      </w:r>
      <w:r w:rsidRPr="00107399">
        <w:rPr>
          <w:i w:val="0"/>
          <w:iCs w:val="0"/>
          <w:color w:val="auto"/>
          <w:sz w:val="24"/>
          <w:szCs w:val="24"/>
        </w:rPr>
        <w:t xml:space="preserve">Patients </w:t>
      </w:r>
      <w:r>
        <w:rPr>
          <w:i w:val="0"/>
          <w:iCs w:val="0"/>
          <w:color w:val="auto"/>
          <w:sz w:val="24"/>
          <w:szCs w:val="24"/>
        </w:rPr>
        <w:t>we</w:t>
      </w:r>
      <w:r w:rsidRPr="00107399">
        <w:rPr>
          <w:i w:val="0"/>
          <w:iCs w:val="0"/>
          <w:color w:val="auto"/>
          <w:sz w:val="24"/>
          <w:szCs w:val="24"/>
        </w:rPr>
        <w:t xml:space="preserve">re </w:t>
      </w:r>
      <w:r>
        <w:rPr>
          <w:i w:val="0"/>
          <w:iCs w:val="0"/>
          <w:color w:val="auto"/>
          <w:sz w:val="24"/>
          <w:szCs w:val="24"/>
        </w:rPr>
        <w:t>strati</w:t>
      </w:r>
      <w:r w:rsidRPr="00107399">
        <w:rPr>
          <w:i w:val="0"/>
          <w:iCs w:val="0"/>
          <w:color w:val="auto"/>
          <w:sz w:val="24"/>
          <w:szCs w:val="24"/>
        </w:rPr>
        <w:t>fied into low-risk</w:t>
      </w:r>
      <w:r>
        <w:rPr>
          <w:i w:val="0"/>
          <w:iCs w:val="0"/>
          <w:color w:val="auto"/>
          <w:sz w:val="24"/>
          <w:szCs w:val="24"/>
        </w:rPr>
        <w:t>, likely responder (</w:t>
      </w:r>
      <w:r w:rsidRPr="00E92C1B">
        <w:rPr>
          <w:color w:val="auto"/>
          <w:sz w:val="24"/>
          <w:szCs w:val="24"/>
        </w:rPr>
        <w:t>n</w:t>
      </w:r>
      <w:r>
        <w:rPr>
          <w:i w:val="0"/>
          <w:iCs w:val="0"/>
          <w:color w:val="auto"/>
          <w:sz w:val="24"/>
          <w:szCs w:val="24"/>
        </w:rPr>
        <w:t xml:space="preserve"> = 353)</w:t>
      </w:r>
      <w:r w:rsidRPr="00107399">
        <w:rPr>
          <w:i w:val="0"/>
          <w:iCs w:val="0"/>
          <w:color w:val="auto"/>
          <w:sz w:val="24"/>
          <w:szCs w:val="24"/>
        </w:rPr>
        <w:t xml:space="preserve"> and high-risk</w:t>
      </w:r>
      <w:r>
        <w:rPr>
          <w:i w:val="0"/>
          <w:iCs w:val="0"/>
          <w:color w:val="auto"/>
          <w:sz w:val="24"/>
          <w:szCs w:val="24"/>
        </w:rPr>
        <w:t>, unlikely responder (</w:t>
      </w:r>
      <w:r>
        <w:rPr>
          <w:color w:val="auto"/>
          <w:sz w:val="24"/>
          <w:szCs w:val="24"/>
        </w:rPr>
        <w:t>n</w:t>
      </w:r>
      <w:r>
        <w:rPr>
          <w:i w:val="0"/>
          <w:iCs w:val="0"/>
          <w:color w:val="auto"/>
          <w:sz w:val="24"/>
          <w:szCs w:val="24"/>
        </w:rPr>
        <w:t xml:space="preserve"> = 352)</w:t>
      </w:r>
      <w:r w:rsidRPr="00107399">
        <w:rPr>
          <w:i w:val="0"/>
          <w:iCs w:val="0"/>
          <w:color w:val="auto"/>
          <w:sz w:val="24"/>
          <w:szCs w:val="24"/>
        </w:rPr>
        <w:t xml:space="preserve"> </w:t>
      </w:r>
      <w:r>
        <w:rPr>
          <w:i w:val="0"/>
          <w:iCs w:val="0"/>
          <w:color w:val="auto"/>
          <w:sz w:val="24"/>
          <w:szCs w:val="24"/>
        </w:rPr>
        <w:t>group</w:t>
      </w:r>
      <w:r w:rsidRPr="00107399">
        <w:rPr>
          <w:i w:val="0"/>
          <w:iCs w:val="0"/>
          <w:color w:val="auto"/>
          <w:sz w:val="24"/>
          <w:szCs w:val="24"/>
        </w:rPr>
        <w:t xml:space="preserve">s </w:t>
      </w:r>
      <w:r>
        <w:rPr>
          <w:i w:val="0"/>
          <w:iCs w:val="0"/>
          <w:color w:val="auto"/>
          <w:sz w:val="24"/>
          <w:szCs w:val="24"/>
        </w:rPr>
        <w:t xml:space="preserve">by </w:t>
      </w:r>
      <w:r w:rsidRPr="00107399">
        <w:rPr>
          <w:i w:val="0"/>
          <w:iCs w:val="0"/>
          <w:color w:val="auto"/>
          <w:sz w:val="24"/>
          <w:szCs w:val="24"/>
        </w:rPr>
        <w:t>the</w:t>
      </w:r>
      <w:r>
        <w:rPr>
          <w:i w:val="0"/>
          <w:iCs w:val="0"/>
          <w:color w:val="auto"/>
          <w:sz w:val="24"/>
          <w:szCs w:val="24"/>
        </w:rPr>
        <w:t>ir</w:t>
      </w:r>
      <w:r w:rsidRPr="00107399">
        <w:rPr>
          <w:i w:val="0"/>
          <w:iCs w:val="0"/>
          <w:color w:val="auto"/>
          <w:sz w:val="24"/>
          <w:szCs w:val="24"/>
        </w:rPr>
        <w:t xml:space="preserve"> median DECODEM score</w:t>
      </w:r>
      <w:r w:rsidRPr="00387BD3">
        <w:rPr>
          <w:i w:val="0"/>
          <w:iCs w:val="0"/>
          <w:color w:val="auto"/>
          <w:sz w:val="24"/>
          <w:szCs w:val="24"/>
        </w:rPr>
        <w:t xml:space="preserve"> </w:t>
      </w:r>
      <w:r>
        <w:rPr>
          <w:i w:val="0"/>
          <w:iCs w:val="0"/>
          <w:color w:val="auto"/>
          <w:sz w:val="24"/>
          <w:szCs w:val="24"/>
        </w:rPr>
        <w:t>computed using the expression of endothelial cells</w:t>
      </w:r>
      <w:r w:rsidRPr="00107399">
        <w:rPr>
          <w:i w:val="0"/>
          <w:iCs w:val="0"/>
          <w:color w:val="auto"/>
          <w:sz w:val="24"/>
          <w:szCs w:val="24"/>
        </w:rPr>
        <w:t xml:space="preserve">, whereby </w:t>
      </w:r>
      <w:r>
        <w:rPr>
          <w:i w:val="0"/>
          <w:iCs w:val="0"/>
          <w:color w:val="auto"/>
          <w:sz w:val="24"/>
          <w:szCs w:val="24"/>
        </w:rPr>
        <w:t xml:space="preserve">the </w:t>
      </w:r>
      <w:r w:rsidRPr="00107399">
        <w:rPr>
          <w:i w:val="0"/>
          <w:iCs w:val="0"/>
          <w:color w:val="auto"/>
          <w:sz w:val="24"/>
          <w:szCs w:val="24"/>
        </w:rPr>
        <w:t xml:space="preserve">low-risk </w:t>
      </w:r>
      <w:r>
        <w:rPr>
          <w:i w:val="0"/>
          <w:iCs w:val="0"/>
          <w:color w:val="auto"/>
          <w:sz w:val="24"/>
          <w:szCs w:val="24"/>
        </w:rPr>
        <w:t xml:space="preserve">and high-risk groups </w:t>
      </w:r>
      <w:r w:rsidRPr="00107399">
        <w:rPr>
          <w:i w:val="0"/>
          <w:iCs w:val="0"/>
          <w:color w:val="auto"/>
          <w:sz w:val="24"/>
          <w:szCs w:val="24"/>
        </w:rPr>
        <w:t>comprise</w:t>
      </w:r>
      <w:r>
        <w:rPr>
          <w:i w:val="0"/>
          <w:iCs w:val="0"/>
          <w:color w:val="auto"/>
          <w:sz w:val="24"/>
          <w:szCs w:val="24"/>
        </w:rPr>
        <w:t>d</w:t>
      </w:r>
      <w:r w:rsidRPr="00107399">
        <w:rPr>
          <w:i w:val="0"/>
          <w:iCs w:val="0"/>
          <w:color w:val="auto"/>
          <w:sz w:val="24"/>
          <w:szCs w:val="24"/>
        </w:rPr>
        <w:t xml:space="preserve"> individuals with scores above </w:t>
      </w:r>
      <w:r>
        <w:rPr>
          <w:i w:val="0"/>
          <w:iCs w:val="0"/>
          <w:color w:val="auto"/>
          <w:sz w:val="24"/>
          <w:szCs w:val="24"/>
        </w:rPr>
        <w:t xml:space="preserve">and below </w:t>
      </w:r>
      <w:r w:rsidRPr="00107399">
        <w:rPr>
          <w:i w:val="0"/>
          <w:iCs w:val="0"/>
          <w:color w:val="auto"/>
          <w:sz w:val="24"/>
          <w:szCs w:val="24"/>
        </w:rPr>
        <w:t>the median</w:t>
      </w:r>
      <w:r>
        <w:rPr>
          <w:i w:val="0"/>
          <w:iCs w:val="0"/>
          <w:color w:val="auto"/>
          <w:sz w:val="24"/>
          <w:szCs w:val="24"/>
        </w:rPr>
        <w:t>, respectively</w:t>
      </w:r>
      <w:r w:rsidRPr="00107399">
        <w:rPr>
          <w:i w:val="0"/>
          <w:iCs w:val="0"/>
          <w:color w:val="auto"/>
          <w:sz w:val="24"/>
          <w:szCs w:val="24"/>
        </w:rPr>
        <w:t>.</w:t>
      </w:r>
      <w:r>
        <w:rPr>
          <w:i w:val="0"/>
          <w:iCs w:val="0"/>
          <w:color w:val="auto"/>
          <w:sz w:val="24"/>
          <w:szCs w:val="24"/>
        </w:rPr>
        <w:t xml:space="preserve"> The differences between the two curves were computed by using a Log-rank test.</w:t>
      </w:r>
    </w:p>
    <w:p w14:paraId="52AA83D7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35"/>
    <w:rsid w:val="00281628"/>
    <w:rsid w:val="00331A6B"/>
    <w:rsid w:val="00466535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29CF2"/>
  <w15:chartTrackingRefBased/>
  <w15:docId w15:val="{DA2FBD74-ED08-45E3-8B54-12765CEC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535"/>
    <w:pPr>
      <w:spacing w:after="0" w:line="24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653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53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535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535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535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535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535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535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535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53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535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535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66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535"/>
    <w:pPr>
      <w:spacing w:after="160" w:line="259" w:lineRule="auto"/>
      <w:ind w:left="720"/>
      <w:contextualSpacing/>
      <w:jc w:val="left"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466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53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466535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1267</Words>
  <Characters>7222</Characters>
  <Application>Microsoft Office Word</Application>
  <DocSecurity>0</DocSecurity>
  <Lines>60</Lines>
  <Paragraphs>16</Paragraphs>
  <ScaleCrop>false</ScaleCrop>
  <Company>Springer Nature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2024-06-24T10:11:00Z</dcterms:created>
  <dcterms:modified xsi:type="dcterms:W3CDTF">2024-06-24T10:12:00Z</dcterms:modified>
</cp:coreProperties>
</file>