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CABB66" w14:textId="77777777" w:rsidR="00876206" w:rsidRDefault="00876206" w:rsidP="00876206">
      <w:pPr>
        <w:rPr>
          <w:rFonts w:ascii="Times New Roman" w:hAnsi="Times New Roman" w:cs="Times New Roman"/>
          <w:b/>
          <w:bCs/>
        </w:rPr>
      </w:pPr>
      <w:r>
        <w:rPr>
          <w:rFonts w:ascii="Times New Roman" w:eastAsia="SimSu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upplementary material</w:t>
      </w:r>
    </w:p>
    <w:p w14:paraId="1B8403CF" w14:textId="77777777" w:rsidR="00876206" w:rsidRDefault="00876206" w:rsidP="00876206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</w:rPr>
        <w:t xml:space="preserve">Supplementary Figure 1 </w:t>
      </w:r>
      <w:r>
        <w:rPr>
          <w:rFonts w:ascii="Times New Roman" w:hAnsi="Times New Roman" w:cs="Times New Roman"/>
        </w:rPr>
        <w:t xml:space="preserve">One visually compares the expression differences of the five key genes in the GSE145780 dataset and performs the Wilcoxon rank sum test between TCMR and NR groups. </w:t>
      </w:r>
      <w:r>
        <w:rPr>
          <w:rFonts w:ascii="Times New Roman" w:hAnsi="Times New Roman" w:cs="Times New Roman"/>
          <w:lang w:val="en-GB"/>
        </w:rPr>
        <w:t>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lang w:val="en-GB"/>
        </w:rPr>
        <w:t xml:space="preserve"> &lt; 0.05,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lang w:val="en-GB"/>
        </w:rPr>
        <w:t xml:space="preserve"> &lt;0.01, 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lang w:val="en-GB"/>
        </w:rPr>
        <w:t xml:space="preserve"> &lt; 0.001, ****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lang w:val="en-GB"/>
        </w:rPr>
        <w:t xml:space="preserve"> &lt; 0.0001, ns: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lang w:val="en-GB"/>
        </w:rPr>
        <w:t xml:space="preserve"> &gt; 0.05.</w:t>
      </w:r>
    </w:p>
    <w:p w14:paraId="3292E82D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2</w:t>
      </w:r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Enrichment pathways significantly associated with key genes. (A) The top 5 most significant pathways enriched for the ITGB2 gene. (B) The top 5 most significant pathways enriched for the FCERIG gene. (C) The top 5 most significant pathways enriched for the IL-18 gene. (D) The top 5 most significant pathways enriched for the GBP1 gene. (E) The top 5 most significant pathways enriched for the CD53 gene.</w:t>
      </w:r>
    </w:p>
    <w:p w14:paraId="48E1E73B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3</w:t>
      </w:r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 xml:space="preserve">(A) The results after quality control in </w:t>
      </w:r>
      <w:r>
        <w:rPr>
          <w:rFonts w:ascii="Times New Roman" w:hAnsi="Times New Roman" w:cs="Times New Roman"/>
        </w:rPr>
        <w:t>single-cell RNA-seq (</w:t>
      </w:r>
      <w:proofErr w:type="spellStart"/>
      <w:r>
        <w:rPr>
          <w:rFonts w:ascii="Times New Roman" w:hAnsi="Times New Roman" w:cs="Times New Roman"/>
        </w:rPr>
        <w:t>scRNA</w:t>
      </w:r>
      <w:proofErr w:type="spellEnd"/>
      <w:r>
        <w:rPr>
          <w:rFonts w:ascii="Times New Roman" w:hAnsi="Times New Roman" w:cs="Times New Roman"/>
        </w:rPr>
        <w:t xml:space="preserve">-seq). (B) </w:t>
      </w:r>
      <w:r>
        <w:rPr>
          <w:rFonts w:ascii="Times New Roman" w:hAnsi="Times New Roman" w:cs="Times New Roman"/>
          <w:bCs/>
        </w:rPr>
        <w:t xml:space="preserve">The results of </w:t>
      </w:r>
      <w:r>
        <w:rPr>
          <w:rFonts w:ascii="Times New Roman" w:hAnsi="Times New Roman" w:cs="Times New Roman"/>
        </w:rPr>
        <w:t>principal component analysis (PCA), 20 PCs were ultimately selected. (C) The results of cell flow Sankey diagrams at different resolutions.</w:t>
      </w:r>
    </w:p>
    <w:p w14:paraId="1D7096F5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1 </w:t>
      </w:r>
      <w:r>
        <w:rPr>
          <w:rFonts w:ascii="Times New Roman" w:hAnsi="Times New Roman" w:cs="Times New Roman"/>
        </w:rPr>
        <w:t xml:space="preserve">List of differentially expressed genes (DEGs). </w:t>
      </w:r>
      <w:proofErr w:type="spellStart"/>
      <w:r>
        <w:rPr>
          <w:rFonts w:ascii="Times New Roman" w:hAnsi="Times New Roman" w:cs="Times New Roman"/>
        </w:rPr>
        <w:t>AveExpr</w:t>
      </w:r>
      <w:proofErr w:type="spellEnd"/>
      <w:r>
        <w:rPr>
          <w:rFonts w:ascii="Times New Roman" w:hAnsi="Times New Roman" w:cs="Times New Roman"/>
        </w:rPr>
        <w:t>: average expression.</w:t>
      </w:r>
    </w:p>
    <w:p w14:paraId="035BE44A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2 </w:t>
      </w:r>
      <w:r>
        <w:rPr>
          <w:rFonts w:ascii="Times New Roman" w:hAnsi="Times New Roman" w:cs="Times New Roman"/>
        </w:rPr>
        <w:t xml:space="preserve">Gene Ontology (GO) enrichment results for DEGs. </w:t>
      </w:r>
      <w:proofErr w:type="gramStart"/>
      <w:r>
        <w:rPr>
          <w:rFonts w:ascii="Times New Roman" w:hAnsi="Times New Roman" w:cs="Times New Roman"/>
        </w:rPr>
        <w:t>BP :</w:t>
      </w:r>
      <w:proofErr w:type="gramEnd"/>
      <w:r>
        <w:rPr>
          <w:rFonts w:ascii="Times New Roman" w:hAnsi="Times New Roman" w:cs="Times New Roman"/>
        </w:rPr>
        <w:t xml:space="preserve"> Biological Process CC : Cellular Component, MF : Molecular Function.</w:t>
      </w:r>
    </w:p>
    <w:p w14:paraId="77518F98" w14:textId="77777777" w:rsidR="00876206" w:rsidRDefault="00876206" w:rsidP="00876206">
      <w:pPr>
        <w:rPr>
          <w:rFonts w:ascii="Times New Roman" w:eastAsia="SimSu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eastAsia="SimSun" w:hAnsi="Times New Roman" w:cs="Times New Roman"/>
          <w:b/>
          <w:bCs/>
        </w:rPr>
        <w:t xml:space="preserve"> Table 3 </w:t>
      </w:r>
      <w:r>
        <w:rPr>
          <w:rFonts w:ascii="Times New Roman" w:hAnsi="Times New Roman" w:cs="Times New Roman"/>
        </w:rPr>
        <w:t>Kyoto Encyclopedia of Genes and Genomes (KEGG)</w:t>
      </w:r>
      <w:r>
        <w:rPr>
          <w:rFonts w:ascii="Times New Roman" w:eastAsia="SimSun" w:hAnsi="Times New Roman" w:cs="Times New Roman"/>
        </w:rPr>
        <w:t xml:space="preserve"> pathways results for DEGs. </w:t>
      </w:r>
    </w:p>
    <w:p w14:paraId="0EFEBA93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4 </w:t>
      </w:r>
      <w:r>
        <w:rPr>
          <w:rFonts w:ascii="Times New Roman" w:hAnsi="Times New Roman" w:cs="Times New Roman"/>
        </w:rPr>
        <w:t>KEGG pathways results of ITGB2 in Gene Set Enrichment Analysis (GSEA).</w:t>
      </w:r>
    </w:p>
    <w:p w14:paraId="5D4852B9" w14:textId="77777777" w:rsidR="00876206" w:rsidRDefault="00876206" w:rsidP="0087620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Table 5 </w:t>
      </w:r>
      <w:r>
        <w:rPr>
          <w:rFonts w:ascii="Times New Roman" w:hAnsi="Times New Roman" w:cs="Times New Roman"/>
        </w:rPr>
        <w:t>KEGG pathways results of FCER1G in GSEA.</w:t>
      </w:r>
    </w:p>
    <w:p w14:paraId="3A9A5B53" w14:textId="77777777" w:rsidR="00876206" w:rsidRDefault="00876206" w:rsidP="0087620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Table 6 </w:t>
      </w:r>
      <w:r>
        <w:rPr>
          <w:rFonts w:ascii="Times New Roman" w:hAnsi="Times New Roman" w:cs="Times New Roman"/>
        </w:rPr>
        <w:t>KEGG pathways results of IL-18 in GSEA.</w:t>
      </w:r>
    </w:p>
    <w:p w14:paraId="4EAE4A01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7 </w:t>
      </w:r>
      <w:r>
        <w:rPr>
          <w:rFonts w:ascii="Times New Roman" w:hAnsi="Times New Roman" w:cs="Times New Roman"/>
        </w:rPr>
        <w:t>KEGG pathways results of GBP1 in GSEA.</w:t>
      </w:r>
    </w:p>
    <w:p w14:paraId="0F59F3D0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8 </w:t>
      </w:r>
      <w:r>
        <w:rPr>
          <w:rFonts w:ascii="Times New Roman" w:hAnsi="Times New Roman" w:cs="Times New Roman"/>
        </w:rPr>
        <w:t>KEGG pathways results of CD53 in GSEA.</w:t>
      </w:r>
    </w:p>
    <w:p w14:paraId="08EB382D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9-10 </w:t>
      </w:r>
      <w:r>
        <w:rPr>
          <w:rFonts w:ascii="Times New Roman" w:hAnsi="Times New Roman" w:cs="Times New Roman"/>
        </w:rPr>
        <w:t xml:space="preserve">The correlation and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-value between key genes and differential immune cells</w:t>
      </w:r>
    </w:p>
    <w:p w14:paraId="42D6C002" w14:textId="77777777" w:rsidR="00876206" w:rsidRDefault="00876206" w:rsidP="008762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11-12 </w:t>
      </w:r>
      <w:r>
        <w:rPr>
          <w:rFonts w:ascii="Times New Roman" w:hAnsi="Times New Roman" w:cs="Times New Roman"/>
        </w:rPr>
        <w:t xml:space="preserve">List of miRNAs corresponding to key genes and list of </w:t>
      </w:r>
      <w:proofErr w:type="spellStart"/>
      <w:r>
        <w:rPr>
          <w:rFonts w:ascii="Times New Roman" w:hAnsi="Times New Roman" w:cs="Times New Roman"/>
        </w:rPr>
        <w:t>lncRNAs</w:t>
      </w:r>
      <w:proofErr w:type="spellEnd"/>
      <w:r>
        <w:rPr>
          <w:rFonts w:ascii="Times New Roman" w:hAnsi="Times New Roman" w:cs="Times New Roman"/>
        </w:rPr>
        <w:t xml:space="preserve"> corresponding to miRNAs.</w:t>
      </w:r>
    </w:p>
    <w:p w14:paraId="4390E644" w14:textId="77777777" w:rsidR="00876206" w:rsidRDefault="00876206" w:rsidP="0087620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Table 13 </w:t>
      </w:r>
      <w:r>
        <w:rPr>
          <w:rFonts w:ascii="Times New Roman" w:hAnsi="Times New Roman" w:cs="Times New Roman"/>
        </w:rPr>
        <w:t>Clinical data of patients.</w:t>
      </w:r>
    </w:p>
    <w:p w14:paraId="678115C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206"/>
    <w:rsid w:val="001C2918"/>
    <w:rsid w:val="005374DE"/>
    <w:rsid w:val="00871FE1"/>
    <w:rsid w:val="0087620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F0945"/>
  <w15:chartTrackingRefBased/>
  <w15:docId w15:val="{96A3227F-3427-4391-97DA-DDC14687A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206"/>
    <w:pPr>
      <w:widowControl w:val="0"/>
      <w:spacing w:after="0" w:line="240" w:lineRule="auto"/>
      <w:jc w:val="both"/>
    </w:pPr>
    <w:rPr>
      <w:rFonts w:eastAsiaTheme="minorEastAsia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620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620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6206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6206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6206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6206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6206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6206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6206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62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62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62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62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62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62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62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62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62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620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62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6206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62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6206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62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6206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62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620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62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62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02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1620</Characters>
  <Application>Microsoft Office Word</Application>
  <DocSecurity>0</DocSecurity>
  <Lines>13</Lines>
  <Paragraphs>3</Paragraphs>
  <ScaleCrop>false</ScaleCrop>
  <Company>Springer Nature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2024-07-02T11:51:00Z</dcterms:created>
  <dcterms:modified xsi:type="dcterms:W3CDTF">2024-07-02T11:51:00Z</dcterms:modified>
</cp:coreProperties>
</file>