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47383" w14:textId="6B9E84C6" w:rsidR="00B34264" w:rsidRPr="004B1074" w:rsidRDefault="00684941">
      <w:pPr>
        <w:spacing w:line="360" w:lineRule="auto"/>
        <w:rPr>
          <w:rFonts w:ascii="Times New Roman" w:hAnsi="Times New Roman" w:cs="Times New Roman"/>
          <w:b/>
          <w:sz w:val="32"/>
          <w:szCs w:val="24"/>
          <w:u w:val="single"/>
          <w:lang w:val="en-US"/>
        </w:rPr>
      </w:pPr>
      <w:r w:rsidRPr="004B1074">
        <w:rPr>
          <w:rFonts w:ascii="Times New Roman" w:hAnsi="Times New Roman" w:cs="Times New Roman"/>
          <w:b/>
          <w:sz w:val="32"/>
          <w:szCs w:val="24"/>
          <w:u w:val="single"/>
          <w:lang w:val="en-US"/>
        </w:rPr>
        <w:t>Supporting Information</w:t>
      </w:r>
    </w:p>
    <w:p w14:paraId="3B5890D9" w14:textId="4FB9A47B" w:rsidR="00B12226" w:rsidRPr="004B1074" w:rsidRDefault="00B12226">
      <w:pPr>
        <w:spacing w:line="360" w:lineRule="auto"/>
        <w:rPr>
          <w:rFonts w:ascii="Times New Roman" w:hAnsi="Times New Roman" w:cs="Times New Roman"/>
          <w:b/>
          <w:sz w:val="28"/>
          <w:u w:val="single"/>
          <w:lang w:val="en-US"/>
        </w:rPr>
      </w:pPr>
    </w:p>
    <w:p w14:paraId="1FE7DFBF" w14:textId="77777777" w:rsidR="00B12226" w:rsidRPr="004B1074" w:rsidRDefault="00B12226">
      <w:pPr>
        <w:spacing w:line="360" w:lineRule="auto"/>
        <w:rPr>
          <w:rFonts w:ascii="Times New Roman" w:hAnsi="Times New Roman" w:cs="Times New Roman"/>
          <w:b/>
          <w:sz w:val="28"/>
          <w:u w:val="single"/>
          <w:lang w:val="en-US"/>
        </w:rPr>
      </w:pPr>
    </w:p>
    <w:p w14:paraId="1EC054A4" w14:textId="12D98DED" w:rsidR="00B34264" w:rsidRPr="004B1074" w:rsidRDefault="00DA601C">
      <w:pPr>
        <w:pStyle w:val="Tableofcontents"/>
        <w:rPr>
          <w:rFonts w:ascii="Times New Roman" w:eastAsiaTheme="minorHAnsi" w:hAnsi="Times New Roman" w:cs="Times New Roman"/>
          <w:b/>
          <w:sz w:val="24"/>
          <w:szCs w:val="28"/>
          <w:lang w:val="en-US" w:eastAsia="en-US"/>
        </w:rPr>
      </w:pPr>
      <w:r w:rsidRPr="004B1074">
        <w:rPr>
          <w:rFonts w:ascii="Times New Roman" w:eastAsiaTheme="minorHAnsi" w:hAnsi="Times New Roman" w:cs="Times New Roman"/>
          <w:b/>
          <w:sz w:val="24"/>
          <w:szCs w:val="28"/>
          <w:lang w:val="en-US" w:eastAsia="en-US"/>
        </w:rPr>
        <w:t>Serotonin receptor 5-HT7 modulates inflammatory-associated functions of macrophages</w:t>
      </w:r>
    </w:p>
    <w:p w14:paraId="3F26681B" w14:textId="7237B4A8" w:rsidR="00B12226" w:rsidRPr="004B1074" w:rsidRDefault="00B12226">
      <w:pPr>
        <w:pStyle w:val="Tableofcontents"/>
        <w:rPr>
          <w:rFonts w:ascii="Times New Roman" w:eastAsiaTheme="minorHAnsi" w:hAnsi="Times New Roman" w:cs="Times New Roman"/>
          <w:b/>
          <w:sz w:val="24"/>
          <w:szCs w:val="28"/>
          <w:lang w:val="en-US" w:eastAsia="en-US"/>
        </w:rPr>
      </w:pPr>
    </w:p>
    <w:p w14:paraId="7BB7B9A5" w14:textId="77777777" w:rsidR="00B12226" w:rsidRPr="00CA615F" w:rsidRDefault="00B12226">
      <w:pPr>
        <w:pStyle w:val="Tableofcontents"/>
        <w:rPr>
          <w:rFonts w:ascii="Times New Roman" w:hAnsi="Times New Roman" w:cs="Times New Roman"/>
          <w:sz w:val="24"/>
          <w:szCs w:val="28"/>
          <w:lang w:val="en-US"/>
        </w:rPr>
      </w:pPr>
    </w:p>
    <w:p w14:paraId="1B7B74A3" w14:textId="7D11D0F6" w:rsidR="00372A9F" w:rsidRPr="004B1074" w:rsidRDefault="00920D27" w:rsidP="00920D27">
      <w:pPr>
        <w:spacing w:line="360" w:lineRule="auto"/>
        <w:rPr>
          <w:rFonts w:ascii="Times New Roman" w:hAnsi="Times New Roman" w:cs="Times New Roman"/>
          <w:vertAlign w:val="superscript"/>
        </w:rPr>
      </w:pPr>
      <w:r w:rsidRPr="004B1074">
        <w:rPr>
          <w:rFonts w:ascii="Times New Roman" w:hAnsi="Times New Roman" w:cs="Times New Roman"/>
        </w:rPr>
        <w:t>Frauke S. Bahr</w:t>
      </w:r>
      <w:r w:rsidRPr="004B1074">
        <w:rPr>
          <w:rFonts w:ascii="Times New Roman" w:hAnsi="Times New Roman" w:cs="Times New Roman"/>
          <w:vertAlign w:val="superscript"/>
        </w:rPr>
        <w:t>#</w:t>
      </w:r>
      <w:r w:rsidRPr="004B1074">
        <w:rPr>
          <w:rFonts w:ascii="Times New Roman" w:hAnsi="Times New Roman" w:cs="Times New Roman"/>
        </w:rPr>
        <w:t>, Franziska E. Müller</w:t>
      </w:r>
      <w:r w:rsidRPr="004B1074">
        <w:rPr>
          <w:rFonts w:ascii="Times New Roman" w:hAnsi="Times New Roman" w:cs="Times New Roman"/>
          <w:vertAlign w:val="superscript"/>
        </w:rPr>
        <w:t>#</w:t>
      </w:r>
      <w:r w:rsidRPr="004B1074">
        <w:rPr>
          <w:rFonts w:ascii="Times New Roman" w:hAnsi="Times New Roman" w:cs="Times New Roman"/>
        </w:rPr>
        <w:t>, Martina Kasten, Nils Benen,</w:t>
      </w:r>
      <w:r w:rsidRPr="004B1074">
        <w:rPr>
          <w:rFonts w:ascii="Times New Roman" w:hAnsi="Times New Roman" w:cs="Times New Roman"/>
          <w:vertAlign w:val="superscript"/>
        </w:rPr>
        <w:t xml:space="preserve"> </w:t>
      </w:r>
      <w:r w:rsidRPr="004B1074">
        <w:rPr>
          <w:rFonts w:ascii="Times New Roman" w:hAnsi="Times New Roman" w:cs="Times New Roman"/>
        </w:rPr>
        <w:t>Christine S. Falk, Denise Hilfiker-Kleiner, Melanie Ricke-Hoch</w:t>
      </w:r>
      <w:r w:rsidRPr="004B1074">
        <w:rPr>
          <w:rFonts w:ascii="Times New Roman" w:hAnsi="Times New Roman" w:cs="Times New Roman"/>
          <w:vertAlign w:val="superscript"/>
        </w:rPr>
        <w:t>ƚ</w:t>
      </w:r>
      <w:r w:rsidRPr="004B1074">
        <w:rPr>
          <w:rFonts w:ascii="Times New Roman" w:hAnsi="Times New Roman" w:cs="Times New Roman"/>
        </w:rPr>
        <w:t>, Evgeni Ponimaskin</w:t>
      </w:r>
      <w:r w:rsidRPr="004B1074">
        <w:rPr>
          <w:rFonts w:ascii="Times New Roman" w:hAnsi="Times New Roman" w:cs="Times New Roman"/>
          <w:vertAlign w:val="superscript"/>
        </w:rPr>
        <w:t>ƚ*</w:t>
      </w:r>
    </w:p>
    <w:p w14:paraId="2F8A5F1C" w14:textId="7752586C" w:rsidR="004B1074" w:rsidRPr="004B1074" w:rsidRDefault="004B1074" w:rsidP="00920D27">
      <w:pPr>
        <w:spacing w:line="360" w:lineRule="auto"/>
        <w:rPr>
          <w:rFonts w:ascii="Times New Roman" w:hAnsi="Times New Roman" w:cs="Times New Roman"/>
          <w:lang w:val="en-US"/>
        </w:rPr>
      </w:pPr>
      <w:r w:rsidRPr="004B1074">
        <w:rPr>
          <w:rFonts w:ascii="Times New Roman" w:hAnsi="Times New Roman" w:cs="Times New Roman"/>
          <w:lang w:val="en-US"/>
        </w:rPr>
        <w:t xml:space="preserve">Corresponding author: </w:t>
      </w:r>
    </w:p>
    <w:p w14:paraId="6C3F8635" w14:textId="77777777" w:rsidR="004B1074" w:rsidRPr="004B1074" w:rsidRDefault="004B1074" w:rsidP="004B1074">
      <w:pPr>
        <w:spacing w:after="120"/>
        <w:contextualSpacing/>
        <w:rPr>
          <w:rFonts w:ascii="Times New Roman" w:hAnsi="Times New Roman" w:cs="Times New Roman"/>
          <w:szCs w:val="20"/>
          <w:lang w:val="en-US"/>
        </w:rPr>
      </w:pPr>
      <w:r w:rsidRPr="004B1074">
        <w:rPr>
          <w:rFonts w:ascii="Times New Roman" w:hAnsi="Times New Roman" w:cs="Times New Roman"/>
          <w:szCs w:val="20"/>
          <w:lang w:val="en-US"/>
        </w:rPr>
        <w:t>Evgeni Ponimaskin</w:t>
      </w:r>
    </w:p>
    <w:p w14:paraId="5C0C9856" w14:textId="5DEE873C" w:rsidR="004B1074" w:rsidRPr="004B1074" w:rsidRDefault="004B1074" w:rsidP="004B1074">
      <w:pPr>
        <w:spacing w:after="240"/>
        <w:rPr>
          <w:rFonts w:ascii="Times New Roman" w:hAnsi="Times New Roman" w:cs="Times New Roman"/>
          <w:szCs w:val="20"/>
          <w:lang w:val="en-US"/>
        </w:rPr>
      </w:pPr>
      <w:r w:rsidRPr="004B1074">
        <w:rPr>
          <w:rFonts w:ascii="Times New Roman" w:hAnsi="Times New Roman" w:cs="Times New Roman"/>
          <w:szCs w:val="20"/>
          <w:lang w:val="en-US"/>
        </w:rPr>
        <w:t>Hannover Medical School, Cellular Neurophysiology, Hannover, Germany</w:t>
      </w:r>
      <w:r w:rsidRPr="004B1074">
        <w:rPr>
          <w:rFonts w:ascii="Times New Roman" w:hAnsi="Times New Roman" w:cs="Times New Roman"/>
          <w:szCs w:val="20"/>
          <w:lang w:val="en-US"/>
        </w:rPr>
        <w:br/>
        <w:t>Ponimaskin.evgeni@mh-hannover.de, ORCID 0000-0002-4570-5130</w:t>
      </w:r>
    </w:p>
    <w:p w14:paraId="2D1726FD" w14:textId="77777777" w:rsidR="004B1074" w:rsidRPr="004B1074" w:rsidRDefault="004B1074" w:rsidP="00920D27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2DFE29AF" w14:textId="77777777" w:rsidR="00372A9F" w:rsidRPr="004B1074" w:rsidRDefault="00372A9F">
      <w:pPr>
        <w:rPr>
          <w:rFonts w:ascii="Times New Roman" w:hAnsi="Times New Roman" w:cs="Times New Roman"/>
          <w:vertAlign w:val="superscript"/>
          <w:lang w:val="en-US"/>
        </w:rPr>
      </w:pPr>
      <w:r w:rsidRPr="004B1074">
        <w:rPr>
          <w:rFonts w:ascii="Times New Roman" w:hAnsi="Times New Roman" w:cs="Times New Roman"/>
          <w:vertAlign w:val="superscript"/>
          <w:lang w:val="en-US"/>
        </w:rPr>
        <w:br w:type="page"/>
      </w:r>
    </w:p>
    <w:p w14:paraId="57B72D66" w14:textId="25F24994" w:rsidR="00B12F7E" w:rsidRPr="004B1074" w:rsidRDefault="004B1074" w:rsidP="00DD1EE8">
      <w:pPr>
        <w:keepNext/>
        <w:spacing w:after="0" w:line="240" w:lineRule="auto"/>
        <w:contextualSpacing/>
        <w:rPr>
          <w:rFonts w:ascii="Times New Roman" w:hAnsi="Times New Roman" w:cs="Times New Roman"/>
          <w:lang w:val="en-US"/>
        </w:rPr>
      </w:pPr>
      <w:bookmarkStart w:id="0" w:name="_Ref158714877"/>
      <w:r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5AFD81BD" wp14:editId="37C9EF03">
            <wp:extent cx="5760720" cy="4091940"/>
            <wp:effectExtent l="0" t="0" r="0" b="381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546D6477" w14:textId="480DE534" w:rsidR="00E619E6" w:rsidRPr="00B52B36" w:rsidRDefault="00E619E6" w:rsidP="00B52B36">
      <w:pPr>
        <w:pStyle w:val="KeinLeerraum"/>
        <w:rPr>
          <w:b/>
          <w:bCs/>
          <w:sz w:val="28"/>
          <w:szCs w:val="28"/>
        </w:rPr>
      </w:pPr>
    </w:p>
    <w:p w14:paraId="771B3BE7" w14:textId="7E7AF186" w:rsidR="00122CB2" w:rsidRPr="004B1074" w:rsidRDefault="00E619E6" w:rsidP="00B52B36">
      <w:pPr>
        <w:pStyle w:val="Beschriftung"/>
        <w:spacing w:after="0"/>
        <w:contextualSpacing/>
        <w:rPr>
          <w:rFonts w:ascii="Times New Roman" w:hAnsi="Times New Roman" w:cs="Times New Roman"/>
          <w:b/>
          <w:lang w:val="en-US"/>
        </w:rPr>
      </w:pPr>
      <w:r w:rsidRPr="00620154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Fig. S </w:t>
      </w:r>
      <w:r w:rsidRPr="00B52B36">
        <w:rPr>
          <w:rFonts w:ascii="Times New Roman" w:hAnsi="Times New Roman" w:cs="Times New Roman"/>
          <w:b/>
          <w:bCs/>
          <w:sz w:val="22"/>
          <w:szCs w:val="22"/>
        </w:rPr>
        <w:fldChar w:fldCharType="begin"/>
      </w:r>
      <w:r w:rsidRPr="00620154">
        <w:rPr>
          <w:rFonts w:ascii="Times New Roman" w:hAnsi="Times New Roman" w:cs="Times New Roman"/>
          <w:b/>
          <w:bCs/>
          <w:sz w:val="22"/>
          <w:szCs w:val="22"/>
          <w:lang w:val="en-US"/>
        </w:rPr>
        <w:instrText xml:space="preserve"> SEQ Fig._S \* ARABIC </w:instrText>
      </w:r>
      <w:r w:rsidRPr="00B52B36">
        <w:rPr>
          <w:rFonts w:ascii="Times New Roman" w:hAnsi="Times New Roman" w:cs="Times New Roman"/>
          <w:b/>
          <w:bCs/>
          <w:sz w:val="22"/>
          <w:szCs w:val="22"/>
        </w:rPr>
        <w:fldChar w:fldCharType="separate"/>
      </w:r>
      <w:r w:rsidR="003F5B5F">
        <w:rPr>
          <w:rFonts w:ascii="Times New Roman" w:hAnsi="Times New Roman" w:cs="Times New Roman"/>
          <w:b/>
          <w:bCs/>
          <w:noProof/>
          <w:sz w:val="22"/>
          <w:szCs w:val="22"/>
          <w:lang w:val="en-US"/>
        </w:rPr>
        <w:t>1</w:t>
      </w:r>
      <w:r w:rsidRPr="00B52B36">
        <w:rPr>
          <w:rFonts w:ascii="Times New Roman" w:hAnsi="Times New Roman" w:cs="Times New Roman"/>
          <w:b/>
          <w:bCs/>
          <w:sz w:val="22"/>
          <w:szCs w:val="22"/>
        </w:rPr>
        <w:fldChar w:fldCharType="end"/>
      </w:r>
      <w:r w:rsidR="00684941" w:rsidRPr="004B1074">
        <w:rPr>
          <w:rFonts w:ascii="Times New Roman" w:hAnsi="Times New Roman" w:cs="Times New Roman"/>
          <w:lang w:val="en-US"/>
        </w:rPr>
        <w:t xml:space="preserve"> </w:t>
      </w:r>
      <w:r w:rsidR="00684941" w:rsidRPr="00B52B36">
        <w:rPr>
          <w:rFonts w:ascii="Times New Roman" w:hAnsi="Times New Roman" w:cs="Times New Roman"/>
          <w:b/>
          <w:sz w:val="22"/>
          <w:szCs w:val="22"/>
          <w:lang w:val="en-US"/>
        </w:rPr>
        <w:t xml:space="preserve">Gating strategy for </w:t>
      </w:r>
      <w:r w:rsidR="00550597" w:rsidRPr="00B52B36">
        <w:rPr>
          <w:rFonts w:ascii="Times New Roman" w:hAnsi="Times New Roman" w:cs="Times New Roman"/>
          <w:b/>
          <w:sz w:val="22"/>
          <w:szCs w:val="22"/>
          <w:lang w:val="en-US"/>
        </w:rPr>
        <w:t>flow cytometry</w:t>
      </w:r>
      <w:r w:rsidR="00122CB2" w:rsidRPr="00B52B36">
        <w:rPr>
          <w:rFonts w:ascii="Times New Roman" w:hAnsi="Times New Roman" w:cs="Times New Roman"/>
          <w:b/>
          <w:sz w:val="22"/>
          <w:szCs w:val="22"/>
          <w:lang w:val="en-US"/>
        </w:rPr>
        <w:t xml:space="preserve"> analysis</w:t>
      </w:r>
    </w:p>
    <w:p w14:paraId="59EC6349" w14:textId="588E7454" w:rsidR="00B12F7E" w:rsidRPr="004B1074" w:rsidRDefault="00684941" w:rsidP="00550597">
      <w:pPr>
        <w:pStyle w:val="KeinLeerraum"/>
        <w:jc w:val="both"/>
        <w:rPr>
          <w:rFonts w:ascii="Times New Roman" w:hAnsi="Times New Roman" w:cs="Times New Roman"/>
          <w:lang w:val="en-US"/>
        </w:rPr>
      </w:pPr>
      <w:r w:rsidRPr="004B1074">
        <w:rPr>
          <w:rFonts w:ascii="Times New Roman" w:hAnsi="Times New Roman" w:cs="Times New Roman"/>
          <w:b/>
          <w:lang w:val="en-US"/>
        </w:rPr>
        <w:t>A:</w:t>
      </w:r>
      <w:r w:rsidRPr="004B1074">
        <w:rPr>
          <w:rFonts w:ascii="Times New Roman" w:hAnsi="Times New Roman" w:cs="Times New Roman"/>
          <w:lang w:val="en-US"/>
        </w:rPr>
        <w:t xml:space="preserve"> Gating strategy during flow cytometry experiments. In a first step all living cells were selected. Second, doublet discrimination was performed (gate A and B). For further </w:t>
      </w:r>
      <w:r w:rsidR="00122CB2" w:rsidRPr="004B1074">
        <w:rPr>
          <w:rFonts w:ascii="Times New Roman" w:hAnsi="Times New Roman" w:cs="Times New Roman"/>
          <w:lang w:val="en-US"/>
        </w:rPr>
        <w:t>analysis,</w:t>
      </w:r>
      <w:r w:rsidRPr="004B1074">
        <w:rPr>
          <w:rFonts w:ascii="Times New Roman" w:hAnsi="Times New Roman" w:cs="Times New Roman"/>
          <w:lang w:val="en-US"/>
        </w:rPr>
        <w:t xml:space="preserve"> relative count over FSC area was plotted.</w:t>
      </w:r>
      <w:r w:rsidR="00B12F7E" w:rsidRPr="004B1074">
        <w:rPr>
          <w:rFonts w:ascii="Times New Roman" w:hAnsi="Times New Roman" w:cs="Times New Roman"/>
          <w:lang w:val="en-US"/>
        </w:rPr>
        <w:t xml:space="preserve"> </w:t>
      </w:r>
      <w:r w:rsidRPr="004B1074">
        <w:rPr>
          <w:rFonts w:ascii="Times New Roman" w:hAnsi="Times New Roman" w:cs="Times New Roman"/>
          <w:b/>
          <w:lang w:val="en-US"/>
        </w:rPr>
        <w:t>B:</w:t>
      </w:r>
      <w:r w:rsidRPr="004B1074">
        <w:rPr>
          <w:rFonts w:ascii="Times New Roman" w:hAnsi="Times New Roman" w:cs="Times New Roman"/>
          <w:lang w:val="en-US"/>
        </w:rPr>
        <w:t xml:space="preserve"> Fold changes of median fluorescence intensities (MFI) relative to M0-like macrophages. Analysis using ordinary one-way ANOVA with Tukey’s multiple comparisons test</w:t>
      </w:r>
      <w:r w:rsidR="008A1FA3" w:rsidRPr="004B1074">
        <w:rPr>
          <w:rFonts w:ascii="Times New Roman" w:hAnsi="Times New Roman" w:cs="Times New Roman"/>
          <w:lang w:val="en-US"/>
        </w:rPr>
        <w:t xml:space="preserve"> </w:t>
      </w:r>
      <w:r w:rsidR="000B2412" w:rsidRPr="004B1074">
        <w:rPr>
          <w:rFonts w:ascii="Times New Roman" w:hAnsi="Times New Roman" w:cs="Times New Roman"/>
          <w:lang w:val="en-US"/>
        </w:rPr>
        <w:t>(N≥3 independent differentiations).</w:t>
      </w:r>
    </w:p>
    <w:p w14:paraId="46394106" w14:textId="77777777" w:rsidR="00B12F7E" w:rsidRPr="004B1074" w:rsidRDefault="00B12F7E">
      <w:pPr>
        <w:rPr>
          <w:rFonts w:ascii="Times New Roman" w:hAnsi="Times New Roman" w:cs="Times New Roman"/>
          <w:iCs/>
          <w:noProof/>
          <w:sz w:val="18"/>
          <w:szCs w:val="18"/>
          <w:lang w:val="en-US"/>
        </w:rPr>
      </w:pPr>
      <w:r w:rsidRPr="004B1074">
        <w:rPr>
          <w:rFonts w:ascii="Times New Roman" w:hAnsi="Times New Roman" w:cs="Times New Roman"/>
          <w:noProof/>
          <w:lang w:val="en-US"/>
        </w:rPr>
        <w:br w:type="page"/>
      </w:r>
    </w:p>
    <w:p w14:paraId="4C39E107" w14:textId="024B0623" w:rsidR="00B12F7E" w:rsidRPr="004B1074" w:rsidRDefault="004B1074" w:rsidP="00DD1EE8">
      <w:pPr>
        <w:pStyle w:val="Beschriftung"/>
        <w:spacing w:after="0"/>
        <w:rPr>
          <w:rFonts w:ascii="Times New Roman" w:hAnsi="Times New Roman" w:cs="Times New Roman"/>
          <w:lang w:val="en-US"/>
        </w:rPr>
      </w:pPr>
      <w:bookmarkStart w:id="1" w:name="_Ref164160744"/>
      <w:r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7A54F8CA" wp14:editId="13373014">
            <wp:extent cx="5760720" cy="908685"/>
            <wp:effectExtent l="0" t="0" r="0" b="571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D7F5A" w14:textId="77777777" w:rsidR="00CA615F" w:rsidRDefault="00CA615F" w:rsidP="00550597">
      <w:pPr>
        <w:pStyle w:val="KeinLeerraum"/>
        <w:rPr>
          <w:rFonts w:ascii="Times New Roman" w:hAnsi="Times New Roman" w:cs="Times New Roman"/>
          <w:b/>
          <w:lang w:val="en-US"/>
        </w:rPr>
      </w:pPr>
    </w:p>
    <w:p w14:paraId="361FD515" w14:textId="4340F756" w:rsidR="00122CB2" w:rsidRPr="004B1074" w:rsidRDefault="00E619E6" w:rsidP="00550597">
      <w:pPr>
        <w:pStyle w:val="KeinLeerraum"/>
        <w:rPr>
          <w:rFonts w:ascii="Times New Roman" w:hAnsi="Times New Roman" w:cs="Times New Roman"/>
          <w:lang w:val="en-US"/>
        </w:rPr>
      </w:pPr>
      <w:bookmarkStart w:id="2" w:name="_GoBack"/>
      <w:bookmarkEnd w:id="2"/>
      <w:r>
        <w:rPr>
          <w:rFonts w:ascii="Times New Roman" w:hAnsi="Times New Roman" w:cs="Times New Roman"/>
          <w:b/>
          <w:lang w:val="en-US"/>
        </w:rPr>
        <w:t>Fig. S</w:t>
      </w:r>
      <w:r>
        <w:rPr>
          <w:rFonts w:ascii="Times New Roman" w:hAnsi="Times New Roman" w:cs="Times New Roman"/>
          <w:b/>
          <w:lang w:val="en-US"/>
        </w:rPr>
        <w:fldChar w:fldCharType="begin"/>
      </w:r>
      <w:r>
        <w:rPr>
          <w:rFonts w:ascii="Times New Roman" w:hAnsi="Times New Roman" w:cs="Times New Roman"/>
          <w:b/>
          <w:lang w:val="en-US"/>
        </w:rPr>
        <w:instrText xml:space="preserve"> SEQ Fig._S \* ARABIC </w:instrText>
      </w:r>
      <w:r>
        <w:rPr>
          <w:rFonts w:ascii="Times New Roman" w:hAnsi="Times New Roman" w:cs="Times New Roman"/>
          <w:b/>
          <w:lang w:val="en-US"/>
        </w:rPr>
        <w:fldChar w:fldCharType="separate"/>
      </w:r>
      <w:r w:rsidR="003F5B5F">
        <w:rPr>
          <w:rFonts w:ascii="Times New Roman" w:hAnsi="Times New Roman" w:cs="Times New Roman"/>
          <w:b/>
          <w:noProof/>
          <w:lang w:val="en-US"/>
        </w:rPr>
        <w:t>2</w:t>
      </w:r>
      <w:r>
        <w:rPr>
          <w:rFonts w:ascii="Times New Roman" w:hAnsi="Times New Roman" w:cs="Times New Roman"/>
          <w:b/>
          <w:lang w:val="en-US"/>
        </w:rPr>
        <w:fldChar w:fldCharType="end"/>
      </w:r>
      <w:bookmarkEnd w:id="1"/>
      <w:r w:rsidR="00622336" w:rsidRPr="004B1074">
        <w:rPr>
          <w:rFonts w:ascii="Times New Roman" w:hAnsi="Times New Roman" w:cs="Times New Roman"/>
          <w:lang w:val="en-US"/>
        </w:rPr>
        <w:t xml:space="preserve"> </w:t>
      </w:r>
      <w:r w:rsidR="00B12F7E" w:rsidRPr="004B1074">
        <w:rPr>
          <w:rFonts w:ascii="Times New Roman" w:hAnsi="Times New Roman" w:cs="Times New Roman"/>
          <w:b/>
          <w:lang w:val="en-US"/>
        </w:rPr>
        <w:t xml:space="preserve">Schematic </w:t>
      </w:r>
      <w:r w:rsidR="00122CB2" w:rsidRPr="004B1074">
        <w:rPr>
          <w:rFonts w:ascii="Times New Roman" w:hAnsi="Times New Roman" w:cs="Times New Roman"/>
          <w:b/>
          <w:lang w:val="en-US"/>
        </w:rPr>
        <w:t>scheme of</w:t>
      </w:r>
      <w:r w:rsidR="00B12F7E" w:rsidRPr="004B1074">
        <w:rPr>
          <w:rFonts w:ascii="Times New Roman" w:hAnsi="Times New Roman" w:cs="Times New Roman"/>
          <w:b/>
          <w:lang w:val="en-US"/>
        </w:rPr>
        <w:t xml:space="preserve"> p</w:t>
      </w:r>
      <w:r w:rsidR="00622336" w:rsidRPr="004B1074">
        <w:rPr>
          <w:rFonts w:ascii="Times New Roman" w:hAnsi="Times New Roman" w:cs="Times New Roman"/>
          <w:b/>
          <w:lang w:val="en-US"/>
        </w:rPr>
        <w:t>rotrusion analysis</w:t>
      </w:r>
    </w:p>
    <w:p w14:paraId="35713B2B" w14:textId="175A30B8" w:rsidR="008A1FA3" w:rsidRPr="004B1074" w:rsidRDefault="00122CB2" w:rsidP="0079140B">
      <w:pPr>
        <w:pStyle w:val="KeinLeerraum"/>
        <w:rPr>
          <w:rFonts w:ascii="Times New Roman" w:hAnsi="Times New Roman" w:cs="Times New Roman"/>
          <w:lang w:val="en-US"/>
        </w:rPr>
      </w:pPr>
      <w:r w:rsidRPr="004B1074">
        <w:rPr>
          <w:rFonts w:ascii="Times New Roman" w:hAnsi="Times New Roman" w:cs="Times New Roman"/>
          <w:bCs/>
          <w:lang w:val="en-US"/>
        </w:rPr>
        <w:t>Step-by-step strategy</w:t>
      </w:r>
      <w:r w:rsidRPr="004B1074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22336" w:rsidRPr="004B1074">
        <w:rPr>
          <w:rFonts w:ascii="Times New Roman" w:hAnsi="Times New Roman" w:cs="Times New Roman"/>
          <w:lang w:val="en-US"/>
        </w:rPr>
        <w:t xml:space="preserve">for protrusion analysis </w:t>
      </w:r>
      <w:r w:rsidRPr="004B1074">
        <w:rPr>
          <w:rFonts w:ascii="Times New Roman" w:hAnsi="Times New Roman" w:cs="Times New Roman"/>
          <w:lang w:val="en-US"/>
        </w:rPr>
        <w:t>using ImageJ software. R</w:t>
      </w:r>
      <w:r w:rsidR="00622336" w:rsidRPr="004B1074">
        <w:rPr>
          <w:rFonts w:ascii="Times New Roman" w:hAnsi="Times New Roman" w:cs="Times New Roman"/>
          <w:lang w:val="en-US"/>
        </w:rPr>
        <w:t>epresentative macrophage</w:t>
      </w:r>
      <w:r w:rsidRPr="004B1074">
        <w:rPr>
          <w:rFonts w:ascii="Times New Roman" w:hAnsi="Times New Roman" w:cs="Times New Roman"/>
          <w:lang w:val="en-US"/>
        </w:rPr>
        <w:t xml:space="preserve"> is shown</w:t>
      </w:r>
      <w:r w:rsidR="00622336" w:rsidRPr="004B1074">
        <w:rPr>
          <w:rFonts w:ascii="Times New Roman" w:hAnsi="Times New Roman" w:cs="Times New Roman"/>
          <w:lang w:val="en-US"/>
        </w:rPr>
        <w:t>. Scale bar</w:t>
      </w:r>
      <w:r w:rsidR="00B12F7E" w:rsidRPr="004B1074">
        <w:rPr>
          <w:rFonts w:ascii="Times New Roman" w:hAnsi="Times New Roman" w:cs="Times New Roman"/>
          <w:lang w:val="en-US"/>
        </w:rPr>
        <w:t>,</w:t>
      </w:r>
      <w:r w:rsidR="00622336" w:rsidRPr="004B1074">
        <w:rPr>
          <w:rFonts w:ascii="Times New Roman" w:hAnsi="Times New Roman" w:cs="Times New Roman"/>
          <w:lang w:val="en-US"/>
        </w:rPr>
        <w:t xml:space="preserve"> 10 µm.</w:t>
      </w:r>
    </w:p>
    <w:p w14:paraId="7A0BCC6C" w14:textId="77777777" w:rsidR="008A1FA3" w:rsidRPr="004B1074" w:rsidRDefault="008A1FA3">
      <w:pPr>
        <w:rPr>
          <w:rFonts w:ascii="Times New Roman" w:hAnsi="Times New Roman" w:cs="Times New Roman"/>
          <w:lang w:val="en-US"/>
        </w:rPr>
      </w:pPr>
      <w:r w:rsidRPr="004B1074">
        <w:rPr>
          <w:rFonts w:ascii="Times New Roman" w:hAnsi="Times New Roman" w:cs="Times New Roman"/>
          <w:lang w:val="en-US"/>
        </w:rPr>
        <w:br w:type="page"/>
      </w:r>
    </w:p>
    <w:p w14:paraId="6ABFC82B" w14:textId="045DDDA1" w:rsidR="004B1074" w:rsidRPr="004B1074" w:rsidRDefault="004B1074" w:rsidP="004B1074">
      <w:pPr>
        <w:rPr>
          <w:lang w:val="en-US"/>
        </w:rPr>
      </w:pPr>
      <w:bookmarkStart w:id="3" w:name="_Ref158714963"/>
      <w:r>
        <w:rPr>
          <w:noProof/>
          <w:lang w:eastAsia="de-DE"/>
        </w:rPr>
        <w:lastRenderedPageBreak/>
        <w:drawing>
          <wp:inline distT="0" distB="0" distL="0" distR="0" wp14:anchorId="7BE36421" wp14:editId="741F28FB">
            <wp:extent cx="5760720" cy="576072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5978F" w14:textId="0CEB5087" w:rsidR="00122CB2" w:rsidRPr="004B1074" w:rsidRDefault="00E619E6" w:rsidP="00550597">
      <w:pPr>
        <w:pStyle w:val="KeinLeerraum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Fig. S</w:t>
      </w:r>
      <w:r>
        <w:rPr>
          <w:rFonts w:ascii="Times New Roman" w:hAnsi="Times New Roman" w:cs="Times New Roman"/>
          <w:b/>
          <w:lang w:val="en-US"/>
        </w:rPr>
        <w:fldChar w:fldCharType="begin"/>
      </w:r>
      <w:r>
        <w:rPr>
          <w:rFonts w:ascii="Times New Roman" w:hAnsi="Times New Roman" w:cs="Times New Roman"/>
          <w:b/>
          <w:lang w:val="en-US"/>
        </w:rPr>
        <w:instrText xml:space="preserve"> SEQ Fig._S \* ARABIC </w:instrText>
      </w:r>
      <w:r>
        <w:rPr>
          <w:rFonts w:ascii="Times New Roman" w:hAnsi="Times New Roman" w:cs="Times New Roman"/>
          <w:b/>
          <w:lang w:val="en-US"/>
        </w:rPr>
        <w:fldChar w:fldCharType="separate"/>
      </w:r>
      <w:r w:rsidR="003F5B5F">
        <w:rPr>
          <w:rFonts w:ascii="Times New Roman" w:hAnsi="Times New Roman" w:cs="Times New Roman"/>
          <w:b/>
          <w:noProof/>
          <w:lang w:val="en-US"/>
        </w:rPr>
        <w:t>3</w:t>
      </w:r>
      <w:r>
        <w:rPr>
          <w:rFonts w:ascii="Times New Roman" w:hAnsi="Times New Roman" w:cs="Times New Roman"/>
          <w:b/>
          <w:lang w:val="en-US"/>
        </w:rPr>
        <w:fldChar w:fldCharType="end"/>
      </w:r>
      <w:bookmarkEnd w:id="3"/>
      <w:r w:rsidR="00684941" w:rsidRPr="004B1074">
        <w:rPr>
          <w:rFonts w:ascii="Times New Roman" w:hAnsi="Times New Roman" w:cs="Times New Roman"/>
          <w:b/>
          <w:lang w:val="en-US"/>
        </w:rPr>
        <w:t xml:space="preserve"> Pharmacological activation of 5-HT7R does not change macrophage differentiation marker expression or cell </w:t>
      </w:r>
      <w:r w:rsidR="00256CEC" w:rsidRPr="004B1074">
        <w:rPr>
          <w:rFonts w:ascii="Times New Roman" w:hAnsi="Times New Roman" w:cs="Times New Roman"/>
          <w:b/>
          <w:lang w:val="en-US"/>
        </w:rPr>
        <w:t>attachment</w:t>
      </w:r>
    </w:p>
    <w:p w14:paraId="3EC18857" w14:textId="22F77787" w:rsidR="00E36722" w:rsidRPr="004B1074" w:rsidRDefault="00684941" w:rsidP="00550597">
      <w:pPr>
        <w:pStyle w:val="KeinLeerraum"/>
        <w:jc w:val="both"/>
        <w:rPr>
          <w:rFonts w:ascii="Times New Roman" w:hAnsi="Times New Roman" w:cs="Times New Roman"/>
          <w:lang w:val="en-US"/>
        </w:rPr>
      </w:pPr>
      <w:r w:rsidRPr="004B1074">
        <w:rPr>
          <w:rFonts w:ascii="Times New Roman" w:hAnsi="Times New Roman" w:cs="Times New Roman"/>
          <w:b/>
          <w:lang w:val="en-US"/>
        </w:rPr>
        <w:t>A:</w:t>
      </w:r>
      <w:r w:rsidRPr="004B1074">
        <w:rPr>
          <w:rFonts w:ascii="Times New Roman" w:hAnsi="Times New Roman" w:cs="Times New Roman"/>
          <w:lang w:val="en-US"/>
        </w:rPr>
        <w:t xml:space="preserve"> Relative changes of macrophage differentiation markers between control and LP-211 treat</w:t>
      </w:r>
      <w:r w:rsidR="00B3384D" w:rsidRPr="004B1074">
        <w:rPr>
          <w:rFonts w:ascii="Times New Roman" w:hAnsi="Times New Roman" w:cs="Times New Roman"/>
          <w:lang w:val="en-US"/>
        </w:rPr>
        <w:t>ed cells</w:t>
      </w:r>
      <w:r w:rsidR="000B2412" w:rsidRPr="004B1074">
        <w:rPr>
          <w:rFonts w:ascii="Times New Roman" w:hAnsi="Times New Roman" w:cs="Times New Roman"/>
          <w:lang w:val="en-US"/>
        </w:rPr>
        <w:t xml:space="preserve"> (N≥5)</w:t>
      </w:r>
      <w:r w:rsidR="00B12F7E" w:rsidRPr="004B1074">
        <w:rPr>
          <w:rFonts w:ascii="Times New Roman" w:hAnsi="Times New Roman" w:cs="Times New Roman"/>
          <w:lang w:val="en-US"/>
        </w:rPr>
        <w:t xml:space="preserve">. </w:t>
      </w:r>
      <w:r w:rsidRPr="004B1074">
        <w:rPr>
          <w:rFonts w:ascii="Times New Roman" w:hAnsi="Times New Roman" w:cs="Times New Roman"/>
          <w:b/>
          <w:bCs/>
          <w:lang w:val="en-US"/>
        </w:rPr>
        <w:t xml:space="preserve">B: </w:t>
      </w:r>
      <w:r w:rsidRPr="004B1074">
        <w:rPr>
          <w:rFonts w:ascii="Times New Roman" w:hAnsi="Times New Roman" w:cs="Times New Roman"/>
          <w:lang w:val="en-US"/>
        </w:rPr>
        <w:t>Attachment of M1-like macrophages under control and LP-211-treated conditions after 0, 24 and 48 h. Scale bars 100 µm</w:t>
      </w:r>
      <w:r w:rsidR="00510642" w:rsidRPr="004B1074">
        <w:rPr>
          <w:rFonts w:ascii="Times New Roman" w:hAnsi="Times New Roman" w:cs="Times New Roman"/>
          <w:lang w:val="en-US"/>
        </w:rPr>
        <w:t>.</w:t>
      </w:r>
      <w:r w:rsidR="00B3384D" w:rsidRPr="004B1074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4B1074">
        <w:rPr>
          <w:rFonts w:ascii="Times New Roman" w:hAnsi="Times New Roman" w:cs="Times New Roman"/>
          <w:b/>
          <w:bCs/>
          <w:lang w:val="en-US"/>
        </w:rPr>
        <w:t xml:space="preserve">C: </w:t>
      </w:r>
      <w:r w:rsidRPr="004B1074">
        <w:rPr>
          <w:rFonts w:ascii="Times New Roman" w:hAnsi="Times New Roman" w:cs="Times New Roman"/>
          <w:lang w:val="en-US"/>
        </w:rPr>
        <w:t>M1-like macrophage following LP-211 (10 µ</w:t>
      </w:r>
      <w:r w:rsidRPr="004B1074">
        <w:rPr>
          <w:rFonts w:ascii="Times New Roman" w:hAnsi="Times New Roman" w:cs="Times New Roman"/>
          <w:smallCaps/>
          <w:lang w:val="en-US"/>
        </w:rPr>
        <w:t>m</w:t>
      </w:r>
      <w:r w:rsidRPr="004B1074">
        <w:rPr>
          <w:rFonts w:ascii="Times New Roman" w:hAnsi="Times New Roman" w:cs="Times New Roman"/>
          <w:lang w:val="en-US"/>
        </w:rPr>
        <w:t>) and control. Scale bar 100 µm.</w:t>
      </w:r>
    </w:p>
    <w:p w14:paraId="0AB0E250" w14:textId="717E01B3" w:rsidR="00B12F7E" w:rsidRPr="004B1074" w:rsidRDefault="004B1074" w:rsidP="00DD1EE8">
      <w:pPr>
        <w:keepNext/>
        <w:spacing w:after="0" w:line="240" w:lineRule="auto"/>
        <w:contextualSpacing/>
        <w:rPr>
          <w:rFonts w:ascii="Times New Roman" w:hAnsi="Times New Roman" w:cs="Times New Roman"/>
          <w:lang w:val="en-US"/>
        </w:rPr>
      </w:pPr>
      <w:bookmarkStart w:id="4" w:name="_Ref164161465"/>
      <w:r>
        <w:rPr>
          <w:rFonts w:ascii="Times New Roman" w:hAnsi="Times New Roman" w:cs="Times New Roman"/>
          <w:noProof/>
          <w:lang w:eastAsia="de-DE"/>
        </w:rPr>
        <w:lastRenderedPageBreak/>
        <w:drawing>
          <wp:inline distT="0" distB="0" distL="0" distR="0" wp14:anchorId="0A142E96" wp14:editId="7898CA2E">
            <wp:extent cx="5760720" cy="3108960"/>
            <wp:effectExtent l="0" t="0" r="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0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AB900" w14:textId="7439081F" w:rsidR="00B3384D" w:rsidRPr="004B1074" w:rsidRDefault="00E619E6" w:rsidP="00510642">
      <w:pPr>
        <w:pStyle w:val="KeinLeerraum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Fig. S</w:t>
      </w:r>
      <w:r>
        <w:rPr>
          <w:rFonts w:ascii="Times New Roman" w:hAnsi="Times New Roman" w:cs="Times New Roman"/>
          <w:b/>
          <w:lang w:val="en-US"/>
        </w:rPr>
        <w:fldChar w:fldCharType="begin"/>
      </w:r>
      <w:r>
        <w:rPr>
          <w:rFonts w:ascii="Times New Roman" w:hAnsi="Times New Roman" w:cs="Times New Roman"/>
          <w:b/>
          <w:lang w:val="en-US"/>
        </w:rPr>
        <w:instrText xml:space="preserve"> SEQ Fig._S \* ARABIC </w:instrText>
      </w:r>
      <w:r>
        <w:rPr>
          <w:rFonts w:ascii="Times New Roman" w:hAnsi="Times New Roman" w:cs="Times New Roman"/>
          <w:b/>
          <w:lang w:val="en-US"/>
        </w:rPr>
        <w:fldChar w:fldCharType="separate"/>
      </w:r>
      <w:r w:rsidR="003F5B5F">
        <w:rPr>
          <w:rFonts w:ascii="Times New Roman" w:hAnsi="Times New Roman" w:cs="Times New Roman"/>
          <w:b/>
          <w:noProof/>
          <w:lang w:val="en-US"/>
        </w:rPr>
        <w:t>4</w:t>
      </w:r>
      <w:r>
        <w:rPr>
          <w:rFonts w:ascii="Times New Roman" w:hAnsi="Times New Roman" w:cs="Times New Roman"/>
          <w:b/>
          <w:lang w:val="en-US"/>
        </w:rPr>
        <w:fldChar w:fldCharType="end"/>
      </w:r>
      <w:bookmarkEnd w:id="4"/>
      <w:r w:rsidR="00E36722" w:rsidRPr="004B1074">
        <w:rPr>
          <w:rFonts w:ascii="Times New Roman" w:hAnsi="Times New Roman" w:cs="Times New Roman"/>
          <w:b/>
          <w:lang w:val="en-US"/>
        </w:rPr>
        <w:t xml:space="preserve"> </w:t>
      </w:r>
      <w:r w:rsidR="00B3384D" w:rsidRPr="004B1074">
        <w:rPr>
          <w:rFonts w:ascii="Times New Roman" w:hAnsi="Times New Roman" w:cs="Times New Roman"/>
          <w:b/>
          <w:lang w:val="en-US"/>
        </w:rPr>
        <w:t xml:space="preserve">Representative images </w:t>
      </w:r>
      <w:r w:rsidR="00E36722" w:rsidRPr="004B1074">
        <w:rPr>
          <w:rFonts w:ascii="Times New Roman" w:hAnsi="Times New Roman" w:cs="Times New Roman"/>
          <w:b/>
          <w:lang w:val="en-US"/>
        </w:rPr>
        <w:t>of phagocytotic cells</w:t>
      </w:r>
    </w:p>
    <w:p w14:paraId="28D2A7C0" w14:textId="11EB9966" w:rsidR="00E36722" w:rsidRPr="004B1074" w:rsidRDefault="00E36722" w:rsidP="00510642">
      <w:pPr>
        <w:pStyle w:val="KeinLeerraum"/>
        <w:rPr>
          <w:rFonts w:ascii="Times New Roman" w:hAnsi="Times New Roman" w:cs="Times New Roman"/>
          <w:lang w:val="en-US"/>
        </w:rPr>
      </w:pPr>
      <w:r w:rsidRPr="004B1074">
        <w:rPr>
          <w:rFonts w:ascii="Times New Roman" w:hAnsi="Times New Roman" w:cs="Times New Roman"/>
          <w:lang w:val="en-US"/>
        </w:rPr>
        <w:t>Representative images of DAPI</w:t>
      </w:r>
      <w:r w:rsidR="008A1FA3" w:rsidRPr="004B1074">
        <w:rPr>
          <w:rFonts w:ascii="Times New Roman" w:hAnsi="Times New Roman" w:cs="Times New Roman"/>
          <w:lang w:val="en-US"/>
        </w:rPr>
        <w:t xml:space="preserve"> stained nuclei</w:t>
      </w:r>
      <w:r w:rsidRPr="004B1074">
        <w:rPr>
          <w:rFonts w:ascii="Times New Roman" w:hAnsi="Times New Roman" w:cs="Times New Roman"/>
          <w:lang w:val="en-US"/>
        </w:rPr>
        <w:t xml:space="preserve"> and Texas red-coupled Zymosan A particles in macrophages after control </w:t>
      </w:r>
      <w:r w:rsidR="00EC477D" w:rsidRPr="004B1074">
        <w:rPr>
          <w:rFonts w:ascii="Times New Roman" w:hAnsi="Times New Roman" w:cs="Times New Roman"/>
          <w:lang w:val="en-US"/>
        </w:rPr>
        <w:t xml:space="preserve">(upper panel) or LP-211 (lower panel) </w:t>
      </w:r>
      <w:r w:rsidRPr="004B1074">
        <w:rPr>
          <w:rFonts w:ascii="Times New Roman" w:hAnsi="Times New Roman" w:cs="Times New Roman"/>
          <w:lang w:val="en-US"/>
        </w:rPr>
        <w:t xml:space="preserve">treatment at day 3 post differentiation. Scale bars </w:t>
      </w:r>
      <w:r w:rsidR="00EC477D" w:rsidRPr="004B1074">
        <w:rPr>
          <w:rFonts w:ascii="Times New Roman" w:hAnsi="Times New Roman" w:cs="Times New Roman"/>
          <w:lang w:val="en-US"/>
        </w:rPr>
        <w:t>5</w:t>
      </w:r>
      <w:r w:rsidRPr="004B1074">
        <w:rPr>
          <w:rFonts w:ascii="Times New Roman" w:hAnsi="Times New Roman" w:cs="Times New Roman"/>
          <w:lang w:val="en-US"/>
        </w:rPr>
        <w:t>0 µm.</w:t>
      </w:r>
    </w:p>
    <w:sectPr w:rsidR="00E36722" w:rsidRPr="004B1074">
      <w:pgSz w:w="11906" w:h="16838" w:orient="landscape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F80B8F" w14:textId="77777777" w:rsidR="005556F3" w:rsidRDefault="005556F3">
      <w:pPr>
        <w:spacing w:after="0" w:line="240" w:lineRule="auto"/>
      </w:pPr>
      <w:r>
        <w:separator/>
      </w:r>
    </w:p>
  </w:endnote>
  <w:endnote w:type="continuationSeparator" w:id="0">
    <w:p w14:paraId="0A428500" w14:textId="77777777" w:rsidR="005556F3" w:rsidRDefault="00555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397968" w14:textId="77777777" w:rsidR="005556F3" w:rsidRDefault="005556F3">
      <w:pPr>
        <w:spacing w:after="0" w:line="240" w:lineRule="auto"/>
      </w:pPr>
      <w:r>
        <w:separator/>
      </w:r>
    </w:p>
  </w:footnote>
  <w:footnote w:type="continuationSeparator" w:id="0">
    <w:p w14:paraId="278F5E3A" w14:textId="77777777" w:rsidR="005556F3" w:rsidRDefault="005556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C53B3"/>
    <w:multiLevelType w:val="multilevel"/>
    <w:tmpl w:val="9CB08104"/>
    <w:lvl w:ilvl="0">
      <w:start w:val="1"/>
      <w:numFmt w:val="bullet"/>
      <w:suff w:val="space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F76C5C"/>
    <w:multiLevelType w:val="multilevel"/>
    <w:tmpl w:val="CDEA0728"/>
    <w:lvl w:ilvl="0">
      <w:start w:val="1"/>
      <w:numFmt w:val="decimal"/>
      <w:suff w:val="space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suff w:val="space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suff w:val="space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suff w:val="space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suff w:val="space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suff w:val="space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suff w:val="space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suff w:val="space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suff w:val="space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2830F6"/>
    <w:multiLevelType w:val="multilevel"/>
    <w:tmpl w:val="1C2E77D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suff w:val="space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suff w:val="space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suff w:val="space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suff w:val="space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suff w:val="space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suff w:val="space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8431B49"/>
    <w:multiLevelType w:val="multilevel"/>
    <w:tmpl w:val="C68A364A"/>
    <w:lvl w:ilvl="0">
      <w:start w:val="1"/>
      <w:numFmt w:val="bullet"/>
      <w:suff w:val="space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space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suff w:val="space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space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suff w:val="space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space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863C23"/>
    <w:multiLevelType w:val="hybridMultilevel"/>
    <w:tmpl w:val="67489D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B73B5C"/>
    <w:multiLevelType w:val="multilevel"/>
    <w:tmpl w:val="F4DC386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suff w:val="space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space"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suff w:val="space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space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suff w:val="space"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suff w:val="space"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suff w:val="space"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linkStyl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264"/>
    <w:rsid w:val="00004E58"/>
    <w:rsid w:val="000053CF"/>
    <w:rsid w:val="00005924"/>
    <w:rsid w:val="00035F9B"/>
    <w:rsid w:val="000426FC"/>
    <w:rsid w:val="00046FD8"/>
    <w:rsid w:val="00047B68"/>
    <w:rsid w:val="000628AD"/>
    <w:rsid w:val="00075EB3"/>
    <w:rsid w:val="0008401D"/>
    <w:rsid w:val="00085C41"/>
    <w:rsid w:val="000A23FA"/>
    <w:rsid w:val="000A3184"/>
    <w:rsid w:val="000A740E"/>
    <w:rsid w:val="000B075B"/>
    <w:rsid w:val="000B2412"/>
    <w:rsid w:val="000B796E"/>
    <w:rsid w:val="000B7BCC"/>
    <w:rsid w:val="000E1BC9"/>
    <w:rsid w:val="000E4E65"/>
    <w:rsid w:val="00102417"/>
    <w:rsid w:val="001046DB"/>
    <w:rsid w:val="00105986"/>
    <w:rsid w:val="001140F6"/>
    <w:rsid w:val="00122CB2"/>
    <w:rsid w:val="00123701"/>
    <w:rsid w:val="00131C3C"/>
    <w:rsid w:val="001434CC"/>
    <w:rsid w:val="00147933"/>
    <w:rsid w:val="00151E78"/>
    <w:rsid w:val="00177E29"/>
    <w:rsid w:val="00194DBE"/>
    <w:rsid w:val="001A02D8"/>
    <w:rsid w:val="001B5720"/>
    <w:rsid w:val="001B6E6C"/>
    <w:rsid w:val="001C1D61"/>
    <w:rsid w:val="001C628D"/>
    <w:rsid w:val="001D08B8"/>
    <w:rsid w:val="001D6034"/>
    <w:rsid w:val="001D7D04"/>
    <w:rsid w:val="001E43FF"/>
    <w:rsid w:val="00202CD8"/>
    <w:rsid w:val="002040F3"/>
    <w:rsid w:val="002067DD"/>
    <w:rsid w:val="0021115C"/>
    <w:rsid w:val="00217557"/>
    <w:rsid w:val="00223E97"/>
    <w:rsid w:val="00225F46"/>
    <w:rsid w:val="00226267"/>
    <w:rsid w:val="0022711F"/>
    <w:rsid w:val="00234498"/>
    <w:rsid w:val="00240ADC"/>
    <w:rsid w:val="0025534F"/>
    <w:rsid w:val="00256470"/>
    <w:rsid w:val="00256CEC"/>
    <w:rsid w:val="00265C73"/>
    <w:rsid w:val="0026743F"/>
    <w:rsid w:val="002730BC"/>
    <w:rsid w:val="002754E7"/>
    <w:rsid w:val="00275F99"/>
    <w:rsid w:val="00283B06"/>
    <w:rsid w:val="00287690"/>
    <w:rsid w:val="00290610"/>
    <w:rsid w:val="00290B6F"/>
    <w:rsid w:val="00295865"/>
    <w:rsid w:val="002B557C"/>
    <w:rsid w:val="002B59F7"/>
    <w:rsid w:val="002C5B3F"/>
    <w:rsid w:val="002E25BB"/>
    <w:rsid w:val="003003BB"/>
    <w:rsid w:val="00306513"/>
    <w:rsid w:val="00307408"/>
    <w:rsid w:val="00310AF8"/>
    <w:rsid w:val="003167C4"/>
    <w:rsid w:val="00317C1F"/>
    <w:rsid w:val="00330527"/>
    <w:rsid w:val="00356134"/>
    <w:rsid w:val="0036009E"/>
    <w:rsid w:val="00372A9F"/>
    <w:rsid w:val="00373D62"/>
    <w:rsid w:val="00377755"/>
    <w:rsid w:val="00383DEA"/>
    <w:rsid w:val="00383F1F"/>
    <w:rsid w:val="003926D7"/>
    <w:rsid w:val="00393A5F"/>
    <w:rsid w:val="0039644B"/>
    <w:rsid w:val="003A567C"/>
    <w:rsid w:val="003B4105"/>
    <w:rsid w:val="003B78CB"/>
    <w:rsid w:val="003C1593"/>
    <w:rsid w:val="003C3F5F"/>
    <w:rsid w:val="003D20A4"/>
    <w:rsid w:val="003D3531"/>
    <w:rsid w:val="003D777B"/>
    <w:rsid w:val="003D7A49"/>
    <w:rsid w:val="003E00EC"/>
    <w:rsid w:val="003E2060"/>
    <w:rsid w:val="003F5B5F"/>
    <w:rsid w:val="00407F6B"/>
    <w:rsid w:val="00424B86"/>
    <w:rsid w:val="00461CE5"/>
    <w:rsid w:val="00481692"/>
    <w:rsid w:val="00483F3C"/>
    <w:rsid w:val="004876AA"/>
    <w:rsid w:val="00496884"/>
    <w:rsid w:val="004A2822"/>
    <w:rsid w:val="004A4697"/>
    <w:rsid w:val="004A5FCB"/>
    <w:rsid w:val="004A6C6C"/>
    <w:rsid w:val="004B1074"/>
    <w:rsid w:val="004C1CB1"/>
    <w:rsid w:val="004C2FF4"/>
    <w:rsid w:val="004C57AC"/>
    <w:rsid w:val="004C656F"/>
    <w:rsid w:val="004F1817"/>
    <w:rsid w:val="00502D31"/>
    <w:rsid w:val="005042FB"/>
    <w:rsid w:val="00510642"/>
    <w:rsid w:val="00512B82"/>
    <w:rsid w:val="0051568F"/>
    <w:rsid w:val="00526FBE"/>
    <w:rsid w:val="005316F6"/>
    <w:rsid w:val="005355DC"/>
    <w:rsid w:val="005411CA"/>
    <w:rsid w:val="0054432E"/>
    <w:rsid w:val="00550597"/>
    <w:rsid w:val="005556F3"/>
    <w:rsid w:val="00561AFE"/>
    <w:rsid w:val="005634D6"/>
    <w:rsid w:val="0058089C"/>
    <w:rsid w:val="00581ADC"/>
    <w:rsid w:val="00594363"/>
    <w:rsid w:val="005A5202"/>
    <w:rsid w:val="005A5B65"/>
    <w:rsid w:val="005B1A75"/>
    <w:rsid w:val="005C21BB"/>
    <w:rsid w:val="005D1E4D"/>
    <w:rsid w:val="005D548D"/>
    <w:rsid w:val="005D6131"/>
    <w:rsid w:val="005E4A82"/>
    <w:rsid w:val="005F211E"/>
    <w:rsid w:val="005F6BAF"/>
    <w:rsid w:val="005F73AB"/>
    <w:rsid w:val="00620154"/>
    <w:rsid w:val="006211D8"/>
    <w:rsid w:val="00622336"/>
    <w:rsid w:val="0063741C"/>
    <w:rsid w:val="0063749E"/>
    <w:rsid w:val="00646637"/>
    <w:rsid w:val="00650D67"/>
    <w:rsid w:val="006804B3"/>
    <w:rsid w:val="00681760"/>
    <w:rsid w:val="00681E68"/>
    <w:rsid w:val="00684941"/>
    <w:rsid w:val="006A102A"/>
    <w:rsid w:val="006B67D7"/>
    <w:rsid w:val="006D2D1A"/>
    <w:rsid w:val="006D7481"/>
    <w:rsid w:val="006D7E65"/>
    <w:rsid w:val="0071797D"/>
    <w:rsid w:val="0072496E"/>
    <w:rsid w:val="007277CE"/>
    <w:rsid w:val="00730F35"/>
    <w:rsid w:val="00737724"/>
    <w:rsid w:val="0074062D"/>
    <w:rsid w:val="007463CC"/>
    <w:rsid w:val="00783FA8"/>
    <w:rsid w:val="0079140B"/>
    <w:rsid w:val="0079543B"/>
    <w:rsid w:val="007978CC"/>
    <w:rsid w:val="007A0242"/>
    <w:rsid w:val="007A5AE0"/>
    <w:rsid w:val="007B2F9F"/>
    <w:rsid w:val="007B540A"/>
    <w:rsid w:val="007B5F3E"/>
    <w:rsid w:val="007C290E"/>
    <w:rsid w:val="007E4A06"/>
    <w:rsid w:val="008049CD"/>
    <w:rsid w:val="0081442D"/>
    <w:rsid w:val="00816790"/>
    <w:rsid w:val="008333C5"/>
    <w:rsid w:val="0084049E"/>
    <w:rsid w:val="00845BBA"/>
    <w:rsid w:val="008470C7"/>
    <w:rsid w:val="008502DE"/>
    <w:rsid w:val="0085201E"/>
    <w:rsid w:val="008535F9"/>
    <w:rsid w:val="00861CF2"/>
    <w:rsid w:val="00865E02"/>
    <w:rsid w:val="008705F2"/>
    <w:rsid w:val="008727FB"/>
    <w:rsid w:val="008826BE"/>
    <w:rsid w:val="008832C8"/>
    <w:rsid w:val="00890598"/>
    <w:rsid w:val="00893EBF"/>
    <w:rsid w:val="008A1FA3"/>
    <w:rsid w:val="008D6CA6"/>
    <w:rsid w:val="008F14CD"/>
    <w:rsid w:val="00900955"/>
    <w:rsid w:val="00900C45"/>
    <w:rsid w:val="0091147B"/>
    <w:rsid w:val="009124EE"/>
    <w:rsid w:val="009130EC"/>
    <w:rsid w:val="00917508"/>
    <w:rsid w:val="00920D27"/>
    <w:rsid w:val="00931F44"/>
    <w:rsid w:val="0093471A"/>
    <w:rsid w:val="009500A6"/>
    <w:rsid w:val="00960A4D"/>
    <w:rsid w:val="00960AD9"/>
    <w:rsid w:val="0096141F"/>
    <w:rsid w:val="00970FD2"/>
    <w:rsid w:val="009843FB"/>
    <w:rsid w:val="00987A8F"/>
    <w:rsid w:val="00996BD2"/>
    <w:rsid w:val="0099788C"/>
    <w:rsid w:val="009A7DD1"/>
    <w:rsid w:val="009C054F"/>
    <w:rsid w:val="009C10A1"/>
    <w:rsid w:val="009E244C"/>
    <w:rsid w:val="00A06770"/>
    <w:rsid w:val="00A07B5E"/>
    <w:rsid w:val="00A11D72"/>
    <w:rsid w:val="00A15547"/>
    <w:rsid w:val="00A34908"/>
    <w:rsid w:val="00A34BBC"/>
    <w:rsid w:val="00A4576B"/>
    <w:rsid w:val="00A66921"/>
    <w:rsid w:val="00A7079A"/>
    <w:rsid w:val="00A75FBA"/>
    <w:rsid w:val="00A907FE"/>
    <w:rsid w:val="00AA2781"/>
    <w:rsid w:val="00AB4165"/>
    <w:rsid w:val="00AC2F43"/>
    <w:rsid w:val="00AD6D95"/>
    <w:rsid w:val="00AD6EF3"/>
    <w:rsid w:val="00B06E6E"/>
    <w:rsid w:val="00B12226"/>
    <w:rsid w:val="00B12BDC"/>
    <w:rsid w:val="00B12F7E"/>
    <w:rsid w:val="00B159B5"/>
    <w:rsid w:val="00B25EAF"/>
    <w:rsid w:val="00B27069"/>
    <w:rsid w:val="00B3384D"/>
    <w:rsid w:val="00B34264"/>
    <w:rsid w:val="00B44A27"/>
    <w:rsid w:val="00B50F97"/>
    <w:rsid w:val="00B5279E"/>
    <w:rsid w:val="00B52B36"/>
    <w:rsid w:val="00B96524"/>
    <w:rsid w:val="00BA41BE"/>
    <w:rsid w:val="00BA7CD5"/>
    <w:rsid w:val="00BD052C"/>
    <w:rsid w:val="00BD0E37"/>
    <w:rsid w:val="00BD3DAA"/>
    <w:rsid w:val="00BE10F0"/>
    <w:rsid w:val="00BE2823"/>
    <w:rsid w:val="00BF6723"/>
    <w:rsid w:val="00C0236A"/>
    <w:rsid w:val="00C06C97"/>
    <w:rsid w:val="00C168A1"/>
    <w:rsid w:val="00C218C8"/>
    <w:rsid w:val="00C2366D"/>
    <w:rsid w:val="00C372DC"/>
    <w:rsid w:val="00C45648"/>
    <w:rsid w:val="00C672D7"/>
    <w:rsid w:val="00C749F7"/>
    <w:rsid w:val="00C7571F"/>
    <w:rsid w:val="00C7657D"/>
    <w:rsid w:val="00C9087D"/>
    <w:rsid w:val="00C96E0E"/>
    <w:rsid w:val="00C9715E"/>
    <w:rsid w:val="00CA615F"/>
    <w:rsid w:val="00CB24AF"/>
    <w:rsid w:val="00CB35C7"/>
    <w:rsid w:val="00CC4A92"/>
    <w:rsid w:val="00CD2C77"/>
    <w:rsid w:val="00CE0C45"/>
    <w:rsid w:val="00D01FC1"/>
    <w:rsid w:val="00D025EE"/>
    <w:rsid w:val="00D034E4"/>
    <w:rsid w:val="00D04F32"/>
    <w:rsid w:val="00D20381"/>
    <w:rsid w:val="00D20571"/>
    <w:rsid w:val="00D30E76"/>
    <w:rsid w:val="00D33B3D"/>
    <w:rsid w:val="00D34912"/>
    <w:rsid w:val="00D426F8"/>
    <w:rsid w:val="00D42DAF"/>
    <w:rsid w:val="00D529C2"/>
    <w:rsid w:val="00D600F4"/>
    <w:rsid w:val="00D64FDB"/>
    <w:rsid w:val="00D66053"/>
    <w:rsid w:val="00D730E8"/>
    <w:rsid w:val="00D84918"/>
    <w:rsid w:val="00D86519"/>
    <w:rsid w:val="00D86B1C"/>
    <w:rsid w:val="00D873A3"/>
    <w:rsid w:val="00D94C43"/>
    <w:rsid w:val="00DA1FA9"/>
    <w:rsid w:val="00DA601C"/>
    <w:rsid w:val="00DD1EE8"/>
    <w:rsid w:val="00DE0390"/>
    <w:rsid w:val="00DF36BE"/>
    <w:rsid w:val="00DF5AE8"/>
    <w:rsid w:val="00E0159C"/>
    <w:rsid w:val="00E04CD5"/>
    <w:rsid w:val="00E15FF8"/>
    <w:rsid w:val="00E204E3"/>
    <w:rsid w:val="00E21F8C"/>
    <w:rsid w:val="00E36722"/>
    <w:rsid w:val="00E36A0B"/>
    <w:rsid w:val="00E619E6"/>
    <w:rsid w:val="00E64377"/>
    <w:rsid w:val="00E703DB"/>
    <w:rsid w:val="00E712AA"/>
    <w:rsid w:val="00E73682"/>
    <w:rsid w:val="00E83CD3"/>
    <w:rsid w:val="00E841B2"/>
    <w:rsid w:val="00E911EF"/>
    <w:rsid w:val="00E93CFD"/>
    <w:rsid w:val="00E94A8C"/>
    <w:rsid w:val="00EC284A"/>
    <w:rsid w:val="00EC477D"/>
    <w:rsid w:val="00EC7CFD"/>
    <w:rsid w:val="00ED2C1B"/>
    <w:rsid w:val="00EE18F0"/>
    <w:rsid w:val="00EE5A1B"/>
    <w:rsid w:val="00EE7F94"/>
    <w:rsid w:val="00EF088B"/>
    <w:rsid w:val="00EF5353"/>
    <w:rsid w:val="00F01213"/>
    <w:rsid w:val="00F079F4"/>
    <w:rsid w:val="00F106F9"/>
    <w:rsid w:val="00F23CFA"/>
    <w:rsid w:val="00F32BC4"/>
    <w:rsid w:val="00F467F4"/>
    <w:rsid w:val="00F5015B"/>
    <w:rsid w:val="00F53C9F"/>
    <w:rsid w:val="00F63F47"/>
    <w:rsid w:val="00F820B1"/>
    <w:rsid w:val="00F831F4"/>
    <w:rsid w:val="00F83C59"/>
    <w:rsid w:val="00F94397"/>
    <w:rsid w:val="00F95CF6"/>
    <w:rsid w:val="00F96956"/>
    <w:rsid w:val="00FA4A46"/>
    <w:rsid w:val="00FA5D47"/>
    <w:rsid w:val="00FB1F07"/>
    <w:rsid w:val="00FC07E4"/>
    <w:rsid w:val="00FE2683"/>
    <w:rsid w:val="00FE2CD9"/>
    <w:rsid w:val="00FF2588"/>
    <w:rsid w:val="00FF4277"/>
    <w:rsid w:val="00FF4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B1E00"/>
  <w15:docId w15:val="{63F90843-13EF-42FC-9D93-839DFA9E0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A615F"/>
    <w:pPr>
      <w:spacing w:after="200" w:line="27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/>
      <w:outlineLvl w:val="0"/>
    </w:pPr>
    <w:rPr>
      <w:rFonts w:eastAsia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/>
      <w:outlineLvl w:val="1"/>
    </w:pPr>
    <w:rPr>
      <w:rFonts w:eastAsia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/>
      <w:outlineLvl w:val="2"/>
    </w:pPr>
    <w:rPr>
      <w:rFonts w:eastAsia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/>
      <w:outlineLvl w:val="3"/>
    </w:pPr>
    <w:rPr>
      <w:rFonts w:eastAsia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/>
      <w:outlineLvl w:val="4"/>
    </w:pPr>
    <w:rPr>
      <w:rFonts w:eastAsia="Arial" w:cs="Arial"/>
      <w:b/>
      <w:bCs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/>
      <w:outlineLvl w:val="5"/>
    </w:pPr>
    <w:rPr>
      <w:rFonts w:eastAsia="Arial" w:cs="Arial"/>
      <w:b/>
      <w:bCs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/>
      <w:outlineLvl w:val="6"/>
    </w:pPr>
    <w:rPr>
      <w:rFonts w:eastAsia="Arial" w:cs="Arial"/>
      <w:b/>
      <w:bCs/>
      <w:i/>
      <w:iCs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/>
      <w:outlineLvl w:val="7"/>
    </w:pPr>
    <w:rPr>
      <w:rFonts w:eastAsia="Arial" w:cs="Arial"/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/>
      <w:outlineLvl w:val="8"/>
    </w:pPr>
    <w:rPr>
      <w:rFonts w:eastAsia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  <w:rsid w:val="00CA615F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CA615F"/>
  </w:style>
  <w:style w:type="character" w:customStyle="1" w:styleId="Heading1Char">
    <w:name w:val="Heading 1 Char"/>
    <w:basedOn w:val="Absatz-Standardschriftar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bsatz-Standardschriftar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bsatz-Standardschriftar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bsatz-Standardschriftar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bsatz-Standardschriftar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bsatz-Standardschriftar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bsatz-Standardschriftar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bsatz-Standardschriftart"/>
    <w:uiPriority w:val="10"/>
    <w:rPr>
      <w:sz w:val="48"/>
      <w:szCs w:val="48"/>
    </w:rPr>
  </w:style>
  <w:style w:type="character" w:customStyle="1" w:styleId="SubtitleChar">
    <w:name w:val="Subtitle Char"/>
    <w:basedOn w:val="Absatz-Standardschriftar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KeinLeerraum">
    <w:name w:val="No Spacing"/>
    <w:uiPriority w:val="1"/>
    <w:qFormat/>
    <w:pPr>
      <w:spacing w:after="0" w:line="240" w:lineRule="auto"/>
    </w:pPr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/>
    </w:pPr>
    <w:rPr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bsatz-Standardschriftart"/>
    <w:uiPriority w:val="99"/>
  </w:style>
  <w:style w:type="character" w:customStyle="1" w:styleId="FuzeileZchn">
    <w:name w:val="Fußzeile Zchn"/>
    <w:link w:val="Fuzeile"/>
    <w:uiPriority w:val="99"/>
  </w:style>
  <w:style w:type="table" w:styleId="TabellemithellemGitternetz">
    <w:name w:val="Grid Table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itternetztabelle1hellAkzent1">
    <w:name w:val="Grid Table 1 Light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styleId="Gitternetztabelle1hell-Akzent2">
    <w:name w:val="Grid Table 1 Light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itternetztabelle1hellAkzent3">
    <w:name w:val="Grid Table 1 Light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itternetztabelle1hellAkzent4">
    <w:name w:val="Grid Table 1 Light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itternetztabelle1hellAkzent5">
    <w:name w:val="Grid Table 1 Light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Gitternetztabelle1hellAkzent6">
    <w:name w:val="Grid Table 1 Light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itternetztabelle2Akzent1">
    <w:name w:val="Grid Table 2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itternetztabelle2Akzent2">
    <w:name w:val="Grid Table 2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itternetztabelle2Akzent3">
    <w:name w:val="Grid Table 2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itternetztabelle2Akzent4">
    <w:name w:val="Grid Table 2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itternetztabelle2Akzent5">
    <w:name w:val="Grid Table 2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itternetztabelle2Akzent6">
    <w:name w:val="Grid Table 2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itternetztabelle3Akzent1">
    <w:name w:val="Grid Table 3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Gitternetztabelle3Akzent2">
    <w:name w:val="Grid Table 3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itternetztabelle3Akzent3">
    <w:name w:val="Grid Table 3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itternetztabelle3Akzent4">
    <w:name w:val="Grid Table 3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itternetztabelle3Akzent5">
    <w:name w:val="Grid Table 3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itternetztabelle3Akzent6">
    <w:name w:val="Grid Table 3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itternetztabelle4Akzent1">
    <w:name w:val="Grid Table 4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Gitternetztabelle4Akzent2">
    <w:name w:val="Grid Table 4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itternetztabelle4Akzent3">
    <w:name w:val="Grid Table 4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itternetztabelle4Akzent4">
    <w:name w:val="Grid Table 4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itternetztabelle4Akzent5">
    <w:name w:val="Grid Table 4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Gitternetztabelle4Akzent6">
    <w:name w:val="Grid Table 4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Gitternetztabelle5dunkelAkzent2">
    <w:name w:val="Grid Table 5 Dark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itternetztabelle5dunkelAkzent3">
    <w:name w:val="Grid Table 5 Dark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itternetztabelle5dunkelAkzent5">
    <w:name w:val="Grid Table 5 Dark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Gitternetztabelle5dunkelAkzent6">
    <w:name w:val="Grid Table 5 Dark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itternetztabelle6farbigAkzent1">
    <w:name w:val="Grid Table 6 Colorful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styleId="Gitternetztabelle6farbigAkzent2">
    <w:name w:val="Grid Table 6 Colorful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itternetztabelle6farbigAkzent3">
    <w:name w:val="Grid Table 6 Colorful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itternetztabelle6farbigAkzent4">
    <w:name w:val="Grid Table 6 Colorful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itternetztabelle6farbigAkzent5">
    <w:name w:val="Grid Table 6 Colorful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itternetztabelle6farbigAkzent6">
    <w:name w:val="Grid Table 6 Colorful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itternetztabelle7farbigAkzent1">
    <w:name w:val="Grid Table 7 Colorful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CCCEA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CCCEA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styleId="Gitternetztabelle7farbigAkzent2">
    <w:name w:val="Grid Table 7 Colorful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itternetztabelle7farbigAkzent3">
    <w:name w:val="Grid Table 7 Colorful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5A5A5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A5A5A5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itternetztabelle7farbigAkzent4">
    <w:name w:val="Grid Table 7 Colorful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itternetztabelle7farbigAkzent5">
    <w:name w:val="Grid Table 7 Colorful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5AFDD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single" w:sz="4" w:space="0" w:color="95AFDD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itternetztabelle7farbigAkzent6">
    <w:name w:val="Grid Table 7 Colorful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DD394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single" w:sz="4" w:space="0" w:color="ADD394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entabelle1hellAkzent1">
    <w:name w:val="List Table 1 Light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Listentabelle1hellAkzent2">
    <w:name w:val="List Table 1 Light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entabelle1hellAkzent3">
    <w:name w:val="List Table 1 Light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entabelle1hellAkzent4">
    <w:name w:val="List Table 1 Light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entabelle1hellAkzent5">
    <w:name w:val="List Table 1 Light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Listentabelle1hellAkzent6">
    <w:name w:val="List Table 1 Light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entabelle2Akzent1">
    <w:name w:val="List Table 2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entabelle2Akzent2">
    <w:name w:val="List Table 2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entabelle2Akzent3">
    <w:name w:val="List Table 2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entabelle2Akzent4">
    <w:name w:val="List Table 2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entabelle2Akzent5">
    <w:name w:val="List Table 2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entabelle2Akzent6">
    <w:name w:val="List Table 2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entabelle3Akzent1">
    <w:name w:val="List Table 3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Listentabelle3Akzent2">
    <w:name w:val="List Table 3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entabelle3Akzent3">
    <w:name w:val="List Table 3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entabelle3Akzent4">
    <w:name w:val="List Table 3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entabelle3Akzent5">
    <w:name w:val="List Table 3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Listentabelle3Akzent6">
    <w:name w:val="List Table 3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entabelle4Akzent1">
    <w:name w:val="List Table 4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Listentabelle4Akzent2">
    <w:name w:val="List Table 4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entabelle4Akzent3">
    <w:name w:val="List Table 4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entabelle4Akzent4">
    <w:name w:val="List Table 4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entabelle4Akzent5">
    <w:name w:val="List Table 4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Listentabelle4Akzent6">
    <w:name w:val="List Table 4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entabelle5dunkelAkzent1">
    <w:name w:val="List Table 5 Dark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Listentabelle5dunkelAkzent2">
    <w:name w:val="List Table 5 Dark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entabelle5dunkelAkzent3">
    <w:name w:val="List Table 5 Dark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entabelle5dunkelAkzent4">
    <w:name w:val="List Table 5 Dark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entabelle5dunkelAkzent5">
    <w:name w:val="List Table 5 Dark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Listentabelle5dunkelAkzent6">
    <w:name w:val="List Table 5 Dark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entabelle6farbigAkzent1">
    <w:name w:val="List Table 6 Colorful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styleId="Listentabelle6farbigAkzent2">
    <w:name w:val="List Table 6 Colorful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entabelle6farbigAkzent3">
    <w:name w:val="List Table 6 Colorful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entabelle6farbigAkzent4">
    <w:name w:val="List Table 6 Colorful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entabelle6farbigAkzent5">
    <w:name w:val="List Table 6 Colorful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styleId="Listentabelle6farbigAkzent6">
    <w:name w:val="List Table 6 Colorful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Listentabelle7farbigAkzent1">
    <w:name w:val="List Table 7 Colorful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5B9BD5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single" w:sz="4" w:space="0" w:color="5B9BD5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styleId="Listentabelle7farbigAkzent2">
    <w:name w:val="List Table 7 Colorful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entabelle7farbigAkzent3">
    <w:name w:val="List Table 7 Colorful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9C9C9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9C9C9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entabelle7farbigAkzent4">
    <w:name w:val="List Table 7 Colorful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entabelle7farbigAkzent5">
    <w:name w:val="List Table 7 Colorful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8DA9DB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8DA9DB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styleId="Listentabelle7farbigAkzent6">
    <w:name w:val="List Table 7 Colorful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9D08E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A9D08E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  <w:pPr>
      <w:spacing w:after="0"/>
    </w:p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Beschriftung">
    <w:name w:val="caption"/>
    <w:basedOn w:val="Standard"/>
    <w:next w:val="Standard"/>
    <w:uiPriority w:val="35"/>
    <w:unhideWhenUsed/>
    <w:qFormat/>
    <w:pPr>
      <w:spacing w:line="240" w:lineRule="auto"/>
    </w:pPr>
    <w:rPr>
      <w:iCs/>
      <w:sz w:val="18"/>
      <w:szCs w:val="18"/>
    </w:rPr>
  </w:style>
  <w:style w:type="table" w:styleId="Tabellenraster">
    <w:name w:val="Table Grid"/>
    <w:basedOn w:val="NormaleTabelle"/>
    <w:uiPriority w:val="59"/>
    <w:pPr>
      <w:spacing w:after="0" w:line="240" w:lineRule="auto"/>
    </w:pPr>
    <w:rPr>
      <w14:ligatures w14:val="standardContextu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hAnsi="Arial"/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paragraph" w:styleId="Literaturverzeichnis">
    <w:name w:val="Bibliography"/>
    <w:basedOn w:val="Standard"/>
    <w:next w:val="Standard"/>
    <w:uiPriority w:val="37"/>
    <w:unhideWhenUsed/>
    <w:pPr>
      <w:tabs>
        <w:tab w:val="left" w:pos="504"/>
      </w:tabs>
      <w:spacing w:after="0" w:line="240" w:lineRule="auto"/>
      <w:ind w:left="504" w:hanging="504"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pPr>
      <w:spacing w:after="0" w:line="240" w:lineRule="auto"/>
    </w:pPr>
    <w:rPr>
      <w:rFonts w:ascii="Arial" w:hAnsi="Arial"/>
      <w:sz w:val="24"/>
    </w:rPr>
  </w:style>
  <w:style w:type="paragraph" w:customStyle="1" w:styleId="Tableofcontents">
    <w:name w:val="Table of contents"/>
    <w:basedOn w:val="Standard"/>
    <w:pPr>
      <w:spacing w:after="0" w:line="360" w:lineRule="auto"/>
      <w:jc w:val="both"/>
    </w:pPr>
    <w:rPr>
      <w:rFonts w:eastAsia="MS Mincho" w:cs="Arial"/>
      <w:szCs w:val="24"/>
      <w:lang w:eastAsia="ja-JP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681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61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5EA42-8D77-458B-930E-B0A035B398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260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Bahr, Frauke Sophie</dc:creator>
  <cp:keywords/>
  <dc:description/>
  <cp:lastModifiedBy>Ponimaskin, Evgeni Prof. Dr.</cp:lastModifiedBy>
  <cp:revision>2</cp:revision>
  <cp:lastPrinted>2024-05-02T12:35:00Z</cp:lastPrinted>
  <dcterms:created xsi:type="dcterms:W3CDTF">2024-06-14T12:17:00Z</dcterms:created>
  <dcterms:modified xsi:type="dcterms:W3CDTF">2024-06-14T12:17:00Z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id="fBTMzlPY"/&gt;&lt;style id="http://www.zotero.org/styles/advanced-materials" hasBibliography="1" bibliographyStyleHasBeenSet="1"/&gt;&lt;prefs&gt;&lt;pref name="fieldType" value="Field"/&gt;&lt;pref name="dontAskDelayCi</vt:lpwstr>
  </property>
  <property fmtid="{D5CDD505-2E9C-101B-9397-08002B2CF9AE}" pid="3" name="ZOTERO_PREF_2">
    <vt:lpwstr>tationUpdates" value="true"/&gt;&lt;/prefs&gt;&lt;/data&gt;</vt:lpwstr>
  </property>
</Properties>
</file>