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40E081" w14:textId="23EEDFF9" w:rsidR="00257596" w:rsidRDefault="00240BB3" w:rsidP="00426E06">
      <w:pPr>
        <w:spacing w:line="480" w:lineRule="auto"/>
        <w:jc w:val="center"/>
        <w:rPr>
          <w:b/>
        </w:rPr>
      </w:pPr>
      <w:r>
        <w:rPr>
          <w:b/>
          <w:noProof/>
          <w:lang w:val="fr-BE" w:eastAsia="fr-BE"/>
        </w:rPr>
        <w:drawing>
          <wp:inline distT="0" distB="0" distL="0" distR="0" wp14:anchorId="1E131938" wp14:editId="645466DA">
            <wp:extent cx="5727700" cy="5562600"/>
            <wp:effectExtent l="0" t="0" r="635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S1 Stard7 deficiency and cell cycle defects in T47D cells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25DFF" w14:textId="60AC4EDC" w:rsidR="00240BB3" w:rsidRPr="00D71D51" w:rsidRDefault="00C355F7" w:rsidP="001415CC">
      <w:pPr>
        <w:spacing w:line="480" w:lineRule="auto"/>
        <w:jc w:val="both"/>
      </w:pPr>
      <w:r>
        <w:rPr>
          <w:b/>
        </w:rPr>
        <w:t>Supplementary</w:t>
      </w:r>
      <w:r w:rsidR="009102FE" w:rsidRPr="009102FE">
        <w:rPr>
          <w:b/>
        </w:rPr>
        <w:t xml:space="preserve"> </w:t>
      </w:r>
      <w:r w:rsidR="008C437C" w:rsidRPr="009102FE">
        <w:rPr>
          <w:b/>
        </w:rPr>
        <w:t>Figure 1:</w:t>
      </w:r>
      <w:r w:rsidR="00A957D4">
        <w:rPr>
          <w:b/>
        </w:rPr>
        <w:t xml:space="preserve"> </w:t>
      </w:r>
      <w:r w:rsidR="000D6C93">
        <w:rPr>
          <w:b/>
        </w:rPr>
        <w:t>STARD7 deficiency leads to transcriptional reprogramming.</w:t>
      </w:r>
      <w:r w:rsidR="00211897">
        <w:rPr>
          <w:b/>
        </w:rPr>
        <w:t xml:space="preserve"> </w:t>
      </w:r>
      <w:r w:rsidR="00FF7B95">
        <w:rPr>
          <w:color w:val="242424"/>
          <w:lang w:eastAsia="fr-BE"/>
        </w:rPr>
        <w:t xml:space="preserve">Real-Time PCR analyses were conducted with total RNAs from control and STARD7-depleted T47D cells. The expression of each candidate in control cells was set to 1 and levels in cells lacking STARD7 was relative to that after normalization with GAPDH mRNA levels (mean +/- SD, </w:t>
      </w:r>
      <w:r w:rsidR="00FF7B95" w:rsidRPr="00AC4D83">
        <w:t>one-way ANOVA</w:t>
      </w:r>
      <w:r w:rsidR="00FF7B95">
        <w:rPr>
          <w:color w:val="242424"/>
          <w:lang w:eastAsia="fr-BE"/>
        </w:rPr>
        <w:t xml:space="preserve">, * = p &lt;0.05, ** = p &lt; 0.01, *** = p </w:t>
      </w:r>
      <w:r w:rsidR="00AA548E">
        <w:rPr>
          <w:color w:val="242424"/>
          <w:lang w:eastAsia="fr-BE"/>
        </w:rPr>
        <w:t>&lt; 0.001</w:t>
      </w:r>
      <w:r w:rsidR="00FF7B95">
        <w:rPr>
          <w:color w:val="242424"/>
          <w:lang w:eastAsia="fr-BE"/>
        </w:rPr>
        <w:t>).</w:t>
      </w:r>
    </w:p>
    <w:p w14:paraId="7D3CE7B5" w14:textId="77777777" w:rsidR="00240BB3" w:rsidRDefault="00240BB3" w:rsidP="001415CC">
      <w:pPr>
        <w:spacing w:line="480" w:lineRule="auto"/>
        <w:jc w:val="both"/>
        <w:rPr>
          <w:b/>
        </w:rPr>
      </w:pPr>
    </w:p>
    <w:p w14:paraId="2492167F" w14:textId="77777777" w:rsidR="00240BB3" w:rsidRDefault="00240BB3" w:rsidP="001415CC">
      <w:pPr>
        <w:spacing w:line="480" w:lineRule="auto"/>
        <w:jc w:val="both"/>
        <w:rPr>
          <w:b/>
        </w:rPr>
      </w:pPr>
    </w:p>
    <w:p w14:paraId="1375D6D6" w14:textId="77777777" w:rsidR="00240BB3" w:rsidRDefault="00240BB3" w:rsidP="001415CC">
      <w:pPr>
        <w:spacing w:line="480" w:lineRule="auto"/>
        <w:jc w:val="both"/>
        <w:rPr>
          <w:b/>
        </w:rPr>
      </w:pPr>
    </w:p>
    <w:p w14:paraId="2ABF9B46" w14:textId="77777777" w:rsidR="00240BB3" w:rsidRDefault="00240BB3" w:rsidP="001415CC">
      <w:pPr>
        <w:spacing w:line="480" w:lineRule="auto"/>
        <w:jc w:val="both"/>
        <w:rPr>
          <w:b/>
        </w:rPr>
      </w:pPr>
    </w:p>
    <w:p w14:paraId="13B48381" w14:textId="7693AAB8" w:rsidR="00240BB3" w:rsidRDefault="00710BA5" w:rsidP="00710BA5">
      <w:pPr>
        <w:spacing w:line="480" w:lineRule="auto"/>
        <w:jc w:val="center"/>
        <w:rPr>
          <w:b/>
        </w:rPr>
      </w:pPr>
      <w:r>
        <w:rPr>
          <w:b/>
          <w:noProof/>
          <w:lang w:val="fr-BE" w:eastAsia="fr-BE"/>
        </w:rPr>
        <w:lastRenderedPageBreak/>
        <w:drawing>
          <wp:inline distT="0" distB="0" distL="0" distR="0" wp14:anchorId="1A0954C0" wp14:editId="6035B6C4">
            <wp:extent cx="5034642" cy="7537450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2 Proteomics STARD7 and cell cycl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2537" cy="7549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5B2C0" w14:textId="2C0A9697" w:rsidR="00240BB3" w:rsidRDefault="00C355F7" w:rsidP="00240BB3">
      <w:pPr>
        <w:spacing w:line="480" w:lineRule="auto"/>
        <w:jc w:val="both"/>
      </w:pPr>
      <w:r>
        <w:rPr>
          <w:b/>
        </w:rPr>
        <w:t>Supplementary</w:t>
      </w:r>
      <w:r w:rsidRPr="00E757A4">
        <w:rPr>
          <w:b/>
        </w:rPr>
        <w:t xml:space="preserve"> </w:t>
      </w:r>
      <w:r w:rsidR="00E757A4" w:rsidRPr="00E757A4">
        <w:rPr>
          <w:b/>
        </w:rPr>
        <w:t xml:space="preserve">Figure 2: </w:t>
      </w:r>
      <w:r w:rsidR="000D6C93">
        <w:rPr>
          <w:b/>
        </w:rPr>
        <w:t>STARD7</w:t>
      </w:r>
      <w:r w:rsidR="006B515A">
        <w:rPr>
          <w:b/>
        </w:rPr>
        <w:t xml:space="preserve"> deficiency decreases levels</w:t>
      </w:r>
      <w:r w:rsidR="00FA663B">
        <w:rPr>
          <w:b/>
        </w:rPr>
        <w:t xml:space="preserve"> of proteins lin</w:t>
      </w:r>
      <w:r w:rsidR="000D6C93">
        <w:rPr>
          <w:b/>
        </w:rPr>
        <w:t>ked to cell cycle progression.</w:t>
      </w:r>
      <w:r w:rsidR="002E0FA0">
        <w:rPr>
          <w:b/>
        </w:rPr>
        <w:t xml:space="preserve"> </w:t>
      </w:r>
      <w:r w:rsidR="006B515A">
        <w:t xml:space="preserve">A string Interaction Network (A) and the top 20 processes and GO </w:t>
      </w:r>
      <w:r w:rsidR="003D631D">
        <w:t>s</w:t>
      </w:r>
      <w:r w:rsidR="006B515A">
        <w:t>ets (</w:t>
      </w:r>
      <w:r w:rsidR="00710BA5">
        <w:t xml:space="preserve">C and </w:t>
      </w:r>
      <w:r w:rsidR="006B515A">
        <w:t>B</w:t>
      </w:r>
      <w:r w:rsidR="00710BA5">
        <w:t>, respectively</w:t>
      </w:r>
      <w:r w:rsidR="006B515A">
        <w:t>) enriched in breast cancer cells lacking STARD7 are illustrated.</w:t>
      </w:r>
    </w:p>
    <w:p w14:paraId="34471CC8" w14:textId="77777777" w:rsidR="00240BB3" w:rsidRDefault="00240BB3"/>
    <w:p w14:paraId="6F430B45" w14:textId="77777777" w:rsidR="00F85A1F" w:rsidRDefault="00F85A1F"/>
    <w:p w14:paraId="51D72EB4" w14:textId="14DDF196" w:rsidR="00B4118E" w:rsidRDefault="00426E06" w:rsidP="00F85A1F">
      <w:pPr>
        <w:spacing w:line="480" w:lineRule="auto"/>
        <w:jc w:val="center"/>
      </w:pPr>
      <w:r>
        <w:rPr>
          <w:noProof/>
          <w:lang w:val="fr-BE" w:eastAsia="fr-BE"/>
        </w:rPr>
        <w:drawing>
          <wp:inline distT="0" distB="0" distL="0" distR="0" wp14:anchorId="2189BD4B" wp14:editId="5479CF9B">
            <wp:extent cx="5727700" cy="5605145"/>
            <wp:effectExtent l="0" t="0" r="635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3 STARD7 deficiency and ciliogenesis in MCF7 cells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60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837D6" w14:textId="3EBD0AC4" w:rsidR="001F0CC5" w:rsidRDefault="00C355F7" w:rsidP="001F0CC5">
      <w:pPr>
        <w:spacing w:line="480" w:lineRule="auto"/>
        <w:jc w:val="both"/>
        <w:rPr>
          <w:color w:val="242424"/>
          <w:lang w:eastAsia="fr-BE"/>
        </w:rPr>
      </w:pPr>
      <w:r>
        <w:rPr>
          <w:b/>
        </w:rPr>
        <w:t>Supplementary</w:t>
      </w:r>
      <w:r w:rsidRPr="00DD0B09">
        <w:rPr>
          <w:b/>
        </w:rPr>
        <w:t xml:space="preserve"> </w:t>
      </w:r>
      <w:r w:rsidR="00B4118E" w:rsidRPr="00DD0B09">
        <w:rPr>
          <w:b/>
        </w:rPr>
        <w:t>Figure 3</w:t>
      </w:r>
      <w:r w:rsidR="00B4118E" w:rsidRPr="006B7AD9">
        <w:rPr>
          <w:b/>
        </w:rPr>
        <w:t xml:space="preserve">: </w:t>
      </w:r>
      <w:r w:rsidR="001F0CC5">
        <w:rPr>
          <w:b/>
        </w:rPr>
        <w:t xml:space="preserve">A </w:t>
      </w:r>
      <w:proofErr w:type="spellStart"/>
      <w:r w:rsidR="001F0CC5">
        <w:rPr>
          <w:b/>
        </w:rPr>
        <w:t>ciliogenesis</w:t>
      </w:r>
      <w:proofErr w:type="spellEnd"/>
      <w:r w:rsidR="001F0CC5">
        <w:rPr>
          <w:b/>
        </w:rPr>
        <w:t xml:space="preserve"> signature is linked to STARD7 deficiency in breast cancer cells. </w:t>
      </w:r>
      <w:r w:rsidR="001F0CC5">
        <w:rPr>
          <w:color w:val="242424"/>
          <w:lang w:eastAsia="fr-BE"/>
        </w:rPr>
        <w:t xml:space="preserve">Real-Time PCR analyses were conducted with total RNAs from control and STARD7-depleted MCF7 or MDA-MB231 cells. The expression of each candidate in control cells was set to 1 and levels in cells lacking STARD7 was relative to that after normalization with GAPDH mRNA levels (mean +/- SD, </w:t>
      </w:r>
      <w:r w:rsidR="001F0CC5" w:rsidRPr="00AC4D83">
        <w:t>one-way ANOVA</w:t>
      </w:r>
      <w:r w:rsidR="001F0CC5">
        <w:rPr>
          <w:color w:val="242424"/>
          <w:lang w:eastAsia="fr-BE"/>
        </w:rPr>
        <w:t>, * = p &lt;0.05, ** = p &lt; 0.01, *** = p &lt; 0.001).</w:t>
      </w:r>
    </w:p>
    <w:p w14:paraId="19FC9BFB" w14:textId="014B0E77" w:rsidR="004604C5" w:rsidRDefault="004604C5" w:rsidP="001F0CC5">
      <w:pPr>
        <w:spacing w:line="480" w:lineRule="auto"/>
        <w:jc w:val="both"/>
      </w:pPr>
    </w:p>
    <w:p w14:paraId="3A048EE3" w14:textId="0FC28897" w:rsidR="00DB0275" w:rsidRDefault="00DB0275" w:rsidP="006B7AD9">
      <w:pPr>
        <w:spacing w:line="480" w:lineRule="auto"/>
        <w:jc w:val="both"/>
        <w:rPr>
          <w:b/>
        </w:rPr>
      </w:pPr>
    </w:p>
    <w:p w14:paraId="4BB17108" w14:textId="77777777" w:rsidR="00D93E86" w:rsidRDefault="00D93E86" w:rsidP="006B7AD9">
      <w:pPr>
        <w:spacing w:line="480" w:lineRule="auto"/>
        <w:jc w:val="both"/>
        <w:rPr>
          <w:b/>
        </w:rPr>
      </w:pPr>
    </w:p>
    <w:p w14:paraId="3161E76C" w14:textId="34E0DA22" w:rsidR="002E0FA0" w:rsidRDefault="00DB4A10" w:rsidP="00426E06">
      <w:pPr>
        <w:spacing w:line="480" w:lineRule="auto"/>
        <w:jc w:val="center"/>
        <w:rPr>
          <w:b/>
        </w:rPr>
      </w:pPr>
      <w:r>
        <w:rPr>
          <w:b/>
          <w:noProof/>
          <w:lang w:val="fr-BE" w:eastAsia="fr-BE"/>
        </w:rPr>
        <w:drawing>
          <wp:inline distT="0" distB="0" distL="0" distR="0" wp14:anchorId="311D17E7" wp14:editId="767F9D57">
            <wp:extent cx="5240552" cy="560832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4 IF analyses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4209" cy="5612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D1C3861" w14:textId="77777777" w:rsidR="00A25D2F" w:rsidRDefault="00A25D2F" w:rsidP="00426E06">
      <w:pPr>
        <w:spacing w:line="480" w:lineRule="auto"/>
        <w:jc w:val="center"/>
        <w:rPr>
          <w:b/>
        </w:rPr>
      </w:pPr>
    </w:p>
    <w:p w14:paraId="28CEA06C" w14:textId="34A516D9" w:rsidR="002E0FA0" w:rsidRPr="006B7AD9" w:rsidRDefault="002E0FA0" w:rsidP="002E0FA0">
      <w:pPr>
        <w:spacing w:line="480" w:lineRule="auto"/>
        <w:jc w:val="both"/>
        <w:rPr>
          <w:b/>
        </w:rPr>
      </w:pPr>
      <w:r>
        <w:rPr>
          <w:b/>
        </w:rPr>
        <w:t>Supplementary</w:t>
      </w:r>
      <w:r w:rsidRPr="00DD0B09">
        <w:rPr>
          <w:b/>
        </w:rPr>
        <w:t xml:space="preserve"> </w:t>
      </w:r>
      <w:r>
        <w:rPr>
          <w:b/>
        </w:rPr>
        <w:t>Figure 4</w:t>
      </w:r>
      <w:r w:rsidRPr="006B7AD9">
        <w:rPr>
          <w:b/>
        </w:rPr>
        <w:t xml:space="preserve">: </w:t>
      </w:r>
      <w:r w:rsidR="004604C5">
        <w:rPr>
          <w:b/>
        </w:rPr>
        <w:t xml:space="preserve">STARD7-depleted breast cancer cells undergo autophagy. </w:t>
      </w:r>
      <w:r w:rsidR="00085CEB">
        <w:rPr>
          <w:color w:val="242424"/>
          <w:lang w:eastAsia="fr-BE"/>
        </w:rPr>
        <w:t>Representative immunofluorescence analyses of control and STARD7-depleted MCF7 cells (shRNA Control and ShRNA STARD7</w:t>
      </w:r>
      <w:r w:rsidR="00085CEB" w:rsidRPr="00CB23F5">
        <w:t>#2</w:t>
      </w:r>
      <w:r w:rsidR="00EF75A9">
        <w:t>) after an overnight treat</w:t>
      </w:r>
      <w:r w:rsidR="00085CEB">
        <w:t xml:space="preserve">ment with Chloroquine (15 </w:t>
      </w:r>
      <w:r w:rsidR="00085CEB" w:rsidRPr="00CB23F5">
        <w:rPr>
          <w:rFonts w:ascii="Symbol" w:hAnsi="Symbol"/>
        </w:rPr>
        <w:t></w:t>
      </w:r>
      <w:r w:rsidR="00085CEB">
        <w:t xml:space="preserve">M). Anti-LAMP1 (red) and -LC3B </w:t>
      </w:r>
      <w:proofErr w:type="spellStart"/>
      <w:r w:rsidR="00085CEB">
        <w:t>stainings</w:t>
      </w:r>
      <w:proofErr w:type="spellEnd"/>
      <w:r w:rsidR="00085CEB">
        <w:t xml:space="preserve"> were carried out. DAPI was used to for nuclei </w:t>
      </w:r>
      <w:proofErr w:type="spellStart"/>
      <w:r w:rsidR="00085CEB">
        <w:t>stainings</w:t>
      </w:r>
      <w:proofErr w:type="spellEnd"/>
      <w:r w:rsidR="00085CEB">
        <w:t xml:space="preserve">. The bar graph shows a quantitative analysis of cells undergoing autophagy. The quantification shows the percentage of cells with more </w:t>
      </w:r>
      <w:proofErr w:type="spellStart"/>
      <w:r w:rsidR="00085CEB">
        <w:t>that</w:t>
      </w:r>
      <w:proofErr w:type="spellEnd"/>
      <w:r w:rsidR="00085CEB">
        <w:t xml:space="preserve"> 10 co-localized points to the total number of </w:t>
      </w:r>
      <w:proofErr w:type="spellStart"/>
      <w:r w:rsidR="00085CEB">
        <w:t>analysed</w:t>
      </w:r>
      <w:proofErr w:type="spellEnd"/>
      <w:r w:rsidR="00085CEB">
        <w:t xml:space="preserve"> cells</w:t>
      </w:r>
      <w:r w:rsidR="006C4DC4">
        <w:t xml:space="preserve"> (</w:t>
      </w:r>
      <w:r w:rsidR="006C4DC4">
        <w:rPr>
          <w:color w:val="242424"/>
          <w:lang w:eastAsia="fr-BE"/>
        </w:rPr>
        <w:t xml:space="preserve">mean +/- SD, </w:t>
      </w:r>
      <w:r w:rsidR="00581EE1">
        <w:t>Student T-test</w:t>
      </w:r>
      <w:r w:rsidR="006C4DC4">
        <w:rPr>
          <w:color w:val="242424"/>
          <w:lang w:eastAsia="fr-BE"/>
        </w:rPr>
        <w:t>, ** = p &lt; 0.01)</w:t>
      </w:r>
      <w:r w:rsidR="00085CEB">
        <w:t>.</w:t>
      </w:r>
    </w:p>
    <w:p w14:paraId="4E485D9B" w14:textId="1B3E1992" w:rsidR="008C437C" w:rsidRPr="000D6C93" w:rsidRDefault="008C437C" w:rsidP="000D6C93">
      <w:pPr>
        <w:rPr>
          <w:rFonts w:asciiTheme="minorHAnsi" w:hAnsiTheme="minorHAnsi"/>
          <w:sz w:val="22"/>
          <w:szCs w:val="22"/>
        </w:rPr>
      </w:pPr>
    </w:p>
    <w:sectPr w:rsidR="008C437C" w:rsidRPr="000D6C93" w:rsidSect="00D14F2B">
      <w:headerReference w:type="default" r:id="rId12"/>
      <w:footerReference w:type="default" r:id="rId13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A762F8" w14:textId="77777777" w:rsidR="00825709" w:rsidRDefault="00825709" w:rsidP="00AD6102">
      <w:r>
        <w:separator/>
      </w:r>
    </w:p>
  </w:endnote>
  <w:endnote w:type="continuationSeparator" w:id="0">
    <w:p w14:paraId="375FEDD3" w14:textId="77777777" w:rsidR="00825709" w:rsidRDefault="00825709" w:rsidP="00AD6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4062580"/>
      <w:docPartObj>
        <w:docPartGallery w:val="Page Numbers (Bottom of Page)"/>
        <w:docPartUnique/>
      </w:docPartObj>
    </w:sdtPr>
    <w:sdtEndPr/>
    <w:sdtContent>
      <w:p w14:paraId="19494C2C" w14:textId="77777777" w:rsidR="00831723" w:rsidRDefault="00831723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4A10" w:rsidRPr="00DB4A10">
          <w:rPr>
            <w:noProof/>
            <w:lang w:val="fr-FR"/>
          </w:rPr>
          <w:t>5</w:t>
        </w:r>
        <w:r>
          <w:fldChar w:fldCharType="end"/>
        </w:r>
      </w:p>
    </w:sdtContent>
  </w:sdt>
  <w:p w14:paraId="2BFBE6DD" w14:textId="77777777" w:rsidR="00831723" w:rsidRDefault="00831723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F44B31" w14:textId="77777777" w:rsidR="00825709" w:rsidRDefault="00825709" w:rsidP="00AD6102">
      <w:r>
        <w:separator/>
      </w:r>
    </w:p>
  </w:footnote>
  <w:footnote w:type="continuationSeparator" w:id="0">
    <w:p w14:paraId="08BC059F" w14:textId="77777777" w:rsidR="00825709" w:rsidRDefault="00825709" w:rsidP="00AD61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863D59" w14:textId="70435387" w:rsidR="0061137C" w:rsidRPr="0061137C" w:rsidRDefault="0061137C">
    <w:pPr>
      <w:pStyle w:val="En-tte"/>
      <w:rPr>
        <w:rFonts w:ascii="Monotype Corsiva" w:hAnsi="Monotype Corsiva"/>
      </w:rPr>
    </w:pPr>
    <w:r>
      <w:rPr>
        <w:rFonts w:ascii="Monotype Corsiva" w:hAnsi="Monotype Corsiva"/>
      </w:rPr>
      <w:tab/>
    </w:r>
    <w:r>
      <w:rPr>
        <w:rFonts w:ascii="Monotype Corsiva" w:hAnsi="Monotype Corsiva"/>
      </w:rPr>
      <w:tab/>
    </w:r>
    <w:r w:rsidRPr="0061137C">
      <w:rPr>
        <w:rFonts w:ascii="Monotype Corsiva" w:hAnsi="Monotype Corsiva"/>
      </w:rPr>
      <w:t xml:space="preserve">Supplementary information, </w:t>
    </w:r>
    <w:proofErr w:type="spellStart"/>
    <w:r w:rsidRPr="0061137C">
      <w:rPr>
        <w:rFonts w:ascii="Monotype Corsiva" w:hAnsi="Monotype Corsiva"/>
        <w:lang w:val="en-GB"/>
      </w:rPr>
      <w:t>Dondajewska</w:t>
    </w:r>
    <w:proofErr w:type="spellEnd"/>
    <w:r w:rsidRPr="0061137C">
      <w:rPr>
        <w:rFonts w:ascii="Monotype Corsiva" w:hAnsi="Monotype Corsiva"/>
        <w:lang w:val="en-GB"/>
      </w:rPr>
      <w:t xml:space="preserve"> et al.</w:t>
    </w:r>
  </w:p>
  <w:p w14:paraId="3E4FC958" w14:textId="77777777" w:rsidR="00831723" w:rsidRPr="00AD6102" w:rsidRDefault="00831723">
    <w:pPr>
      <w:pStyle w:val="En-tte"/>
      <w:rPr>
        <w:lang w:val="fr-B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C53BD8"/>
    <w:multiLevelType w:val="hybridMultilevel"/>
    <w:tmpl w:val="84C052B2"/>
    <w:lvl w:ilvl="0" w:tplc="31E0BC3A">
      <w:start w:val="1"/>
      <w:numFmt w:val="upperLetter"/>
      <w:lvlText w:val="(%1)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37C"/>
    <w:rsid w:val="00001BEF"/>
    <w:rsid w:val="0002792B"/>
    <w:rsid w:val="00041415"/>
    <w:rsid w:val="00057468"/>
    <w:rsid w:val="00061F3E"/>
    <w:rsid w:val="00085CEB"/>
    <w:rsid w:val="000A4A3E"/>
    <w:rsid w:val="000B268A"/>
    <w:rsid w:val="000C4BE1"/>
    <w:rsid w:val="000D6C93"/>
    <w:rsid w:val="00104EA6"/>
    <w:rsid w:val="001156BE"/>
    <w:rsid w:val="001333BF"/>
    <w:rsid w:val="001415CC"/>
    <w:rsid w:val="00173F8C"/>
    <w:rsid w:val="00174DCC"/>
    <w:rsid w:val="00186BCB"/>
    <w:rsid w:val="001A713C"/>
    <w:rsid w:val="001B6B4B"/>
    <w:rsid w:val="001B708D"/>
    <w:rsid w:val="001F0CC5"/>
    <w:rsid w:val="002022C7"/>
    <w:rsid w:val="00211897"/>
    <w:rsid w:val="00232C01"/>
    <w:rsid w:val="00240BB3"/>
    <w:rsid w:val="00255B78"/>
    <w:rsid w:val="00257596"/>
    <w:rsid w:val="00264525"/>
    <w:rsid w:val="00271F65"/>
    <w:rsid w:val="002763EE"/>
    <w:rsid w:val="00291FA7"/>
    <w:rsid w:val="002A1741"/>
    <w:rsid w:val="002D3640"/>
    <w:rsid w:val="002E0FA0"/>
    <w:rsid w:val="003103F1"/>
    <w:rsid w:val="0034587D"/>
    <w:rsid w:val="0039045B"/>
    <w:rsid w:val="00395DEB"/>
    <w:rsid w:val="003A5F22"/>
    <w:rsid w:val="003D631D"/>
    <w:rsid w:val="00402FC2"/>
    <w:rsid w:val="00407152"/>
    <w:rsid w:val="00420FA8"/>
    <w:rsid w:val="00426E06"/>
    <w:rsid w:val="00427D33"/>
    <w:rsid w:val="0043206A"/>
    <w:rsid w:val="004362CA"/>
    <w:rsid w:val="00441EA7"/>
    <w:rsid w:val="004446ED"/>
    <w:rsid w:val="004507F9"/>
    <w:rsid w:val="00451EBB"/>
    <w:rsid w:val="004604C5"/>
    <w:rsid w:val="00477B02"/>
    <w:rsid w:val="004C403F"/>
    <w:rsid w:val="004D10EE"/>
    <w:rsid w:val="004D612F"/>
    <w:rsid w:val="004E672D"/>
    <w:rsid w:val="00501176"/>
    <w:rsid w:val="005242D6"/>
    <w:rsid w:val="00581EE1"/>
    <w:rsid w:val="00581F8E"/>
    <w:rsid w:val="005A1B59"/>
    <w:rsid w:val="005B0B54"/>
    <w:rsid w:val="005B0BDC"/>
    <w:rsid w:val="005B262B"/>
    <w:rsid w:val="005D73B7"/>
    <w:rsid w:val="005E2DEF"/>
    <w:rsid w:val="005F7205"/>
    <w:rsid w:val="005F751B"/>
    <w:rsid w:val="006029DA"/>
    <w:rsid w:val="0061137C"/>
    <w:rsid w:val="00627D4B"/>
    <w:rsid w:val="006936E9"/>
    <w:rsid w:val="006B515A"/>
    <w:rsid w:val="006B7AD9"/>
    <w:rsid w:val="006C3419"/>
    <w:rsid w:val="006C3B7C"/>
    <w:rsid w:val="006C4DC4"/>
    <w:rsid w:val="006D606F"/>
    <w:rsid w:val="00710BA5"/>
    <w:rsid w:val="0073596D"/>
    <w:rsid w:val="007577FE"/>
    <w:rsid w:val="00773207"/>
    <w:rsid w:val="00785DC7"/>
    <w:rsid w:val="007A1061"/>
    <w:rsid w:val="007B3431"/>
    <w:rsid w:val="007F0457"/>
    <w:rsid w:val="00807EF9"/>
    <w:rsid w:val="00822604"/>
    <w:rsid w:val="00825709"/>
    <w:rsid w:val="00826E99"/>
    <w:rsid w:val="00831723"/>
    <w:rsid w:val="00831A1B"/>
    <w:rsid w:val="00856F16"/>
    <w:rsid w:val="00897B33"/>
    <w:rsid w:val="008A47F7"/>
    <w:rsid w:val="008A6170"/>
    <w:rsid w:val="008C437C"/>
    <w:rsid w:val="009102FE"/>
    <w:rsid w:val="009169FF"/>
    <w:rsid w:val="00953444"/>
    <w:rsid w:val="00966040"/>
    <w:rsid w:val="0098609A"/>
    <w:rsid w:val="0099130F"/>
    <w:rsid w:val="00996E2C"/>
    <w:rsid w:val="009A7200"/>
    <w:rsid w:val="009B062C"/>
    <w:rsid w:val="009B2382"/>
    <w:rsid w:val="009D388D"/>
    <w:rsid w:val="00A211A3"/>
    <w:rsid w:val="00A21F79"/>
    <w:rsid w:val="00A23A18"/>
    <w:rsid w:val="00A25D2F"/>
    <w:rsid w:val="00A44E79"/>
    <w:rsid w:val="00A46BC3"/>
    <w:rsid w:val="00A53CDE"/>
    <w:rsid w:val="00A73A8F"/>
    <w:rsid w:val="00A957D4"/>
    <w:rsid w:val="00AA3079"/>
    <w:rsid w:val="00AA548E"/>
    <w:rsid w:val="00AB3866"/>
    <w:rsid w:val="00AD6102"/>
    <w:rsid w:val="00AF6A31"/>
    <w:rsid w:val="00B34690"/>
    <w:rsid w:val="00B4118E"/>
    <w:rsid w:val="00B4525E"/>
    <w:rsid w:val="00B63878"/>
    <w:rsid w:val="00B6773B"/>
    <w:rsid w:val="00B72E20"/>
    <w:rsid w:val="00BA49E9"/>
    <w:rsid w:val="00BB31B8"/>
    <w:rsid w:val="00BB56B9"/>
    <w:rsid w:val="00BD2387"/>
    <w:rsid w:val="00C25190"/>
    <w:rsid w:val="00C26380"/>
    <w:rsid w:val="00C355F7"/>
    <w:rsid w:val="00C41CE3"/>
    <w:rsid w:val="00C6276E"/>
    <w:rsid w:val="00C711BE"/>
    <w:rsid w:val="00C74D7D"/>
    <w:rsid w:val="00CA10D5"/>
    <w:rsid w:val="00CD72AB"/>
    <w:rsid w:val="00D14F2B"/>
    <w:rsid w:val="00D22448"/>
    <w:rsid w:val="00D57E17"/>
    <w:rsid w:val="00D71D51"/>
    <w:rsid w:val="00D93E86"/>
    <w:rsid w:val="00DB0275"/>
    <w:rsid w:val="00DB437C"/>
    <w:rsid w:val="00DB4A10"/>
    <w:rsid w:val="00DC0EDD"/>
    <w:rsid w:val="00DD0B09"/>
    <w:rsid w:val="00DF181A"/>
    <w:rsid w:val="00DF2597"/>
    <w:rsid w:val="00E07B00"/>
    <w:rsid w:val="00E20DB0"/>
    <w:rsid w:val="00E75082"/>
    <w:rsid w:val="00E757A4"/>
    <w:rsid w:val="00EA6D8F"/>
    <w:rsid w:val="00EB0970"/>
    <w:rsid w:val="00EC0BD6"/>
    <w:rsid w:val="00EF75A9"/>
    <w:rsid w:val="00F001AA"/>
    <w:rsid w:val="00F37C75"/>
    <w:rsid w:val="00F4558A"/>
    <w:rsid w:val="00F463F2"/>
    <w:rsid w:val="00F561EF"/>
    <w:rsid w:val="00F61733"/>
    <w:rsid w:val="00F85A1F"/>
    <w:rsid w:val="00F8772D"/>
    <w:rsid w:val="00F95E45"/>
    <w:rsid w:val="00FA663B"/>
    <w:rsid w:val="00FC2BEE"/>
    <w:rsid w:val="00FD4989"/>
    <w:rsid w:val="00FD544B"/>
    <w:rsid w:val="00FD62D0"/>
    <w:rsid w:val="00FE269E"/>
    <w:rsid w:val="00FE6E9D"/>
    <w:rsid w:val="00FF5E78"/>
    <w:rsid w:val="00FF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437E4"/>
  <w15:chartTrackingRefBased/>
  <w15:docId w15:val="{2C91AB7B-36AC-504E-B5F0-0D781DB3F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0DB0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C437C"/>
    <w:pPr>
      <w:spacing w:before="100" w:beforeAutospacing="1" w:after="100" w:afterAutospacing="1"/>
    </w:pPr>
  </w:style>
  <w:style w:type="character" w:styleId="Marquedecommentaire">
    <w:name w:val="annotation reference"/>
    <w:basedOn w:val="Policepardfaut"/>
    <w:uiPriority w:val="99"/>
    <w:semiHidden/>
    <w:unhideWhenUsed/>
    <w:rsid w:val="009102F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102FE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102FE"/>
    <w:rPr>
      <w:rFonts w:ascii="Times New Roman" w:eastAsia="Times New Roman" w:hAnsi="Times New Roman"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102F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102F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102F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102FE"/>
    <w:rPr>
      <w:rFonts w:ascii="Segoe UI" w:eastAsia="Times New Roman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AD610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D6102"/>
    <w:rPr>
      <w:rFonts w:ascii="Times New Roman" w:eastAsia="Times New Roman" w:hAnsi="Times New Roman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AD610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D610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01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7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3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77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4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06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78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56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5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59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010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74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9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55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60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8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9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93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61C875-70A5-4D8A-8C3B-C7851D3BC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268</Words>
  <Characters>1479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CHARIOT</cp:lastModifiedBy>
  <cp:revision>25</cp:revision>
  <dcterms:created xsi:type="dcterms:W3CDTF">2023-09-05T12:26:00Z</dcterms:created>
  <dcterms:modified xsi:type="dcterms:W3CDTF">2024-06-13T14:25:00Z</dcterms:modified>
</cp:coreProperties>
</file>