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D716E" w14:textId="142DBCF2" w:rsidR="008C5C82" w:rsidRPr="008C5C82" w:rsidRDefault="008C5C82" w:rsidP="008C5C82">
      <w:pPr>
        <w:spacing w:beforeLines="100" w:before="312"/>
        <w:rPr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FA4A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55088021"/>
      <w:r w:rsidRPr="008C5C82">
        <w:rPr>
          <w:rFonts w:ascii="Times New Roman" w:hAnsi="Times New Roman" w:cs="Times New Roman"/>
          <w:b/>
          <w:bCs/>
          <w:sz w:val="24"/>
          <w:szCs w:val="24"/>
        </w:rPr>
        <w:t xml:space="preserve">The association with overall survival in LGG patients </w:t>
      </w:r>
      <w:r w:rsidRPr="008C5C82">
        <w:rPr>
          <w:rFonts w:ascii="Times New Roman" w:hAnsi="Times New Roman" w:cs="Times New Roman" w:hint="eastAsia"/>
          <w:b/>
          <w:bCs/>
          <w:sz w:val="24"/>
          <w:szCs w:val="24"/>
        </w:rPr>
        <w:t>in</w:t>
      </w:r>
      <w:r w:rsidRPr="008C5C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CG</w:t>
      </w:r>
      <w:r w:rsidRPr="008C5C82">
        <w:rPr>
          <w:rFonts w:ascii="Times New Roman" w:hAnsi="Times New Roman" w:cs="Times New Roman" w:hint="eastAsia"/>
          <w:b/>
          <w:bCs/>
          <w:sz w:val="24"/>
          <w:szCs w:val="24"/>
        </w:rPr>
        <w:t>GA</w:t>
      </w:r>
      <w:bookmarkEnd w:id="0"/>
      <w:r w:rsidRPr="008C5C8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51336E9" w14:textId="35CB9BE1" w:rsidR="008C5C82" w:rsidRDefault="008C5C82" w:rsidP="008C5C82">
      <w:pPr>
        <w:tabs>
          <w:tab w:val="left" w:pos="2295"/>
        </w:tabs>
        <w:rPr>
          <w:rFonts w:ascii="Times New Roman" w:hAnsi="Times New Roman" w:cs="Times New Roman"/>
          <w:sz w:val="24"/>
          <w:szCs w:val="24"/>
        </w:rPr>
        <w:sectPr w:rsidR="008C5C82" w:rsidSect="00BC10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82DC8A" wp14:editId="5518DC63">
            <wp:extent cx="5267325" cy="2724150"/>
            <wp:effectExtent l="0" t="0" r="9525" b="0"/>
            <wp:docPr id="20852405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A06F8" w14:textId="4DBE0847" w:rsidR="00E47B9D" w:rsidRPr="00E47B9D" w:rsidRDefault="00E47B9D" w:rsidP="00E47B9D">
      <w:pPr>
        <w:tabs>
          <w:tab w:val="left" w:pos="84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E47B9D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Pr="00E47B9D">
        <w:rPr>
          <w:rFonts w:ascii="Times New Roman" w:hAnsi="Times New Roman" w:cs="Times New Roman"/>
          <w:b/>
          <w:bCs/>
          <w:sz w:val="24"/>
          <w:szCs w:val="24"/>
        </w:rPr>
        <w:t>risk score was unrelated to gender</w:t>
      </w:r>
    </w:p>
    <w:p w14:paraId="5C6D3881" w14:textId="0A2124A3" w:rsidR="00E47B9D" w:rsidRPr="00E47B9D" w:rsidRDefault="00E47B9D" w:rsidP="00E47B9D">
      <w:pPr>
        <w:tabs>
          <w:tab w:val="left" w:pos="840"/>
        </w:tabs>
        <w:rPr>
          <w:rFonts w:ascii="Times New Roman" w:hAnsi="Times New Roman" w:cs="Times New Roman"/>
          <w:b/>
          <w:bCs/>
          <w:sz w:val="24"/>
          <w:szCs w:val="24"/>
        </w:rPr>
        <w:sectPr w:rsidR="00E47B9D" w:rsidRPr="00E47B9D" w:rsidSect="00BC10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7B9D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01F7BBB" wp14:editId="30AD79A9">
            <wp:extent cx="5267325" cy="3048000"/>
            <wp:effectExtent l="0" t="0" r="9525" b="0"/>
            <wp:docPr id="84332762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BB628" w14:textId="6DA3FAC8" w:rsidR="00FA4AAD" w:rsidRDefault="00FA4AAD" w:rsidP="00FA4AAD">
      <w:pPr>
        <w:spacing w:beforeLines="100" w:before="31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S3.</w:t>
      </w:r>
      <w:r w:rsidRPr="00FA4AAD">
        <w:rPr>
          <w:rFonts w:ascii="Times New Roman" w:hAnsi="Times New Roman" w:cs="Times New Roman"/>
          <w:b/>
          <w:bCs/>
          <w:sz w:val="24"/>
          <w:szCs w:val="24"/>
        </w:rPr>
        <w:t xml:space="preserve"> Detailed analyses of risk scores in relation to key clinicopathological factors across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CGGA</w:t>
      </w:r>
      <w:r w:rsidRPr="00FA4AAD">
        <w:rPr>
          <w:rFonts w:ascii="Times New Roman" w:hAnsi="Times New Roman" w:cs="Times New Roman"/>
          <w:b/>
          <w:bCs/>
          <w:sz w:val="24"/>
          <w:szCs w:val="24"/>
        </w:rPr>
        <w:t xml:space="preserve"> datasets.</w:t>
      </w:r>
    </w:p>
    <w:p w14:paraId="5871F533" w14:textId="46D8CCA8" w:rsidR="00FA4AAD" w:rsidRDefault="00FA4AAD" w:rsidP="00FA4AAD">
      <w:pPr>
        <w:spacing w:beforeLines="100" w:before="312"/>
        <w:rPr>
          <w:rFonts w:ascii="Times New Roman" w:hAnsi="Times New Roman" w:cs="Times New Roman"/>
          <w:b/>
          <w:bCs/>
          <w:sz w:val="24"/>
          <w:szCs w:val="24"/>
        </w:rPr>
        <w:sectPr w:rsidR="00FA4AAD" w:rsidSect="00BC10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0" distR="0" wp14:anchorId="31CC35D9" wp14:editId="0E35E82F">
            <wp:extent cx="5274310" cy="4609082"/>
            <wp:effectExtent l="0" t="0" r="2540" b="1270"/>
            <wp:docPr id="3075629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CD3D0" w14:textId="3C859E59" w:rsidR="00FA4AAD" w:rsidRPr="00F23972" w:rsidRDefault="00FA4AAD" w:rsidP="00FA4AAD">
      <w:pPr>
        <w:spacing w:beforeLines="100" w:before="31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S4. </w:t>
      </w:r>
      <w:r w:rsidRPr="00F23972">
        <w:rPr>
          <w:rFonts w:ascii="Times New Roman" w:hAnsi="Times New Roman" w:cs="Times New Roman"/>
          <w:b/>
          <w:bCs/>
          <w:sz w:val="24"/>
          <w:szCs w:val="24"/>
        </w:rPr>
        <w:t>Correlation of the PLPS With the Immune Landscape of LGG Microenvironment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CGGA dataset.</w:t>
      </w:r>
    </w:p>
    <w:p w14:paraId="1BD72BC2" w14:textId="1B00AA2C" w:rsidR="008940A1" w:rsidRDefault="00F76C93">
      <w:r>
        <w:rPr>
          <w:noProof/>
        </w:rPr>
        <w:drawing>
          <wp:inline distT="0" distB="0" distL="0" distR="0" wp14:anchorId="1B36BBAF" wp14:editId="576D08C1">
            <wp:extent cx="5276850" cy="5219700"/>
            <wp:effectExtent l="0" t="0" r="0" b="0"/>
            <wp:docPr id="1151182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4AAD">
        <w:rPr>
          <w:rFonts w:hint="eastAsia"/>
        </w:rPr>
        <w:t>,</w:t>
      </w:r>
    </w:p>
    <w:sectPr w:rsidR="008940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B63EB" w14:textId="77777777" w:rsidR="00BC10A4" w:rsidRDefault="00BC10A4" w:rsidP="006F3455">
      <w:r>
        <w:separator/>
      </w:r>
    </w:p>
  </w:endnote>
  <w:endnote w:type="continuationSeparator" w:id="0">
    <w:p w14:paraId="097B2A62" w14:textId="77777777" w:rsidR="00BC10A4" w:rsidRDefault="00BC10A4" w:rsidP="006F3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E1DDF" w14:textId="77777777" w:rsidR="00BC10A4" w:rsidRDefault="00BC10A4" w:rsidP="006F3455">
      <w:r>
        <w:separator/>
      </w:r>
    </w:p>
  </w:footnote>
  <w:footnote w:type="continuationSeparator" w:id="0">
    <w:p w14:paraId="49AD3B30" w14:textId="77777777" w:rsidR="00BC10A4" w:rsidRDefault="00BC10A4" w:rsidP="006F3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19"/>
    <w:rsid w:val="006F3455"/>
    <w:rsid w:val="008940A1"/>
    <w:rsid w:val="008C5C82"/>
    <w:rsid w:val="00B67B19"/>
    <w:rsid w:val="00BC10A4"/>
    <w:rsid w:val="00C8442D"/>
    <w:rsid w:val="00E47B9D"/>
    <w:rsid w:val="00F76C93"/>
    <w:rsid w:val="00FA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F249C"/>
  <w15:chartTrackingRefBased/>
  <w15:docId w15:val="{DEF0F47A-2352-4839-907A-D8B6C14B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4A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4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4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4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Qiao</dc:creator>
  <cp:keywords/>
  <dc:description/>
  <cp:lastModifiedBy>Zhen Qiao</cp:lastModifiedBy>
  <cp:revision>5</cp:revision>
  <dcterms:created xsi:type="dcterms:W3CDTF">2023-12-25T10:32:00Z</dcterms:created>
  <dcterms:modified xsi:type="dcterms:W3CDTF">2024-01-14T06:10:00Z</dcterms:modified>
</cp:coreProperties>
</file>