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6C5BD2" w14:textId="77777777" w:rsidR="00CD080F" w:rsidRPr="001A75D3" w:rsidRDefault="00CD080F" w:rsidP="00CD080F">
      <w:pPr>
        <w:spacing w:line="360" w:lineRule="auto"/>
        <w:jc w:val="both"/>
        <w:rPr>
          <w:rFonts w:cs="Calibri"/>
          <w:b/>
          <w:bCs/>
          <w:sz w:val="20"/>
          <w:szCs w:val="20"/>
        </w:rPr>
      </w:pPr>
      <w:r w:rsidRPr="001A75D3">
        <w:rPr>
          <w:rFonts w:cs="Calibri"/>
          <w:b/>
          <w:bCs/>
          <w:sz w:val="20"/>
          <w:szCs w:val="20"/>
        </w:rPr>
        <w:t>Supplementary Information</w:t>
      </w:r>
    </w:p>
    <w:p w14:paraId="050B4CD4" w14:textId="77777777" w:rsidR="00CD080F" w:rsidRPr="0033506E" w:rsidRDefault="00CD080F" w:rsidP="00CD080F">
      <w:pPr>
        <w:spacing w:line="360" w:lineRule="auto"/>
        <w:jc w:val="both"/>
        <w:rPr>
          <w:rFonts w:cs="Calibri"/>
          <w:sz w:val="20"/>
          <w:szCs w:val="20"/>
        </w:rPr>
      </w:pPr>
      <w:r w:rsidRPr="0033506E">
        <w:rPr>
          <w:rFonts w:cs="Calibri"/>
          <w:sz w:val="20"/>
          <w:szCs w:val="20"/>
        </w:rPr>
        <w:t>Figures S1 and S2</w:t>
      </w:r>
    </w:p>
    <w:p w14:paraId="1D8F03B6" w14:textId="77777777" w:rsidR="00CD080F" w:rsidRPr="0033506E" w:rsidRDefault="00CD080F" w:rsidP="00CD080F">
      <w:pPr>
        <w:spacing w:line="360" w:lineRule="auto"/>
        <w:jc w:val="both"/>
        <w:rPr>
          <w:rFonts w:cs="Calibri"/>
          <w:sz w:val="20"/>
          <w:szCs w:val="20"/>
        </w:rPr>
      </w:pPr>
      <w:r w:rsidRPr="0033506E">
        <w:rPr>
          <w:rFonts w:cs="Calibri"/>
          <w:sz w:val="20"/>
          <w:szCs w:val="20"/>
        </w:rPr>
        <w:t xml:space="preserve">Tables S1 and S2 </w:t>
      </w:r>
    </w:p>
    <w:p w14:paraId="128E146B" w14:textId="5C2FDC8A" w:rsidR="00CD080F" w:rsidRDefault="00CD080F" w:rsidP="00CD080F">
      <w:pPr>
        <w:spacing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71C8D25C" wp14:editId="35A0281E">
            <wp:simplePos x="0" y="0"/>
            <wp:positionH relativeFrom="column">
              <wp:posOffset>-23495</wp:posOffset>
            </wp:positionH>
            <wp:positionV relativeFrom="paragraph">
              <wp:posOffset>47625</wp:posOffset>
            </wp:positionV>
            <wp:extent cx="4935855" cy="3166110"/>
            <wp:effectExtent l="0" t="0" r="0" b="0"/>
            <wp:wrapSquare wrapText="bothSides"/>
            <wp:docPr id="203041135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855" cy="316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B2024B" w14:textId="77777777" w:rsidR="00CD080F" w:rsidRDefault="00CD080F" w:rsidP="00CD080F">
      <w:pPr>
        <w:spacing w:line="360" w:lineRule="auto"/>
        <w:jc w:val="both"/>
        <w:rPr>
          <w:rFonts w:cs="Calibri"/>
          <w:sz w:val="24"/>
          <w:szCs w:val="24"/>
        </w:rPr>
      </w:pPr>
    </w:p>
    <w:p w14:paraId="1B0EE4A5" w14:textId="77777777" w:rsidR="00CD080F" w:rsidRDefault="00CD080F" w:rsidP="00CD080F">
      <w:pPr>
        <w:spacing w:line="360" w:lineRule="auto"/>
        <w:jc w:val="both"/>
        <w:rPr>
          <w:rFonts w:cs="Calibri"/>
          <w:sz w:val="24"/>
          <w:szCs w:val="24"/>
        </w:rPr>
      </w:pPr>
    </w:p>
    <w:p w14:paraId="256648E9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6007EA9C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2AC045F4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2D486EF8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4ED5E4F4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7EBD3BB4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3CA86B24" w14:textId="5E50CB1E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403B0371" wp14:editId="1F997CAD">
            <wp:simplePos x="0" y="0"/>
            <wp:positionH relativeFrom="column">
              <wp:posOffset>161925</wp:posOffset>
            </wp:positionH>
            <wp:positionV relativeFrom="paragraph">
              <wp:posOffset>3810</wp:posOffset>
            </wp:positionV>
            <wp:extent cx="4733925" cy="3516630"/>
            <wp:effectExtent l="0" t="0" r="9525" b="7620"/>
            <wp:wrapSquare wrapText="bothSides"/>
            <wp:docPr id="34745463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351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231C92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720BD45E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4ADF175A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6B8FC59D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059D03C9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73A6F149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6683715B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5BA0A95E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3D8E57E9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18CF5A8A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65D13241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2581C474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7E5A4BA3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6914A094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57612B0D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45BD7108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0FA61B8C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727B82F4" w14:textId="62063067" w:rsidR="00CD080F" w:rsidRPr="00955B97" w:rsidRDefault="00CD080F" w:rsidP="00CD080F">
      <w:pPr>
        <w:jc w:val="both"/>
        <w:rPr>
          <w:rFonts w:cs="Calibri"/>
          <w:sz w:val="20"/>
          <w:szCs w:val="20"/>
        </w:rPr>
      </w:pPr>
      <w:r>
        <w:rPr>
          <w:rFonts w:cs="Calibri"/>
          <w:b/>
          <w:bCs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2FFCECF" wp14:editId="32E6F9B4">
            <wp:simplePos x="0" y="0"/>
            <wp:positionH relativeFrom="column">
              <wp:posOffset>161925</wp:posOffset>
            </wp:positionH>
            <wp:positionV relativeFrom="paragraph">
              <wp:posOffset>-899795</wp:posOffset>
            </wp:positionV>
            <wp:extent cx="2979420" cy="3486150"/>
            <wp:effectExtent l="0" t="0" r="0" b="0"/>
            <wp:wrapSquare wrapText="bothSides"/>
            <wp:docPr id="702308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42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Calibri"/>
          <w:b/>
          <w:bCs/>
          <w:kern w:val="0"/>
          <w:sz w:val="20"/>
          <w:szCs w:val="20"/>
        </w:rPr>
        <w:t xml:space="preserve">Fig S1 </w:t>
      </w:r>
      <w:r w:rsidRPr="00955B97">
        <w:rPr>
          <w:rFonts w:cs="Calibri"/>
          <w:color w:val="0D0D0D"/>
          <w:sz w:val="20"/>
          <w:szCs w:val="20"/>
          <w:shd w:val="clear" w:color="auto" w:fill="FFFFFF"/>
        </w:rPr>
        <w:t>CYP46A1 does not induce the autophagy of alpha-syn via the CMA autophagy pathway.</w:t>
      </w:r>
      <w:r>
        <w:rPr>
          <w:rFonts w:cs="Calibri"/>
          <w:sz w:val="20"/>
          <w:szCs w:val="20"/>
        </w:rPr>
        <w:t xml:space="preserve"> </w:t>
      </w:r>
      <w:r w:rsidRPr="00955B97">
        <w:rPr>
          <w:rFonts w:cs="Calibri"/>
          <w:color w:val="0D0D0D"/>
          <w:sz w:val="20"/>
          <w:szCs w:val="20"/>
          <w:shd w:val="clear" w:color="auto" w:fill="FFFFFF"/>
        </w:rPr>
        <w:t>SH-SY5Y cells were co-transfected with either siRNA targeting Lamp2A or control siRNA along wild-type alpha-syn and either CYP46A1 or GFP for 48 hours</w:t>
      </w:r>
      <w:r w:rsidRPr="00955B97">
        <w:rPr>
          <w:rFonts w:cs="Calibri"/>
          <w:kern w:val="0"/>
          <w:sz w:val="20"/>
          <w:szCs w:val="20"/>
        </w:rPr>
        <w:t>.</w:t>
      </w:r>
      <w:r w:rsidRPr="00955B97">
        <w:rPr>
          <w:rFonts w:cs="Calibri"/>
          <w:sz w:val="20"/>
          <w:szCs w:val="20"/>
        </w:rPr>
        <w:t xml:space="preserve"> </w:t>
      </w:r>
      <w:r w:rsidRPr="00955B97">
        <w:rPr>
          <w:rFonts w:cs="Calibri"/>
          <w:color w:val="0D0D0D"/>
          <w:sz w:val="20"/>
          <w:szCs w:val="20"/>
          <w:shd w:val="clear" w:color="auto" w:fill="FFFFFF"/>
        </w:rPr>
        <w:t>The western blot analysis revealed a reduction in Lamp2A expression following transfection with Lamp2A siRNA (50 nM) compared to cells transfected with control siRNA. Overexpression of human CYP46A1 resulted in a decrease in human alpha-syn levels. However, inhibition of chaperone-mediated autophagy pathway by siRNA targeting Lamp2A did not result in the accumulation of alpha-syn, suggesting that CYP46A1 does not induce CMA autophagy</w:t>
      </w:r>
    </w:p>
    <w:p w14:paraId="075BB438" w14:textId="77777777" w:rsidR="00CD080F" w:rsidRPr="00955B97" w:rsidRDefault="00CD080F" w:rsidP="00CD080F">
      <w:pPr>
        <w:jc w:val="both"/>
        <w:rPr>
          <w:rFonts w:cs="Calibri"/>
          <w:b/>
          <w:bCs/>
          <w:sz w:val="20"/>
          <w:szCs w:val="20"/>
        </w:rPr>
      </w:pPr>
    </w:p>
    <w:p w14:paraId="641D7945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59C23D5B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0BB8BE7A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49700FCF" w14:textId="752DFB0E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1AAD9CFD" wp14:editId="112C8D1B">
            <wp:simplePos x="0" y="0"/>
            <wp:positionH relativeFrom="column">
              <wp:posOffset>-76200</wp:posOffset>
            </wp:positionH>
            <wp:positionV relativeFrom="paragraph">
              <wp:posOffset>-308610</wp:posOffset>
            </wp:positionV>
            <wp:extent cx="3805555" cy="2355215"/>
            <wp:effectExtent l="0" t="0" r="4445" b="6985"/>
            <wp:wrapSquare wrapText="bothSides"/>
            <wp:docPr id="12790037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555" cy="2355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1B4898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10BCEB9A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3AA73A81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3C7C2C3F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02BA4E5F" w14:textId="77777777" w:rsidR="00CD080F" w:rsidRDefault="00CD080F" w:rsidP="00CD080F">
      <w:pPr>
        <w:jc w:val="both"/>
        <w:rPr>
          <w:rFonts w:cs="Calibri"/>
          <w:b/>
          <w:bCs/>
          <w:kern w:val="0"/>
          <w:sz w:val="20"/>
          <w:szCs w:val="20"/>
        </w:rPr>
      </w:pPr>
    </w:p>
    <w:p w14:paraId="405D520D" w14:textId="77777777" w:rsidR="00CD080F" w:rsidRPr="001A75D3" w:rsidRDefault="00CD080F" w:rsidP="00CD080F">
      <w:pPr>
        <w:jc w:val="both"/>
        <w:rPr>
          <w:rFonts w:cs="Calibri"/>
          <w:b/>
          <w:bCs/>
          <w:color w:val="0D0D0D"/>
          <w:sz w:val="20"/>
          <w:szCs w:val="20"/>
          <w:shd w:val="clear" w:color="auto" w:fill="FFFFFF"/>
        </w:rPr>
      </w:pPr>
      <w:r w:rsidRPr="00955B97">
        <w:rPr>
          <w:rFonts w:cs="Calibri"/>
          <w:b/>
          <w:bCs/>
          <w:kern w:val="0"/>
          <w:sz w:val="20"/>
          <w:szCs w:val="20"/>
        </w:rPr>
        <w:t xml:space="preserve">Fig. S2 </w:t>
      </w:r>
      <w:r w:rsidRPr="00955B97">
        <w:rPr>
          <w:rFonts w:cs="Calibri"/>
          <w:color w:val="0D0D0D"/>
          <w:sz w:val="20"/>
          <w:szCs w:val="20"/>
          <w:shd w:val="clear" w:color="auto" w:fill="FFFFFF"/>
        </w:rPr>
        <w:t>CYP46A1 does not promote the degradation of alpha-syn by the proteasome.</w:t>
      </w:r>
      <w:r>
        <w:rPr>
          <w:rFonts w:cs="Calibri"/>
          <w:b/>
          <w:bCs/>
          <w:color w:val="0D0D0D"/>
          <w:sz w:val="20"/>
          <w:szCs w:val="20"/>
          <w:shd w:val="clear" w:color="auto" w:fill="FFFFFF"/>
        </w:rPr>
        <w:t xml:space="preserve"> </w:t>
      </w:r>
      <w:r w:rsidRPr="00955B97">
        <w:rPr>
          <w:rFonts w:cs="Calibri"/>
          <w:color w:val="0D0D0D"/>
          <w:sz w:val="20"/>
          <w:szCs w:val="20"/>
          <w:shd w:val="clear" w:color="auto" w:fill="FFFFFF"/>
        </w:rPr>
        <w:t>SH-SY5Y cells were co-transfected with alpha-syn and either GFP or CYP46A1 for 36 hours or left not transfected (NT), followed by treatment with the proteasome inhibitor MG132 or left untreated.</w:t>
      </w:r>
      <w:r w:rsidRPr="00955B97">
        <w:rPr>
          <w:rFonts w:cs="Calibri"/>
          <w:sz w:val="20"/>
          <w:szCs w:val="20"/>
        </w:rPr>
        <w:t xml:space="preserve"> Protein samples were analyzed by western blot using antibodies against HA, GFP, actin and human alpha-syn (left panel) and anti-ubiquitin and actin (right panel). Actin protein levels served as a loading control. </w:t>
      </w:r>
      <w:r w:rsidRPr="00955B97">
        <w:rPr>
          <w:rFonts w:cs="Calibri"/>
          <w:color w:val="0D0D0D"/>
          <w:sz w:val="20"/>
          <w:szCs w:val="20"/>
          <w:shd w:val="clear" w:color="auto" w:fill="FFFFFF"/>
        </w:rPr>
        <w:t>The ratio of alpha-syn protein levels in the presence of CYP46A1 compared to those detected with GFP, which was 2.5, remained unchanged with or without MG132</w:t>
      </w:r>
      <w:r w:rsidRPr="00955B97">
        <w:rPr>
          <w:rFonts w:cs="Calibri"/>
          <w:sz w:val="20"/>
          <w:szCs w:val="20"/>
        </w:rPr>
        <w:t xml:space="preserve">. The ubiquitin pattern of </w:t>
      </w:r>
      <w:r w:rsidRPr="00955B97">
        <w:rPr>
          <w:rFonts w:cs="Calibri"/>
          <w:sz w:val="20"/>
          <w:szCs w:val="20"/>
        </w:rPr>
        <w:lastRenderedPageBreak/>
        <w:t xml:space="preserve">(right panel, last 3 lanes) </w:t>
      </w:r>
      <w:r w:rsidRPr="00955B97">
        <w:rPr>
          <w:rFonts w:cs="Calibri"/>
          <w:color w:val="0D0D0D"/>
          <w:sz w:val="20"/>
          <w:szCs w:val="20"/>
          <w:shd w:val="clear" w:color="auto" w:fill="FFFFFF"/>
        </w:rPr>
        <w:t>exhibited a significant elevation in the presence of MG132 compared to the first lane without MG132, relative to the level of actin, indicating the effectiveness of the proteasome inhibitor MG132</w:t>
      </w:r>
    </w:p>
    <w:p w14:paraId="572197C3" w14:textId="77777777" w:rsidR="00CD080F" w:rsidRPr="00955B97" w:rsidRDefault="00CD080F" w:rsidP="00CD080F">
      <w:pPr>
        <w:jc w:val="both"/>
        <w:rPr>
          <w:rFonts w:cs="Calibri"/>
          <w:b/>
          <w:bCs/>
          <w:sz w:val="20"/>
          <w:szCs w:val="20"/>
        </w:rPr>
      </w:pPr>
    </w:p>
    <w:p w14:paraId="3EC7F8EB" w14:textId="77777777" w:rsidR="00CD080F" w:rsidRDefault="00CD080F" w:rsidP="00CD080F">
      <w:pPr>
        <w:spacing w:line="360" w:lineRule="auto"/>
        <w:jc w:val="both"/>
        <w:rPr>
          <w:rFonts w:cs="Calibri"/>
          <w:b/>
          <w:bCs/>
          <w:sz w:val="24"/>
          <w:szCs w:val="24"/>
        </w:rPr>
      </w:pPr>
    </w:p>
    <w:p w14:paraId="6A8A6A08" w14:textId="77777777" w:rsidR="00F553FF" w:rsidRDefault="00F553FF"/>
    <w:sectPr w:rsidR="00F55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80F"/>
    <w:rsid w:val="003C2EF4"/>
    <w:rsid w:val="00A10420"/>
    <w:rsid w:val="00B74216"/>
    <w:rsid w:val="00CD080F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644A20"/>
  <w15:chartTrackingRefBased/>
  <w15:docId w15:val="{2FD912D7-47F4-4EB1-B25D-206189A05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80F"/>
    <w:pPr>
      <w:suppressAutoHyphens/>
      <w:autoSpaceDN w:val="0"/>
      <w:spacing w:line="240" w:lineRule="auto"/>
    </w:pPr>
    <w:rPr>
      <w:rFonts w:ascii="Calibri" w:eastAsia="Calibri" w:hAnsi="Calibri" w:cs="Times New Roman"/>
      <w:kern w:val="3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80F"/>
    <w:pPr>
      <w:keepNext/>
      <w:keepLines/>
      <w:suppressAutoHyphens w:val="0"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80F"/>
    <w:pPr>
      <w:keepNext/>
      <w:keepLines/>
      <w:suppressAutoHyphens w:val="0"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80F"/>
    <w:pPr>
      <w:keepNext/>
      <w:keepLines/>
      <w:suppressAutoHyphens w:val="0"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80F"/>
    <w:pPr>
      <w:keepNext/>
      <w:keepLines/>
      <w:suppressAutoHyphens w:val="0"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80F"/>
    <w:pPr>
      <w:keepNext/>
      <w:keepLines/>
      <w:suppressAutoHyphens w:val="0"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80F"/>
    <w:pPr>
      <w:keepNext/>
      <w:keepLines/>
      <w:suppressAutoHyphens w:val="0"/>
      <w:autoSpaceDN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80F"/>
    <w:pPr>
      <w:keepNext/>
      <w:keepLines/>
      <w:suppressAutoHyphens w:val="0"/>
      <w:autoSpaceDN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80F"/>
    <w:pPr>
      <w:keepNext/>
      <w:keepLines/>
      <w:suppressAutoHyphens w:val="0"/>
      <w:autoSpaceDN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80F"/>
    <w:pPr>
      <w:keepNext/>
      <w:keepLines/>
      <w:suppressAutoHyphens w:val="0"/>
      <w:autoSpaceDN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0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8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8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8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8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8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8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80F"/>
    <w:pPr>
      <w:suppressAutoHyphens w:val="0"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D0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80F"/>
    <w:pPr>
      <w:numPr>
        <w:ilvl w:val="1"/>
      </w:numPr>
      <w:suppressAutoHyphens w:val="0"/>
      <w:autoSpaceDN/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D0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80F"/>
    <w:pPr>
      <w:suppressAutoHyphens w:val="0"/>
      <w:autoSpaceDN/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D08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80F"/>
    <w:pPr>
      <w:suppressAutoHyphens w:val="0"/>
      <w:autoSpaceDN/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D08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0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08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251</Words>
  <Characters>1431</Characters>
  <Application>Microsoft Office Word</Application>
  <DocSecurity>0</DocSecurity>
  <Lines>11</Lines>
  <Paragraphs>3</Paragraphs>
  <ScaleCrop>false</ScaleCrop>
  <Company>Springer Nature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2024-07-02T05:50:00Z</dcterms:created>
  <dcterms:modified xsi:type="dcterms:W3CDTF">2024-07-02T05:50:00Z</dcterms:modified>
</cp:coreProperties>
</file>