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368E3" w14:textId="77777777" w:rsidR="00234E2C" w:rsidRPr="008C6520" w:rsidRDefault="00234E2C" w:rsidP="00234E2C">
      <w:pPr>
        <w:spacing w:line="360" w:lineRule="auto"/>
        <w:rPr>
          <w:rFonts w:ascii="Times New Roman" w:hAnsi="Times New Roman" w:cs="Times New Roman"/>
          <w:color w:val="000000" w:themeColor="text1"/>
          <w:sz w:val="24"/>
          <w:szCs w:val="24"/>
        </w:rPr>
      </w:pPr>
      <w:r w:rsidRPr="008C6520">
        <w:rPr>
          <w:rFonts w:ascii="Times New Roman" w:hAnsi="Times New Roman" w:cs="Times New Roman"/>
          <w:color w:val="000000" w:themeColor="text1"/>
          <w:sz w:val="24"/>
          <w:szCs w:val="24"/>
        </w:rPr>
        <w:t xml:space="preserve">Supplementary Figure1 Comparison between 22 immune cells and four hepatocellular carcinoma (HCC) clusters. (A) The box line diagram illustrates the relationship between 22 immune infiltrating cells and four HCC clusters. (B-G) Relationship between T cell CD8(B), T cell CD4 memory activated(C), T cell CD4 memory resting(D), </w:t>
      </w:r>
      <w:r w:rsidRPr="008C6520">
        <w:rPr>
          <w:rFonts w:ascii="Times New Roman" w:hAnsi="Times New Roman" w:cs="Times New Roman" w:hint="eastAsia"/>
          <w:color w:val="000000" w:themeColor="text1"/>
          <w:sz w:val="24"/>
          <w:szCs w:val="24"/>
        </w:rPr>
        <w:t>T</w:t>
      </w:r>
      <w:r w:rsidRPr="008C6520">
        <w:rPr>
          <w:rFonts w:ascii="Times New Roman" w:hAnsi="Times New Roman" w:cs="Times New Roman"/>
          <w:color w:val="000000" w:themeColor="text1"/>
          <w:sz w:val="24"/>
          <w:szCs w:val="24"/>
        </w:rPr>
        <w:t xml:space="preserve"> cells follicular helper(E), NK cells resting(F), Eosinophils(G) and four HCC subtypes. (H-J) Box line plot form of the difference in estimate score(H), immune score(I), and stromal score(J) in four HCC Clusters. *</w:t>
      </w:r>
      <w:r w:rsidRPr="008C6520">
        <w:rPr>
          <w:rFonts w:ascii="Times New Roman" w:hAnsi="Times New Roman" w:cs="Times New Roman"/>
          <w:i/>
          <w:iCs/>
          <w:color w:val="000000" w:themeColor="text1"/>
          <w:sz w:val="24"/>
          <w:szCs w:val="24"/>
        </w:rPr>
        <w:t>p</w:t>
      </w:r>
      <w:r w:rsidRPr="008C6520">
        <w:rPr>
          <w:rFonts w:ascii="Times New Roman" w:hAnsi="Times New Roman" w:cs="Times New Roman"/>
          <w:color w:val="000000" w:themeColor="text1"/>
          <w:sz w:val="24"/>
          <w:szCs w:val="24"/>
        </w:rPr>
        <w:t>&lt;0.05, **</w:t>
      </w:r>
      <w:r w:rsidRPr="008C6520">
        <w:rPr>
          <w:rFonts w:ascii="Times New Roman" w:hAnsi="Times New Roman" w:cs="Times New Roman"/>
          <w:i/>
          <w:iCs/>
          <w:color w:val="000000" w:themeColor="text1"/>
          <w:sz w:val="24"/>
          <w:szCs w:val="24"/>
        </w:rPr>
        <w:t>p</w:t>
      </w:r>
      <w:r w:rsidRPr="008C6520">
        <w:rPr>
          <w:rFonts w:ascii="Times New Roman" w:hAnsi="Times New Roman" w:cs="Times New Roman"/>
          <w:color w:val="000000" w:themeColor="text1"/>
          <w:sz w:val="24"/>
          <w:szCs w:val="24"/>
        </w:rPr>
        <w:t>&lt;0.01.</w:t>
      </w:r>
    </w:p>
    <w:p w14:paraId="555B82F0" w14:textId="631B7EC6" w:rsidR="00234E2C" w:rsidRPr="008C6520" w:rsidRDefault="00234E2C" w:rsidP="00234E2C">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30DB5F40" wp14:editId="3FD8070F">
            <wp:extent cx="5274310" cy="5911215"/>
            <wp:effectExtent l="0" t="0" r="2540" b="0"/>
            <wp:docPr id="18712514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251474" name="图片 1871251474"/>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5911215"/>
                    </a:xfrm>
                    <a:prstGeom prst="rect">
                      <a:avLst/>
                    </a:prstGeom>
                  </pic:spPr>
                </pic:pic>
              </a:graphicData>
            </a:graphic>
          </wp:inline>
        </w:drawing>
      </w:r>
    </w:p>
    <w:p w14:paraId="32BB0D0D" w14:textId="77777777" w:rsidR="00234E2C" w:rsidRDefault="00234E2C" w:rsidP="00234E2C">
      <w:pPr>
        <w:spacing w:line="360" w:lineRule="auto"/>
        <w:rPr>
          <w:rFonts w:ascii="Times New Roman" w:hAnsi="Times New Roman" w:cs="Times New Roman"/>
          <w:color w:val="000000" w:themeColor="text1"/>
          <w:sz w:val="24"/>
          <w:szCs w:val="24"/>
        </w:rPr>
      </w:pPr>
      <w:r w:rsidRPr="008C6520">
        <w:rPr>
          <w:rFonts w:ascii="Times New Roman" w:hAnsi="Times New Roman" w:cs="Times New Roman"/>
          <w:color w:val="000000" w:themeColor="text1"/>
          <w:sz w:val="24"/>
          <w:szCs w:val="24"/>
        </w:rPr>
        <w:t xml:space="preserve">Supplementary Figure2 Establishment and validation of prognostic </w:t>
      </w:r>
      <w:proofErr w:type="spellStart"/>
      <w:r w:rsidRPr="008C6520">
        <w:rPr>
          <w:rFonts w:ascii="Times New Roman" w:hAnsi="Times New Roman" w:cs="Times New Roman"/>
          <w:color w:val="000000" w:themeColor="text1"/>
          <w:sz w:val="24"/>
          <w:szCs w:val="24"/>
        </w:rPr>
        <w:t>anoikis</w:t>
      </w:r>
      <w:proofErr w:type="spellEnd"/>
      <w:r w:rsidRPr="008C6520">
        <w:rPr>
          <w:rFonts w:ascii="Times New Roman" w:hAnsi="Times New Roman" w:cs="Times New Roman"/>
          <w:color w:val="000000" w:themeColor="text1"/>
          <w:sz w:val="24"/>
          <w:szCs w:val="24"/>
        </w:rPr>
        <w:t xml:space="preserve">-related differentially expressed genes (PARDEGs) in the TCGA cohort. (A-B) Kaplan–Meier analysis of overall survival between the PARDEGs score groups and (C-D) </w:t>
      </w:r>
      <w:r w:rsidRPr="008C6520">
        <w:rPr>
          <w:rFonts w:ascii="Times New Roman" w:hAnsi="Times New Roman" w:cs="Times New Roman" w:hint="eastAsia"/>
          <w:color w:val="000000" w:themeColor="text1"/>
          <w:sz w:val="24"/>
          <w:szCs w:val="24"/>
        </w:rPr>
        <w:t>area</w:t>
      </w:r>
      <w:r w:rsidRPr="008C6520">
        <w:rPr>
          <w:rFonts w:ascii="Times New Roman" w:hAnsi="Times New Roman" w:cs="Times New Roman"/>
          <w:color w:val="000000" w:themeColor="text1"/>
          <w:sz w:val="24"/>
          <w:szCs w:val="24"/>
        </w:rPr>
        <w:t xml:space="preserve"> under </w:t>
      </w:r>
      <w:r w:rsidRPr="008C6520">
        <w:rPr>
          <w:rFonts w:ascii="Times New Roman" w:hAnsi="Times New Roman" w:cs="Times New Roman"/>
          <w:color w:val="000000" w:themeColor="text1"/>
          <w:sz w:val="24"/>
          <w:szCs w:val="24"/>
        </w:rPr>
        <w:lastRenderedPageBreak/>
        <w:t>curve (AUC) value were shown in the training and validation dataset, respectively. We randomized HCC patients with full survival status and clinical features in the TCGA dataset into training and validation groups in a 7:3 ratio. (E-G) Kaplan–Meier analysis of DFS (E), DSS (F), and PFS (G) between the PARDEGs score groups in the TCGA dataset.</w:t>
      </w:r>
    </w:p>
    <w:p w14:paraId="6ACC60BC" w14:textId="6FC1212D" w:rsidR="00234E2C" w:rsidRPr="008C6520" w:rsidRDefault="00234E2C" w:rsidP="00234E2C">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5F22BA46" wp14:editId="5B03E794">
            <wp:extent cx="5274310" cy="5429250"/>
            <wp:effectExtent l="0" t="0" r="2540" b="0"/>
            <wp:docPr id="102700047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000479" name="图片 102700047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5429250"/>
                    </a:xfrm>
                    <a:prstGeom prst="rect">
                      <a:avLst/>
                    </a:prstGeom>
                  </pic:spPr>
                </pic:pic>
              </a:graphicData>
            </a:graphic>
          </wp:inline>
        </w:drawing>
      </w:r>
    </w:p>
    <w:p w14:paraId="4CF079B9" w14:textId="77777777" w:rsidR="00234E2C" w:rsidRDefault="00234E2C" w:rsidP="00234E2C">
      <w:pPr>
        <w:spacing w:line="360" w:lineRule="auto"/>
        <w:rPr>
          <w:rFonts w:ascii="Times New Roman" w:hAnsi="Times New Roman" w:cs="Times New Roman"/>
          <w:color w:val="000000" w:themeColor="text1"/>
          <w:sz w:val="24"/>
          <w:szCs w:val="24"/>
        </w:rPr>
      </w:pPr>
      <w:r w:rsidRPr="008C6520">
        <w:rPr>
          <w:rFonts w:ascii="Times New Roman" w:hAnsi="Times New Roman" w:cs="Times New Roman"/>
          <w:color w:val="000000" w:themeColor="text1"/>
          <w:sz w:val="24"/>
          <w:szCs w:val="24"/>
        </w:rPr>
        <w:t xml:space="preserve">Supplementary Figure3 Prognostic Relationship between prognostic </w:t>
      </w:r>
      <w:proofErr w:type="spellStart"/>
      <w:r w:rsidRPr="008C6520">
        <w:rPr>
          <w:rFonts w:ascii="Times New Roman" w:hAnsi="Times New Roman" w:cs="Times New Roman"/>
          <w:color w:val="000000" w:themeColor="text1"/>
          <w:sz w:val="24"/>
          <w:szCs w:val="24"/>
        </w:rPr>
        <w:t>anoikis</w:t>
      </w:r>
      <w:proofErr w:type="spellEnd"/>
      <w:r w:rsidRPr="008C6520">
        <w:rPr>
          <w:rFonts w:ascii="Times New Roman" w:hAnsi="Times New Roman" w:cs="Times New Roman"/>
          <w:color w:val="000000" w:themeColor="text1"/>
          <w:sz w:val="24"/>
          <w:szCs w:val="24"/>
        </w:rPr>
        <w:t xml:space="preserve">-related differentially expressed genes (PARDEGs) and clinical features in ICGC dataset. </w:t>
      </w:r>
      <w:r w:rsidRPr="008C6520">
        <w:rPr>
          <w:rFonts w:ascii="Times New Roman" w:hAnsi="Times New Roman" w:cs="Times New Roman" w:hint="eastAsia"/>
          <w:color w:val="000000" w:themeColor="text1"/>
          <w:sz w:val="24"/>
          <w:szCs w:val="24"/>
        </w:rPr>
        <w:t>(</w:t>
      </w:r>
      <w:r w:rsidRPr="008C6520">
        <w:rPr>
          <w:rFonts w:ascii="Times New Roman" w:hAnsi="Times New Roman" w:cs="Times New Roman"/>
          <w:color w:val="000000" w:themeColor="text1"/>
          <w:sz w:val="24"/>
          <w:szCs w:val="24"/>
        </w:rPr>
        <w:t>A-D) Overall survival of KM analysis between PARDEGs and age(A), gender(B), cancer history(C) and stage(D).</w:t>
      </w:r>
    </w:p>
    <w:p w14:paraId="5F46AC33" w14:textId="50208720" w:rsidR="00234E2C" w:rsidRPr="008C6520" w:rsidRDefault="00234E2C" w:rsidP="00234E2C">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0AECABD2" wp14:editId="50FED37B">
            <wp:extent cx="5274310" cy="2237740"/>
            <wp:effectExtent l="0" t="0" r="2540" b="0"/>
            <wp:docPr id="17145413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541315" name="图片 171454131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237740"/>
                    </a:xfrm>
                    <a:prstGeom prst="rect">
                      <a:avLst/>
                    </a:prstGeom>
                  </pic:spPr>
                </pic:pic>
              </a:graphicData>
            </a:graphic>
          </wp:inline>
        </w:drawing>
      </w:r>
    </w:p>
    <w:p w14:paraId="407A8B6B" w14:textId="77777777" w:rsidR="00234E2C" w:rsidRDefault="00234E2C" w:rsidP="00234E2C">
      <w:pPr>
        <w:spacing w:line="360" w:lineRule="auto"/>
        <w:rPr>
          <w:rFonts w:ascii="Times New Roman" w:hAnsi="Times New Roman" w:cs="Times New Roman"/>
          <w:color w:val="000000" w:themeColor="text1"/>
          <w:sz w:val="24"/>
          <w:szCs w:val="24"/>
        </w:rPr>
      </w:pPr>
      <w:r w:rsidRPr="008C6520">
        <w:rPr>
          <w:rFonts w:ascii="Times New Roman" w:hAnsi="Times New Roman" w:cs="Times New Roman"/>
          <w:color w:val="000000" w:themeColor="text1"/>
          <w:sz w:val="24"/>
          <w:szCs w:val="24"/>
        </w:rPr>
        <w:t xml:space="preserve">Supplementary Figure4 Prognostic Relationship between prognostic </w:t>
      </w:r>
      <w:proofErr w:type="spellStart"/>
      <w:r w:rsidRPr="008C6520">
        <w:rPr>
          <w:rFonts w:ascii="Times New Roman" w:hAnsi="Times New Roman" w:cs="Times New Roman"/>
          <w:color w:val="000000" w:themeColor="text1"/>
          <w:sz w:val="24"/>
          <w:szCs w:val="24"/>
        </w:rPr>
        <w:t>anoikis</w:t>
      </w:r>
      <w:proofErr w:type="spellEnd"/>
      <w:r w:rsidRPr="008C6520">
        <w:rPr>
          <w:rFonts w:ascii="Times New Roman" w:hAnsi="Times New Roman" w:cs="Times New Roman"/>
          <w:color w:val="000000" w:themeColor="text1"/>
          <w:sz w:val="24"/>
          <w:szCs w:val="24"/>
        </w:rPr>
        <w:t xml:space="preserve">-related differentially expressed genes (PARDEGs) and clinical features in the GSE14520 dataset. </w:t>
      </w:r>
      <w:r w:rsidRPr="008C6520">
        <w:rPr>
          <w:rFonts w:ascii="Times New Roman" w:hAnsi="Times New Roman" w:cs="Times New Roman" w:hint="eastAsia"/>
          <w:color w:val="000000" w:themeColor="text1"/>
          <w:sz w:val="24"/>
          <w:szCs w:val="24"/>
        </w:rPr>
        <w:t>(</w:t>
      </w:r>
      <w:r w:rsidRPr="008C6520">
        <w:rPr>
          <w:rFonts w:ascii="Times New Roman" w:hAnsi="Times New Roman" w:cs="Times New Roman"/>
          <w:color w:val="000000" w:themeColor="text1"/>
          <w:sz w:val="24"/>
          <w:szCs w:val="24"/>
        </w:rPr>
        <w:t>A-E) overall survival of KM analysis between PARDEGs and AFP(A), age(B), gender(C), stage(D) and tumor size(E).</w:t>
      </w:r>
    </w:p>
    <w:p w14:paraId="1BAA3E13" w14:textId="6AEE0E68" w:rsidR="00234E2C" w:rsidRPr="008C6520" w:rsidRDefault="00234E2C" w:rsidP="00234E2C">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49AB9102" wp14:editId="03B850C2">
            <wp:extent cx="5274310" cy="3354070"/>
            <wp:effectExtent l="0" t="0" r="2540" b="0"/>
            <wp:docPr id="143242690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426901" name="图片 143242690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354070"/>
                    </a:xfrm>
                    <a:prstGeom prst="rect">
                      <a:avLst/>
                    </a:prstGeom>
                  </pic:spPr>
                </pic:pic>
              </a:graphicData>
            </a:graphic>
          </wp:inline>
        </w:drawing>
      </w:r>
    </w:p>
    <w:p w14:paraId="38436036" w14:textId="77777777" w:rsidR="00234E2C" w:rsidRDefault="00234E2C" w:rsidP="00234E2C">
      <w:pPr>
        <w:spacing w:line="360" w:lineRule="auto"/>
        <w:rPr>
          <w:rFonts w:ascii="Times New Roman" w:hAnsi="Times New Roman" w:cs="Times New Roman"/>
          <w:color w:val="000000" w:themeColor="text1"/>
          <w:sz w:val="24"/>
          <w:szCs w:val="24"/>
        </w:rPr>
      </w:pPr>
      <w:r w:rsidRPr="008C6520">
        <w:rPr>
          <w:rFonts w:ascii="Times New Roman" w:hAnsi="Times New Roman" w:cs="Times New Roman"/>
          <w:color w:val="000000" w:themeColor="text1"/>
          <w:sz w:val="24"/>
          <w:szCs w:val="24"/>
        </w:rPr>
        <w:t>S</w:t>
      </w:r>
      <w:r w:rsidRPr="008C6520">
        <w:rPr>
          <w:rFonts w:ascii="Times New Roman" w:hAnsi="Times New Roman" w:cs="Times New Roman" w:hint="eastAsia"/>
          <w:color w:val="000000" w:themeColor="text1"/>
          <w:sz w:val="24"/>
          <w:szCs w:val="24"/>
        </w:rPr>
        <w:t>upplementary</w:t>
      </w:r>
      <w:r w:rsidRPr="008C6520">
        <w:rPr>
          <w:rFonts w:ascii="Times New Roman" w:hAnsi="Times New Roman" w:cs="Times New Roman"/>
          <w:color w:val="000000" w:themeColor="text1"/>
          <w:sz w:val="24"/>
          <w:szCs w:val="24"/>
        </w:rPr>
        <w:t xml:space="preserve"> Figure5</w:t>
      </w:r>
      <w:r w:rsidRPr="008C6520">
        <w:rPr>
          <w:color w:val="000000" w:themeColor="text1"/>
        </w:rPr>
        <w:t xml:space="preserve"> </w:t>
      </w:r>
      <w:r w:rsidRPr="008C6520">
        <w:rPr>
          <w:rFonts w:ascii="Times New Roman" w:hAnsi="Times New Roman" w:cs="Times New Roman"/>
          <w:color w:val="000000" w:themeColor="text1"/>
          <w:sz w:val="24"/>
          <w:szCs w:val="24"/>
        </w:rPr>
        <w:t xml:space="preserve">Comparison of models. (A-E) overall survival of KM analysis of our constructed model (A) compared to previously published models(B-E). (F) Confidence intervals for different models. (G-K) receiver operating characteristic (ROC) curves of our constructed model (G) compared to previously published models(H-K). (L)concordance index(C-index) of our constructed model compared to previously published models. </w:t>
      </w:r>
    </w:p>
    <w:p w14:paraId="36779F28" w14:textId="7327139C" w:rsidR="00234E2C" w:rsidRPr="008C6520" w:rsidRDefault="00234E2C" w:rsidP="00234E2C">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3D284960" wp14:editId="03DE56E5">
            <wp:extent cx="5274310" cy="6508750"/>
            <wp:effectExtent l="0" t="0" r="2540" b="6350"/>
            <wp:docPr id="49365204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652049" name="图片 4936520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6508750"/>
                    </a:xfrm>
                    <a:prstGeom prst="rect">
                      <a:avLst/>
                    </a:prstGeom>
                  </pic:spPr>
                </pic:pic>
              </a:graphicData>
            </a:graphic>
          </wp:inline>
        </w:drawing>
      </w:r>
    </w:p>
    <w:p w14:paraId="0BCED761" w14:textId="77777777" w:rsidR="00234E2C" w:rsidRDefault="00234E2C" w:rsidP="00234E2C">
      <w:pPr>
        <w:spacing w:line="360" w:lineRule="auto"/>
        <w:rPr>
          <w:rFonts w:ascii="Times New Roman" w:hAnsi="Times New Roman" w:cs="Times New Roman"/>
          <w:color w:val="000000" w:themeColor="text1"/>
          <w:sz w:val="24"/>
          <w:szCs w:val="24"/>
        </w:rPr>
      </w:pPr>
      <w:r w:rsidRPr="008C6520">
        <w:rPr>
          <w:rFonts w:ascii="Times New Roman" w:hAnsi="Times New Roman" w:cs="Times New Roman"/>
          <w:color w:val="000000" w:themeColor="text1"/>
          <w:sz w:val="24"/>
          <w:szCs w:val="24"/>
        </w:rPr>
        <w:t>S</w:t>
      </w:r>
      <w:r w:rsidRPr="008C6520">
        <w:rPr>
          <w:rFonts w:ascii="Times New Roman" w:hAnsi="Times New Roman" w:cs="Times New Roman" w:hint="eastAsia"/>
          <w:color w:val="000000" w:themeColor="text1"/>
          <w:sz w:val="24"/>
          <w:szCs w:val="24"/>
        </w:rPr>
        <w:t>upplementary</w:t>
      </w:r>
      <w:r w:rsidRPr="008C6520">
        <w:rPr>
          <w:rFonts w:ascii="Times New Roman" w:hAnsi="Times New Roman" w:cs="Times New Roman"/>
          <w:color w:val="000000" w:themeColor="text1"/>
          <w:sz w:val="24"/>
          <w:szCs w:val="24"/>
        </w:rPr>
        <w:t xml:space="preserve"> Figure6 Risk score profile of prognostic </w:t>
      </w:r>
      <w:proofErr w:type="spellStart"/>
      <w:r w:rsidRPr="008C6520">
        <w:rPr>
          <w:rFonts w:ascii="Times New Roman" w:hAnsi="Times New Roman" w:cs="Times New Roman"/>
          <w:color w:val="000000" w:themeColor="text1"/>
          <w:sz w:val="24"/>
          <w:szCs w:val="24"/>
        </w:rPr>
        <w:t>anoikis</w:t>
      </w:r>
      <w:proofErr w:type="spellEnd"/>
      <w:r w:rsidRPr="008C6520">
        <w:rPr>
          <w:rFonts w:ascii="Times New Roman" w:hAnsi="Times New Roman" w:cs="Times New Roman"/>
          <w:color w:val="000000" w:themeColor="text1"/>
          <w:sz w:val="24"/>
          <w:szCs w:val="24"/>
        </w:rPr>
        <w:t>-related differentially expressed genes (PARDEGs) with different clinical characteristics in ICGC (A-D) age(A), gender(B), cancer history(C) and stage(D).</w:t>
      </w:r>
      <w:r w:rsidRPr="008C6520">
        <w:rPr>
          <w:rFonts w:ascii="Times New Roman" w:hAnsi="Times New Roman" w:cs="Times New Roman" w:hint="eastAsia"/>
          <w:color w:val="000000" w:themeColor="text1"/>
          <w:sz w:val="24"/>
          <w:szCs w:val="24"/>
        </w:rPr>
        <w:t xml:space="preserve"> </w:t>
      </w:r>
    </w:p>
    <w:p w14:paraId="1C8D531E" w14:textId="303C58EC" w:rsidR="00234E2C" w:rsidRPr="008C6520" w:rsidRDefault="00234E2C" w:rsidP="00234E2C">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162C204A" wp14:editId="715C7AC2">
            <wp:extent cx="5274310" cy="4587875"/>
            <wp:effectExtent l="0" t="0" r="2540" b="3175"/>
            <wp:docPr id="1401184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18425" name="图片 14011842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587875"/>
                    </a:xfrm>
                    <a:prstGeom prst="rect">
                      <a:avLst/>
                    </a:prstGeom>
                  </pic:spPr>
                </pic:pic>
              </a:graphicData>
            </a:graphic>
          </wp:inline>
        </w:drawing>
      </w:r>
    </w:p>
    <w:p w14:paraId="19295CF6" w14:textId="77777777" w:rsidR="00234E2C" w:rsidRDefault="00234E2C" w:rsidP="00234E2C">
      <w:pPr>
        <w:spacing w:line="360" w:lineRule="auto"/>
        <w:rPr>
          <w:rFonts w:ascii="Times New Roman" w:hAnsi="Times New Roman" w:cs="Times New Roman"/>
          <w:color w:val="000000" w:themeColor="text1"/>
          <w:sz w:val="24"/>
          <w:szCs w:val="24"/>
        </w:rPr>
      </w:pPr>
      <w:r w:rsidRPr="008C6520">
        <w:rPr>
          <w:rFonts w:ascii="Times New Roman" w:hAnsi="Times New Roman" w:cs="Times New Roman"/>
          <w:color w:val="000000" w:themeColor="text1"/>
          <w:sz w:val="24"/>
          <w:szCs w:val="24"/>
        </w:rPr>
        <w:t>S</w:t>
      </w:r>
      <w:r w:rsidRPr="008C6520">
        <w:rPr>
          <w:rFonts w:ascii="Times New Roman" w:hAnsi="Times New Roman" w:cs="Times New Roman" w:hint="eastAsia"/>
          <w:color w:val="000000" w:themeColor="text1"/>
          <w:sz w:val="24"/>
          <w:szCs w:val="24"/>
        </w:rPr>
        <w:t>upplementary</w:t>
      </w:r>
      <w:r w:rsidRPr="008C6520">
        <w:rPr>
          <w:rFonts w:ascii="Times New Roman" w:hAnsi="Times New Roman" w:cs="Times New Roman"/>
          <w:color w:val="000000" w:themeColor="text1"/>
          <w:sz w:val="24"/>
          <w:szCs w:val="24"/>
        </w:rPr>
        <w:t xml:space="preserve"> Figure7 Risk score profile of prognostic </w:t>
      </w:r>
      <w:proofErr w:type="spellStart"/>
      <w:r w:rsidRPr="008C6520">
        <w:rPr>
          <w:rFonts w:ascii="Times New Roman" w:hAnsi="Times New Roman" w:cs="Times New Roman"/>
          <w:color w:val="000000" w:themeColor="text1"/>
          <w:sz w:val="24"/>
          <w:szCs w:val="24"/>
        </w:rPr>
        <w:t>anoikis</w:t>
      </w:r>
      <w:proofErr w:type="spellEnd"/>
      <w:r w:rsidRPr="008C6520">
        <w:rPr>
          <w:rFonts w:ascii="Times New Roman" w:hAnsi="Times New Roman" w:cs="Times New Roman"/>
          <w:color w:val="000000" w:themeColor="text1"/>
          <w:sz w:val="24"/>
          <w:szCs w:val="24"/>
        </w:rPr>
        <w:t>-related differentially expressed genes (PARDEGs) with different clinical characteristics in GSE14520</w:t>
      </w:r>
      <w:r w:rsidRPr="008C6520">
        <w:rPr>
          <w:rFonts w:ascii="Times New Roman" w:hAnsi="Times New Roman" w:cs="Times New Roman" w:hint="eastAsia"/>
          <w:color w:val="000000" w:themeColor="text1"/>
          <w:sz w:val="24"/>
          <w:szCs w:val="24"/>
        </w:rPr>
        <w:t>.</w:t>
      </w:r>
      <w:r w:rsidRPr="008C6520">
        <w:rPr>
          <w:rFonts w:ascii="Times New Roman" w:hAnsi="Times New Roman" w:cs="Times New Roman"/>
          <w:color w:val="000000" w:themeColor="text1"/>
          <w:sz w:val="24"/>
          <w:szCs w:val="24"/>
        </w:rPr>
        <w:t xml:space="preserve"> (A-I) AFP(A), age(B), ALT(C), Cirrhosis(D), gender(E), HBV viral status(F), multinodular (G), immunological prediction(H) and tumor size(I).</w:t>
      </w:r>
    </w:p>
    <w:p w14:paraId="28BE759E" w14:textId="7D0C15F2" w:rsidR="00CA498C" w:rsidRPr="00CC2A9E" w:rsidRDefault="00234E2C" w:rsidP="00CC2A9E">
      <w:pPr>
        <w:spacing w:line="360" w:lineRule="auto"/>
        <w:rPr>
          <w:rFonts w:ascii="Times New Roman" w:hAnsi="Times New Roman" w:cs="Times New Roman" w:hint="eastAsia"/>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1F5AE679" wp14:editId="7E4327D8">
            <wp:extent cx="5274310" cy="4950460"/>
            <wp:effectExtent l="0" t="0" r="2540" b="2540"/>
            <wp:docPr id="170069396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693964" name="图片 170069396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950460"/>
                    </a:xfrm>
                    <a:prstGeom prst="rect">
                      <a:avLst/>
                    </a:prstGeom>
                  </pic:spPr>
                </pic:pic>
              </a:graphicData>
            </a:graphic>
          </wp:inline>
        </w:drawing>
      </w:r>
    </w:p>
    <w:sectPr w:rsidR="00CA498C" w:rsidRPr="00CC2A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E2C"/>
    <w:rsid w:val="00234E2C"/>
    <w:rsid w:val="00CA498C"/>
    <w:rsid w:val="00CC2A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CBD72D"/>
  <w15:chartTrackingRefBased/>
  <w15:docId w15:val="{83BF4013-D5A8-490E-94C0-F9F410B0D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4E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348</Words>
  <Characters>2304</Characters>
  <Application>Microsoft Office Word</Application>
  <DocSecurity>0</DocSecurity>
  <Lines>43</Lines>
  <Paragraphs>7</Paragraphs>
  <ScaleCrop>false</ScaleCrop>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gou</dc:creator>
  <cp:keywords/>
  <dc:description/>
  <cp:lastModifiedBy>S gou</cp:lastModifiedBy>
  <cp:revision>1</cp:revision>
  <dcterms:created xsi:type="dcterms:W3CDTF">2024-01-08T06:34:00Z</dcterms:created>
  <dcterms:modified xsi:type="dcterms:W3CDTF">2024-01-08T06:49:00Z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9dd04021-9dd0-46a9-bca1-7239640bf3e7</vt:lpwstr>
  </property>
</Properties>
</file>