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outlineLvl w:val="0"/>
        <w:rPr>
          <w:rFonts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Supplemental 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zh-CN"/>
        </w:rPr>
        <w:t>ables</w:t>
      </w:r>
    </w:p>
    <w:p>
      <w:pPr>
        <w:spacing w:line="240" w:lineRule="auto"/>
        <w:ind w:firstLine="0"/>
        <w:rPr>
          <w:rFonts w:hint="default" w:ascii="Times New Roman Bold" w:hAnsi="Times New Roman Bold" w:eastAsia="宋体" w:cs="Times New Roman Bold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Table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 Bold" w:hAnsi="Times New Roman Bold" w:eastAsia="宋体" w:cs="Times New Roman Bold"/>
          <w:b/>
          <w:bCs/>
          <w:color w:val="000000"/>
          <w:sz w:val="24"/>
          <w:szCs w:val="24"/>
          <w:lang w:val="en-US" w:eastAsia="zh-CN"/>
        </w:rPr>
        <w:t>1</w:t>
      </w:r>
    </w:p>
    <w:p>
      <w:pPr>
        <w:spacing w:line="240" w:lineRule="auto"/>
        <w:ind w:firstLine="0"/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lang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Descriptive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s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tatistics for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c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ontinuous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v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>ariables</w:t>
      </w:r>
    </w:p>
    <w:tbl>
      <w:tblPr>
        <w:tblStyle w:val="2"/>
        <w:tblW w:w="72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2777"/>
        <w:gridCol w:w="1079"/>
        <w:gridCol w:w="1146"/>
        <w:gridCol w:w="9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Name of Variable</w:t>
            </w:r>
          </w:p>
        </w:tc>
        <w:tc>
          <w:tcPr>
            <w:tcW w:w="4126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Explanation</w:t>
            </w:r>
          </w:p>
        </w:tc>
        <w:tc>
          <w:tcPr>
            <w:tcW w:w="1418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Mean</w:t>
            </w:r>
          </w:p>
        </w:tc>
        <w:tc>
          <w:tcPr>
            <w:tcW w:w="1559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SD</w:t>
            </w:r>
          </w:p>
        </w:tc>
        <w:tc>
          <w:tcPr>
            <w:tcW w:w="1076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Range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4126" w:type="dxa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Child’s Age (4-17)</w:t>
            </w:r>
          </w:p>
        </w:tc>
        <w:tc>
          <w:tcPr>
            <w:tcW w:w="1418" w:type="dxa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9.44</w:t>
            </w:r>
          </w:p>
        </w:tc>
        <w:tc>
          <w:tcPr>
            <w:tcW w:w="1559" w:type="dxa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3.88</w:t>
            </w:r>
          </w:p>
        </w:tc>
        <w:tc>
          <w:tcPr>
            <w:tcW w:w="1076" w:type="dxa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4-16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OtherAbus</w:t>
            </w:r>
          </w:p>
        </w:tc>
        <w:tc>
          <w:tcPr>
            <w:tcW w:w="4126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Sum of severity rating for other types of Abuse Allegations (Sexual Abuse, Neglect, Drug) during a given age interval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0.29</w:t>
            </w: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1.09</w:t>
            </w:r>
          </w:p>
        </w:tc>
        <w:tc>
          <w:tcPr>
            <w:tcW w:w="1076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0-19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CB4TINT</w:t>
            </w:r>
          </w:p>
        </w:tc>
        <w:tc>
          <w:tcPr>
            <w:tcW w:w="4126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T Score for internalizing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50.39</w:t>
            </w: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10.77</w:t>
            </w:r>
          </w:p>
        </w:tc>
        <w:tc>
          <w:tcPr>
            <w:tcW w:w="1076" w:type="dxa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31-100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0" w:type="auto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CB4TEXT</w:t>
            </w:r>
          </w:p>
        </w:tc>
        <w:tc>
          <w:tcPr>
            <w:tcW w:w="4126" w:type="dxa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T Score for externalizing</w:t>
            </w:r>
          </w:p>
        </w:tc>
        <w:tc>
          <w:tcPr>
            <w:tcW w:w="1418" w:type="dxa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54.44</w:t>
            </w:r>
          </w:p>
        </w:tc>
        <w:tc>
          <w:tcPr>
            <w:tcW w:w="1559" w:type="dxa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11.43</w:t>
            </w:r>
          </w:p>
        </w:tc>
        <w:tc>
          <w:tcPr>
            <w:tcW w:w="1076" w:type="dxa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31-100</w:t>
            </w:r>
          </w:p>
        </w:tc>
      </w:tr>
    </w:tbl>
    <w:p>
      <w:pPr>
        <w:spacing w:line="240" w:lineRule="auto"/>
        <w:ind w:firstLine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 </w:t>
      </w:r>
    </w:p>
    <w:p>
      <w:pPr>
        <w:spacing w:line="240" w:lineRule="auto"/>
        <w:ind w:firstLine="0"/>
        <w:rPr>
          <w:rFonts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Table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2</w:t>
      </w:r>
    </w:p>
    <w:p>
      <w:pPr>
        <w:spacing w:line="240" w:lineRule="auto"/>
        <w:ind w:firstLine="0"/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lang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Frequency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t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able for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c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 xml:space="preserve">ategorical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val="en-US" w:eastAsia="zh-CN"/>
        </w:rPr>
        <w:t>v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sz w:val="24"/>
          <w:szCs w:val="24"/>
          <w:lang w:eastAsia="zh-CN"/>
        </w:rPr>
        <w:t>ariables</w:t>
      </w:r>
    </w:p>
    <w:tbl>
      <w:tblPr>
        <w:tblStyle w:val="2"/>
        <w:tblW w:w="72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9"/>
        <w:gridCol w:w="1423"/>
        <w:gridCol w:w="1598"/>
        <w:gridCol w:w="1650"/>
      </w:tblGrid>
      <w:tr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Name of Variable</w:t>
            </w:r>
          </w:p>
        </w:tc>
        <w:tc>
          <w:tcPr>
            <w:tcW w:w="0" w:type="auto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Category</w:t>
            </w:r>
          </w:p>
        </w:tc>
        <w:tc>
          <w:tcPr>
            <w:tcW w:w="0" w:type="auto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Frequency</w:t>
            </w:r>
          </w:p>
        </w:tc>
        <w:tc>
          <w:tcPr>
            <w:tcW w:w="0" w:type="auto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Percentage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Female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686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51.46%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Male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48.54%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Race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Black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721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54.09%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Hispanic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7.28%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Mixed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12.08%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White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354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26.56%</w:t>
            </w:r>
          </w:p>
        </w:tc>
      </w:tr>
    </w:tbl>
    <w:p>
      <w:pPr>
        <w:spacing w:line="240" w:lineRule="auto"/>
        <w:ind w:firstLine="0"/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</w:pPr>
    </w:p>
    <w:p>
      <w:pPr>
        <w:spacing w:line="240" w:lineRule="auto"/>
        <w:ind w:firstLine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Table 3</w:t>
      </w:r>
    </w:p>
    <w:p>
      <w:pPr>
        <w:spacing w:line="240" w:lineRule="auto"/>
        <w:ind w:firstLine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>Fixed and random effects estimates for internalizing and externalizing behaviors</w:t>
      </w:r>
    </w:p>
    <w:tbl>
      <w:tblPr>
        <w:tblStyle w:val="2"/>
        <w:tblW w:w="842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1642"/>
        <w:gridCol w:w="1876"/>
        <w:gridCol w:w="1366"/>
        <w:gridCol w:w="1876"/>
        <w:gridCol w:w="12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Fixed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ffects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Coefficient (standard error)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-value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Coefficient (standard error)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-value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Intercept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51.27 (0.50)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56.18 (0.57)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0.66 (0.09)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-0.41 (0.08)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Age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4"/>
                <w:szCs w:val="14"/>
                <w:vertAlign w:val="superscript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-0.07 (0.01)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0.02 (0.01)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Female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-0.58 (0.43)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0.176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0.46 (0.49)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0.354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Black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-2.56 (0.51)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-2.07 (0.58)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Hispanic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-2.17 (0.89)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0.015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-2.96 (1.03)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0.004</w:t>
            </w:r>
          </w:p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Mixed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-0.96 (0.74)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0.200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0.59 (0.86)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0.494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gridSpan w:val="6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Timing of physical abuse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 xml:space="preserve">Age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4-6</w:t>
            </w:r>
          </w:p>
        </w:tc>
        <w:tc>
          <w:tcPr>
            <w:tcW w:w="0" w:type="auto"/>
            <w:tcBorders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0.95 (0.79)</w:t>
            </w:r>
          </w:p>
        </w:tc>
        <w:tc>
          <w:tcPr>
            <w:tcW w:w="0" w:type="auto"/>
            <w:tcBorders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0.231</w:t>
            </w:r>
          </w:p>
        </w:tc>
        <w:tc>
          <w:tcPr>
            <w:tcW w:w="0" w:type="auto"/>
            <w:tcBorders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1.56 (0.89)</w:t>
            </w:r>
          </w:p>
        </w:tc>
        <w:tc>
          <w:tcPr>
            <w:tcW w:w="0" w:type="auto"/>
            <w:tcBorders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6-8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1.28 (0.74)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0.084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1.80 (0.75)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0.016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8-10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3.59 (0.82)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2.81 (0.80)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10-12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0.97 (0.90)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0.285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0.37 (0.88)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0.673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12-14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0.19 (0.81)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0.812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1.54 (0.78)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0.048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14-16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3.27 (1.03)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0.002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3.23 (1.00)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vertAlign w:val="superscript"/>
                <w:lang w:eastAsia="zh-CN"/>
              </w:rPr>
              <w:t>**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Age 16-17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7.67 (1.70)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  <w:lang w:eastAsia="zh-CN"/>
              </w:rPr>
              <w:t>***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2.20 (1.62)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0.176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Other abuse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0.04 (0.10)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0.686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0.17 (0.09)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7.10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8.85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0.73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0.78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Level-1 error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7.28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6.86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</w:tcPr>
          <w:p>
            <w:pPr>
              <w:spacing w:line="240" w:lineRule="auto"/>
              <w:ind w:left="140"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right="140"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Intraclass correlation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-0.26</w:t>
            </w:r>
          </w:p>
        </w:tc>
        <w:tc>
          <w:tcPr>
            <w:tcW w:w="0" w:type="auto"/>
            <w:gridSpan w:val="2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left="140" w:right="140" w:firstLine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-0.35</w:t>
            </w:r>
          </w:p>
        </w:tc>
      </w:tr>
    </w:tbl>
    <w:p>
      <w:pPr>
        <w:spacing w:line="240" w:lineRule="auto"/>
        <w:ind w:firstLine="0"/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</w:pPr>
    </w:p>
    <w:p>
      <w:pPr>
        <w:spacing w:line="240" w:lineRule="auto"/>
        <w:ind w:firstLine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Supplemental 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  <w:lang w:eastAsia="zh-CN"/>
        </w:rPr>
        <w:t>Table 4</w:t>
      </w:r>
    </w:p>
    <w:p>
      <w:pPr>
        <w:spacing w:line="240" w:lineRule="auto"/>
        <w:ind w:firstLine="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Constructed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b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inary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v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ariables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r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epresenting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hysical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a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buse at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d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ifferent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a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 xml:space="preserve">ge 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i</w:t>
      </w:r>
      <w:r>
        <w:rPr>
          <w:rFonts w:ascii="Times New Roman" w:hAnsi="Times New Roman" w:eastAsia="宋体" w:cs="Times New Roman"/>
          <w:i/>
          <w:iCs/>
          <w:color w:val="000000"/>
          <w:sz w:val="24"/>
          <w:szCs w:val="24"/>
          <w:lang w:eastAsia="zh-CN"/>
        </w:rPr>
        <w:t>ntervals</w:t>
      </w:r>
    </w:p>
    <w:tbl>
      <w:tblPr>
        <w:tblStyle w:val="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2867"/>
        <w:gridCol w:w="1460"/>
        <w:gridCol w:w="320"/>
        <w:gridCol w:w="320"/>
        <w:gridCol w:w="320"/>
        <w:gridCol w:w="440"/>
        <w:gridCol w:w="440"/>
        <w:gridCol w:w="440"/>
        <w:gridCol w:w="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</w:p>
        </w:tc>
        <w:tc>
          <w:tcPr>
            <w:tcW w:w="0" w:type="auto"/>
            <w:vMerge w:val="restart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Original PhyAbu variable</w:t>
            </w:r>
          </w:p>
        </w:tc>
        <w:tc>
          <w:tcPr>
            <w:tcW w:w="0" w:type="auto"/>
            <w:vMerge w:val="restart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Age interval</w:t>
            </w:r>
          </w:p>
        </w:tc>
        <w:tc>
          <w:tcPr>
            <w:tcW w:w="0" w:type="auto"/>
            <w:gridSpan w:val="7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HasPhyAbuAge_age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NW30226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7F7F7F" w:sz="6" w:space="0"/>
              <w:bottom w:val="single" w:color="7F7F7F" w:sz="6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7F7F7F" w:sz="6" w:space="0"/>
              <w:bottom w:val="single" w:color="7F7F7F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TkzODFlMzYxZWJhNTY2NWVhYTJkZTc1NzRkYzMifQ=="/>
  </w:docVars>
  <w:rsids>
    <w:rsidRoot w:val="3F82533A"/>
    <w:rsid w:val="3F82533A"/>
    <w:rsid w:val="5ABC1740"/>
    <w:rsid w:val="7FEB3937"/>
    <w:rsid w:val="7FF529CE"/>
    <w:rsid w:val="FCFDFEC6"/>
    <w:rsid w:val="FF5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1596</Characters>
  <Lines>0</Lines>
  <Paragraphs>0</Paragraphs>
  <TotalTime>11</TotalTime>
  <ScaleCrop>false</ScaleCrop>
  <LinksUpToDate>false</LinksUpToDate>
  <CharactersWithSpaces>1727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2024-06-05T06:07:00Z</dcterms:created>
  <dc:creator>Yihong</dc:creator>
  <cp:lastModifiedBy>Yihong</cp:lastModifiedBy>
  <dcterms:modified xsi:type="dcterms:W3CDTF">2024-06-06T10:04:12Z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A727C52D86EA4E56A7D7101F768A7FF2_13</vt:lpwstr>
  </property>
</Properties>
</file>