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603574" w14:textId="41EF66CF" w:rsidR="00C149C2" w:rsidRPr="00495BF5" w:rsidRDefault="00C149C2" w:rsidP="00C149C2">
      <w:pPr>
        <w:jc w:val="center"/>
        <w:rPr>
          <w:rFonts w:ascii="Times New Roman" w:hAnsi="Times New Roman"/>
          <w:b/>
          <w:bCs/>
          <w:sz w:val="20"/>
          <w:lang w:val="en-US"/>
        </w:rPr>
      </w:pPr>
      <w:bookmarkStart w:id="0" w:name="_Hlk166843364"/>
      <w:bookmarkStart w:id="1" w:name="_Hlk77602187"/>
      <w:bookmarkStart w:id="2" w:name="_Toc125499560"/>
      <w:bookmarkStart w:id="3" w:name="_Toc126757441"/>
      <w:r w:rsidRPr="00495BF5">
        <w:rPr>
          <w:rFonts w:ascii="Times New Roman" w:hAnsi="Times New Roman"/>
          <w:b/>
          <w:bCs/>
          <w:lang w:val="en-US"/>
        </w:rPr>
        <w:t xml:space="preserve">Nano-priming of </w:t>
      </w:r>
      <w:r w:rsidRPr="00495BF5">
        <w:rPr>
          <w:rFonts w:ascii="Times New Roman" w:hAnsi="Times New Roman"/>
          <w:b/>
          <w:bCs/>
          <w:i/>
          <w:iCs/>
          <w:lang w:val="en-US"/>
        </w:rPr>
        <w:t xml:space="preserve">Phaseolus vulgaris </w:t>
      </w:r>
      <w:r w:rsidRPr="00495BF5">
        <w:rPr>
          <w:rFonts w:ascii="Times New Roman" w:hAnsi="Times New Roman"/>
          <w:b/>
          <w:bCs/>
          <w:lang w:val="en-US"/>
        </w:rPr>
        <w:t>OTI cultivar with cobalt ferrite nanoparticles enhances the mineral composition of progeny seeds</w:t>
      </w:r>
    </w:p>
    <w:p w14:paraId="49EF6813" w14:textId="77777777" w:rsidR="00C149C2" w:rsidRPr="002C14DD" w:rsidRDefault="00C149C2" w:rsidP="00C149C2">
      <w:pPr>
        <w:spacing w:after="0"/>
        <w:jc w:val="left"/>
        <w:rPr>
          <w:rFonts w:ascii="Times New Roman" w:hAnsi="Times New Roman"/>
          <w:sz w:val="20"/>
          <w:vertAlign w:val="superscript"/>
        </w:rPr>
      </w:pPr>
      <w:r w:rsidRPr="002C14DD">
        <w:rPr>
          <w:rFonts w:ascii="Times New Roman" w:hAnsi="Times New Roman"/>
          <w:sz w:val="20"/>
        </w:rPr>
        <w:t>Yazmín Stefani Perea-</w:t>
      </w:r>
      <w:proofErr w:type="spellStart"/>
      <w:r w:rsidRPr="002C14DD">
        <w:rPr>
          <w:rFonts w:ascii="Times New Roman" w:hAnsi="Times New Roman"/>
          <w:sz w:val="20"/>
        </w:rPr>
        <w:t>Vélez</w:t>
      </w:r>
      <w:r w:rsidRPr="002C14DD">
        <w:rPr>
          <w:rFonts w:ascii="Times New Roman" w:hAnsi="Times New Roman"/>
          <w:sz w:val="20"/>
          <w:vertAlign w:val="superscript"/>
        </w:rPr>
        <w:t>a</w:t>
      </w:r>
      <w:proofErr w:type="spellEnd"/>
      <w:r w:rsidRPr="002C14DD">
        <w:rPr>
          <w:rFonts w:ascii="Times New Roman" w:hAnsi="Times New Roman"/>
          <w:sz w:val="20"/>
        </w:rPr>
        <w:t xml:space="preserve">, Rogelio Carrillo </w:t>
      </w:r>
      <w:proofErr w:type="spellStart"/>
      <w:r w:rsidRPr="002C14DD">
        <w:rPr>
          <w:rFonts w:ascii="Times New Roman" w:hAnsi="Times New Roman"/>
          <w:sz w:val="20"/>
        </w:rPr>
        <w:t>González</w:t>
      </w:r>
      <w:r w:rsidRPr="002C14DD">
        <w:rPr>
          <w:rFonts w:ascii="Times New Roman" w:hAnsi="Times New Roman"/>
          <w:sz w:val="20"/>
          <w:vertAlign w:val="superscript"/>
        </w:rPr>
        <w:t>a</w:t>
      </w:r>
      <w:proofErr w:type="spellEnd"/>
      <w:r w:rsidRPr="002C14DD">
        <w:rPr>
          <w:rFonts w:ascii="Times New Roman" w:hAnsi="Times New Roman"/>
          <w:sz w:val="20"/>
        </w:rPr>
        <w:t>, Ma. del Carmen A. González-</w:t>
      </w:r>
      <w:proofErr w:type="spellStart"/>
      <w:r w:rsidRPr="002C14DD">
        <w:rPr>
          <w:rFonts w:ascii="Times New Roman" w:hAnsi="Times New Roman"/>
          <w:sz w:val="20"/>
        </w:rPr>
        <w:t>Chávez</w:t>
      </w:r>
      <w:r w:rsidRPr="002C14DD">
        <w:rPr>
          <w:rFonts w:ascii="Times New Roman" w:hAnsi="Times New Roman"/>
          <w:sz w:val="20"/>
          <w:vertAlign w:val="superscript"/>
        </w:rPr>
        <w:t>a</w:t>
      </w:r>
      <w:proofErr w:type="spellEnd"/>
      <w:r w:rsidRPr="002C14DD">
        <w:rPr>
          <w:rFonts w:ascii="Times New Roman" w:hAnsi="Times New Roman"/>
          <w:sz w:val="20"/>
          <w:lang w:val="es-ES"/>
        </w:rPr>
        <w:t>†</w:t>
      </w:r>
      <w:r w:rsidRPr="002C14DD">
        <w:rPr>
          <w:rFonts w:ascii="Times New Roman" w:hAnsi="Times New Roman"/>
          <w:sz w:val="20"/>
        </w:rPr>
        <w:t xml:space="preserve">, Jaco </w:t>
      </w:r>
      <w:proofErr w:type="spellStart"/>
      <w:r w:rsidRPr="002C14DD">
        <w:rPr>
          <w:rFonts w:ascii="Times New Roman" w:hAnsi="Times New Roman"/>
          <w:sz w:val="20"/>
        </w:rPr>
        <w:t>Vangronsveld</w:t>
      </w:r>
      <w:r w:rsidRPr="002C14DD">
        <w:rPr>
          <w:rFonts w:ascii="Times New Roman" w:hAnsi="Times New Roman"/>
          <w:sz w:val="20"/>
          <w:vertAlign w:val="superscript"/>
        </w:rPr>
        <w:t>bc</w:t>
      </w:r>
      <w:proofErr w:type="spellEnd"/>
      <w:r w:rsidRPr="002C14DD">
        <w:rPr>
          <w:rFonts w:ascii="Times New Roman" w:hAnsi="Times New Roman"/>
          <w:sz w:val="20"/>
        </w:rPr>
        <w:t xml:space="preserve">, Daniel Tapia </w:t>
      </w:r>
      <w:proofErr w:type="spellStart"/>
      <w:r w:rsidRPr="002C14DD">
        <w:rPr>
          <w:rFonts w:ascii="Times New Roman" w:hAnsi="Times New Roman"/>
          <w:sz w:val="20"/>
        </w:rPr>
        <w:t>Maruri</w:t>
      </w:r>
      <w:r w:rsidRPr="002C14DD">
        <w:rPr>
          <w:rFonts w:ascii="Times New Roman" w:hAnsi="Times New Roman"/>
          <w:sz w:val="20"/>
          <w:vertAlign w:val="superscript"/>
        </w:rPr>
        <w:t>d</w:t>
      </w:r>
      <w:proofErr w:type="spellEnd"/>
      <w:r w:rsidRPr="002C14DD">
        <w:rPr>
          <w:rFonts w:ascii="Times New Roman" w:hAnsi="Times New Roman"/>
          <w:sz w:val="20"/>
        </w:rPr>
        <w:t xml:space="preserve">, Jaime López </w:t>
      </w:r>
      <w:proofErr w:type="spellStart"/>
      <w:r w:rsidRPr="002C14DD">
        <w:rPr>
          <w:rFonts w:ascii="Times New Roman" w:hAnsi="Times New Roman"/>
          <w:sz w:val="20"/>
        </w:rPr>
        <w:t>Luna</w:t>
      </w:r>
      <w:r w:rsidRPr="002C14DD">
        <w:rPr>
          <w:rFonts w:ascii="Times New Roman" w:hAnsi="Times New Roman"/>
          <w:sz w:val="20"/>
          <w:vertAlign w:val="superscript"/>
        </w:rPr>
        <w:t>e</w:t>
      </w:r>
      <w:proofErr w:type="spellEnd"/>
    </w:p>
    <w:p w14:paraId="00787EF1" w14:textId="77777777" w:rsidR="00C149C2" w:rsidRPr="00495BF5" w:rsidRDefault="00C149C2" w:rsidP="00C149C2">
      <w:pPr>
        <w:spacing w:after="0"/>
        <w:jc w:val="left"/>
        <w:rPr>
          <w:rFonts w:ascii="Times New Roman" w:hAnsi="Times New Roman"/>
          <w:sz w:val="20"/>
          <w:lang w:val="en-US"/>
        </w:rPr>
      </w:pPr>
      <w:r w:rsidRPr="002C14DD">
        <w:rPr>
          <w:rFonts w:ascii="Times New Roman" w:hAnsi="Times New Roman"/>
          <w:sz w:val="20"/>
          <w:vertAlign w:val="superscript"/>
        </w:rPr>
        <w:t>a</w:t>
      </w:r>
      <w:r w:rsidRPr="002C14DD">
        <w:rPr>
          <w:rFonts w:ascii="Times New Roman" w:hAnsi="Times New Roman"/>
          <w:sz w:val="20"/>
        </w:rPr>
        <w:t xml:space="preserve"> Colegio de Postgraduados, Campus Montecillo, Carretera México-Texcoco, Texcoco, Edo. de México. </w:t>
      </w:r>
      <w:r w:rsidRPr="00495BF5">
        <w:rPr>
          <w:rFonts w:ascii="Times New Roman" w:hAnsi="Times New Roman"/>
          <w:sz w:val="20"/>
          <w:lang w:val="en-US"/>
        </w:rPr>
        <w:t>56264, Mexico</w:t>
      </w:r>
    </w:p>
    <w:p w14:paraId="29AA9574" w14:textId="77777777" w:rsidR="00C149C2" w:rsidRPr="00495BF5" w:rsidRDefault="00C149C2" w:rsidP="00C149C2">
      <w:pPr>
        <w:spacing w:after="0"/>
        <w:jc w:val="left"/>
        <w:rPr>
          <w:rFonts w:ascii="Times New Roman" w:hAnsi="Times New Roman"/>
          <w:sz w:val="20"/>
          <w:lang w:val="en-US"/>
        </w:rPr>
      </w:pPr>
      <w:r w:rsidRPr="00495BF5">
        <w:rPr>
          <w:rFonts w:ascii="Times New Roman" w:hAnsi="Times New Roman"/>
          <w:sz w:val="20"/>
          <w:vertAlign w:val="superscript"/>
          <w:lang w:val="en-US"/>
        </w:rPr>
        <w:t xml:space="preserve">b </w:t>
      </w:r>
      <w:r w:rsidRPr="00495BF5">
        <w:rPr>
          <w:rFonts w:ascii="Times New Roman" w:hAnsi="Times New Roman"/>
          <w:sz w:val="20"/>
          <w:lang w:val="en-US"/>
        </w:rPr>
        <w:t xml:space="preserve">Environmental Biology, Centre for Environmental Sciences, Hasselt University, </w:t>
      </w:r>
      <w:proofErr w:type="spellStart"/>
      <w:r w:rsidRPr="00495BF5">
        <w:rPr>
          <w:rFonts w:ascii="Times New Roman" w:hAnsi="Times New Roman"/>
          <w:sz w:val="20"/>
          <w:lang w:val="en-US"/>
        </w:rPr>
        <w:t>Agoralaan</w:t>
      </w:r>
      <w:proofErr w:type="spellEnd"/>
      <w:r w:rsidRPr="00495BF5">
        <w:rPr>
          <w:rFonts w:ascii="Times New Roman" w:hAnsi="Times New Roman"/>
          <w:sz w:val="20"/>
          <w:lang w:val="en-US"/>
        </w:rPr>
        <w:t xml:space="preserve">, building D, 3590 </w:t>
      </w:r>
      <w:proofErr w:type="spellStart"/>
      <w:r w:rsidRPr="00495BF5">
        <w:rPr>
          <w:rFonts w:ascii="Times New Roman" w:hAnsi="Times New Roman"/>
          <w:sz w:val="20"/>
          <w:lang w:val="en-US"/>
        </w:rPr>
        <w:t>Diepenbeek</w:t>
      </w:r>
      <w:proofErr w:type="spellEnd"/>
      <w:r w:rsidRPr="00495BF5">
        <w:rPr>
          <w:rFonts w:ascii="Times New Roman" w:hAnsi="Times New Roman"/>
          <w:sz w:val="20"/>
          <w:lang w:val="en-US"/>
        </w:rPr>
        <w:t>, Belgium</w:t>
      </w:r>
    </w:p>
    <w:p w14:paraId="10345BEF" w14:textId="77777777" w:rsidR="00C149C2" w:rsidRPr="00495BF5" w:rsidRDefault="00C149C2" w:rsidP="00C149C2">
      <w:pPr>
        <w:spacing w:after="0"/>
        <w:jc w:val="left"/>
        <w:rPr>
          <w:rFonts w:ascii="Times New Roman" w:hAnsi="Times New Roman"/>
          <w:sz w:val="20"/>
          <w:lang w:val="en-US"/>
        </w:rPr>
      </w:pPr>
      <w:r w:rsidRPr="00495BF5">
        <w:rPr>
          <w:rFonts w:ascii="Times New Roman" w:hAnsi="Times New Roman"/>
          <w:sz w:val="20"/>
          <w:vertAlign w:val="superscript"/>
          <w:lang w:val="en-US"/>
        </w:rPr>
        <w:t xml:space="preserve">c </w:t>
      </w:r>
      <w:r w:rsidRPr="00495BF5">
        <w:rPr>
          <w:rFonts w:ascii="Times New Roman" w:hAnsi="Times New Roman"/>
          <w:sz w:val="20"/>
          <w:lang w:val="en-US"/>
        </w:rPr>
        <w:t>Department of Plant Physiology and Biophysics, Institute of Biological Sciences, Maria Curie-</w:t>
      </w:r>
      <w:proofErr w:type="spellStart"/>
      <w:r w:rsidRPr="00495BF5">
        <w:rPr>
          <w:rFonts w:ascii="Times New Roman" w:hAnsi="Times New Roman"/>
          <w:sz w:val="20"/>
          <w:lang w:val="en-US"/>
        </w:rPr>
        <w:t>Skłodowska</w:t>
      </w:r>
      <w:proofErr w:type="spellEnd"/>
      <w:r w:rsidRPr="00495BF5">
        <w:rPr>
          <w:rFonts w:ascii="Times New Roman" w:hAnsi="Times New Roman"/>
          <w:sz w:val="20"/>
          <w:lang w:val="en-US"/>
        </w:rPr>
        <w:t xml:space="preserve"> University, </w:t>
      </w:r>
      <w:proofErr w:type="spellStart"/>
      <w:r w:rsidRPr="00495BF5">
        <w:rPr>
          <w:rFonts w:ascii="Times New Roman" w:hAnsi="Times New Roman"/>
          <w:sz w:val="20"/>
          <w:lang w:val="en-US"/>
        </w:rPr>
        <w:t>Akademicka</w:t>
      </w:r>
      <w:proofErr w:type="spellEnd"/>
      <w:r w:rsidRPr="00495BF5">
        <w:rPr>
          <w:rFonts w:ascii="Times New Roman" w:hAnsi="Times New Roman"/>
          <w:sz w:val="20"/>
          <w:lang w:val="en-US"/>
        </w:rPr>
        <w:t xml:space="preserve"> 19, 20-033 Lublin, Poland</w:t>
      </w:r>
    </w:p>
    <w:p w14:paraId="43B7A82B" w14:textId="77777777" w:rsidR="00C149C2" w:rsidRPr="002C14DD" w:rsidRDefault="00C149C2" w:rsidP="00C149C2">
      <w:pPr>
        <w:spacing w:after="0"/>
        <w:jc w:val="left"/>
        <w:rPr>
          <w:rFonts w:ascii="Times New Roman" w:hAnsi="Times New Roman"/>
          <w:sz w:val="20"/>
        </w:rPr>
      </w:pPr>
      <w:r w:rsidRPr="002C14DD">
        <w:rPr>
          <w:rFonts w:ascii="Times New Roman" w:hAnsi="Times New Roman"/>
          <w:sz w:val="20"/>
          <w:vertAlign w:val="superscript"/>
        </w:rPr>
        <w:t xml:space="preserve">d </w:t>
      </w:r>
      <w:r w:rsidRPr="002C14DD">
        <w:rPr>
          <w:rFonts w:ascii="Times New Roman" w:hAnsi="Times New Roman"/>
          <w:sz w:val="20"/>
        </w:rPr>
        <w:t xml:space="preserve">Instituto Politécnico Nacional, Yautepec, Morelos, </w:t>
      </w:r>
      <w:proofErr w:type="spellStart"/>
      <w:r w:rsidRPr="002C14DD">
        <w:rPr>
          <w:rFonts w:ascii="Times New Roman" w:hAnsi="Times New Roman"/>
          <w:sz w:val="20"/>
        </w:rPr>
        <w:t>Mexico</w:t>
      </w:r>
      <w:proofErr w:type="spellEnd"/>
    </w:p>
    <w:p w14:paraId="77BB4EA0" w14:textId="77777777" w:rsidR="00C149C2" w:rsidRPr="002C14DD" w:rsidRDefault="00C149C2" w:rsidP="00C149C2">
      <w:pPr>
        <w:spacing w:after="0"/>
        <w:jc w:val="left"/>
        <w:rPr>
          <w:rFonts w:ascii="Times New Roman" w:hAnsi="Times New Roman"/>
          <w:sz w:val="20"/>
        </w:rPr>
      </w:pPr>
      <w:r w:rsidRPr="002C14DD">
        <w:rPr>
          <w:rFonts w:ascii="Times New Roman" w:hAnsi="Times New Roman"/>
          <w:sz w:val="20"/>
          <w:vertAlign w:val="superscript"/>
        </w:rPr>
        <w:t xml:space="preserve">e </w:t>
      </w:r>
      <w:r w:rsidRPr="002C14DD">
        <w:rPr>
          <w:rFonts w:ascii="Times New Roman" w:hAnsi="Times New Roman"/>
          <w:sz w:val="20"/>
        </w:rPr>
        <w:t xml:space="preserve">Instituto de Ecología, Red de Estudios Moleculares Avanzados, Veracruz, Xalapa, </w:t>
      </w:r>
      <w:proofErr w:type="spellStart"/>
      <w:r w:rsidRPr="002C14DD">
        <w:rPr>
          <w:rFonts w:ascii="Times New Roman" w:hAnsi="Times New Roman"/>
          <w:sz w:val="20"/>
        </w:rPr>
        <w:t>Mexico</w:t>
      </w:r>
      <w:proofErr w:type="spellEnd"/>
    </w:p>
    <w:bookmarkEnd w:id="0"/>
    <w:bookmarkEnd w:id="1"/>
    <w:p w14:paraId="7398C783" w14:textId="77777777" w:rsidR="002641D5" w:rsidRPr="00DC0C2E" w:rsidRDefault="002641D5" w:rsidP="002641D5">
      <w:pPr>
        <w:pStyle w:val="Textoindependienteprimerasangra"/>
        <w:spacing w:line="360" w:lineRule="auto"/>
        <w:ind w:firstLine="0"/>
        <w:jc w:val="center"/>
        <w:rPr>
          <w:rFonts w:cs="Arial"/>
          <w:b/>
          <w:bCs/>
        </w:rPr>
      </w:pPr>
    </w:p>
    <w:p w14:paraId="71708A07" w14:textId="175107B4" w:rsidR="007E7A0F" w:rsidRPr="00C149C2" w:rsidRDefault="007E7A0F" w:rsidP="00C149C2">
      <w:pPr>
        <w:pStyle w:val="Descripcin"/>
        <w:keepNext/>
        <w:spacing w:after="0"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C149C2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8A1FC9" w:rsidRPr="00C149C2">
        <w:rPr>
          <w:rFonts w:ascii="Times New Roman" w:hAnsi="Times New Roman" w:cs="Times New Roman"/>
          <w:b/>
          <w:bCs/>
          <w:sz w:val="20"/>
          <w:szCs w:val="20"/>
        </w:rPr>
        <w:t>S3</w:t>
      </w:r>
      <w:r w:rsidRPr="00C149C2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C149C2">
        <w:rPr>
          <w:rFonts w:ascii="Times New Roman" w:hAnsi="Times New Roman" w:cs="Times New Roman"/>
          <w:sz w:val="20"/>
          <w:szCs w:val="20"/>
        </w:rPr>
        <w:t xml:space="preserve"> </w:t>
      </w:r>
      <w:bookmarkEnd w:id="2"/>
      <w:bookmarkEnd w:id="3"/>
      <w:r w:rsidRPr="00C149C2">
        <w:rPr>
          <w:rFonts w:ascii="Times New Roman" w:hAnsi="Times New Roman" w:cs="Times New Roman"/>
          <w:sz w:val="20"/>
          <w:szCs w:val="20"/>
        </w:rPr>
        <w:t>Influence of nano-priming with citrate-coated CoFe</w:t>
      </w:r>
      <w:r w:rsidRPr="00C149C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C149C2">
        <w:rPr>
          <w:rFonts w:ascii="Times New Roman" w:hAnsi="Times New Roman" w:cs="Times New Roman"/>
          <w:sz w:val="20"/>
          <w:szCs w:val="20"/>
        </w:rPr>
        <w:t>O</w:t>
      </w:r>
      <w:r w:rsidRPr="00C149C2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C149C2">
        <w:rPr>
          <w:rFonts w:ascii="Times New Roman" w:hAnsi="Times New Roman" w:cs="Times New Roman"/>
          <w:sz w:val="20"/>
          <w:szCs w:val="20"/>
        </w:rPr>
        <w:t xml:space="preserve"> NPs on the seed water uptake and germination variables of OTI beans.</w:t>
      </w:r>
    </w:p>
    <w:tbl>
      <w:tblPr>
        <w:tblStyle w:val="Tablaconcuadrcula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2"/>
        <w:gridCol w:w="1698"/>
        <w:gridCol w:w="1748"/>
        <w:gridCol w:w="1782"/>
        <w:gridCol w:w="1696"/>
        <w:gridCol w:w="1698"/>
      </w:tblGrid>
      <w:tr w:rsidR="007E7A0F" w:rsidRPr="00C149C2" w14:paraId="4D0AE98D" w14:textId="77777777" w:rsidTr="002641D5">
        <w:trPr>
          <w:trHeight w:val="340"/>
          <w:jc w:val="center"/>
        </w:trPr>
        <w:tc>
          <w:tcPr>
            <w:tcW w:w="1685" w:type="pct"/>
            <w:vMerge w:val="restart"/>
            <w:tcBorders>
              <w:top w:val="single" w:sz="4" w:space="0" w:color="auto"/>
            </w:tcBorders>
          </w:tcPr>
          <w:p w14:paraId="056C2801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sz w:val="20"/>
                <w:lang w:val="en-US"/>
              </w:rPr>
              <w:t>Variable</w:t>
            </w:r>
          </w:p>
        </w:tc>
        <w:tc>
          <w:tcPr>
            <w:tcW w:w="3315" w:type="pct"/>
            <w:gridSpan w:val="5"/>
            <w:tcBorders>
              <w:top w:val="single" w:sz="4" w:space="0" w:color="auto"/>
            </w:tcBorders>
          </w:tcPr>
          <w:p w14:paraId="214772C6" w14:textId="77777777" w:rsidR="007E7A0F" w:rsidRPr="00C149C2" w:rsidRDefault="007E7A0F" w:rsidP="002641D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sz w:val="20"/>
                <w:lang w:val="en-US"/>
              </w:rPr>
              <w:t>Treatment</w:t>
            </w:r>
          </w:p>
        </w:tc>
      </w:tr>
      <w:tr w:rsidR="00813637" w:rsidRPr="00C149C2" w14:paraId="253E92F3" w14:textId="77777777" w:rsidTr="002641D5">
        <w:trPr>
          <w:trHeight w:val="340"/>
          <w:jc w:val="center"/>
        </w:trPr>
        <w:tc>
          <w:tcPr>
            <w:tcW w:w="1685" w:type="pct"/>
            <w:vMerge/>
            <w:tcBorders>
              <w:bottom w:val="single" w:sz="4" w:space="0" w:color="auto"/>
            </w:tcBorders>
          </w:tcPr>
          <w:p w14:paraId="36AE94F9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653" w:type="pct"/>
            <w:tcBorders>
              <w:bottom w:val="single" w:sz="4" w:space="0" w:color="auto"/>
            </w:tcBorders>
          </w:tcPr>
          <w:p w14:paraId="6295EA9F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Control</w:t>
            </w:r>
          </w:p>
        </w:tc>
        <w:tc>
          <w:tcPr>
            <w:tcW w:w="672" w:type="pct"/>
            <w:tcBorders>
              <w:bottom w:val="single" w:sz="4" w:space="0" w:color="auto"/>
            </w:tcBorders>
          </w:tcPr>
          <w:p w14:paraId="2C56D19F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Hydropriming</w:t>
            </w:r>
          </w:p>
        </w:tc>
        <w:tc>
          <w:tcPr>
            <w:tcW w:w="685" w:type="pct"/>
            <w:tcBorders>
              <w:bottom w:val="single" w:sz="4" w:space="0" w:color="auto"/>
            </w:tcBorders>
          </w:tcPr>
          <w:p w14:paraId="19B47DE8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10 mg NPs</w:t>
            </w:r>
          </w:p>
        </w:tc>
        <w:tc>
          <w:tcPr>
            <w:tcW w:w="652" w:type="pct"/>
            <w:tcBorders>
              <w:bottom w:val="single" w:sz="4" w:space="0" w:color="auto"/>
            </w:tcBorders>
          </w:tcPr>
          <w:p w14:paraId="3C4EE926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20 mg NPs</w:t>
            </w:r>
          </w:p>
        </w:tc>
        <w:tc>
          <w:tcPr>
            <w:tcW w:w="652" w:type="pct"/>
            <w:tcBorders>
              <w:bottom w:val="single" w:sz="4" w:space="0" w:color="auto"/>
            </w:tcBorders>
          </w:tcPr>
          <w:p w14:paraId="3A5335AA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40 mg NPs</w:t>
            </w:r>
          </w:p>
        </w:tc>
      </w:tr>
      <w:tr w:rsidR="00813637" w:rsidRPr="00C149C2" w14:paraId="18B59005" w14:textId="77777777" w:rsidTr="002641D5">
        <w:trPr>
          <w:trHeight w:val="340"/>
          <w:jc w:val="center"/>
        </w:trPr>
        <w:tc>
          <w:tcPr>
            <w:tcW w:w="1685" w:type="pct"/>
            <w:tcBorders>
              <w:top w:val="single" w:sz="4" w:space="0" w:color="auto"/>
            </w:tcBorders>
          </w:tcPr>
          <w:p w14:paraId="6C984619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Seed water uptake after nano-priming (%)</w:t>
            </w:r>
          </w:p>
        </w:tc>
        <w:tc>
          <w:tcPr>
            <w:tcW w:w="653" w:type="pct"/>
            <w:tcBorders>
              <w:top w:val="single" w:sz="4" w:space="0" w:color="auto"/>
            </w:tcBorders>
          </w:tcPr>
          <w:p w14:paraId="28C61469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—</w:t>
            </w:r>
          </w:p>
        </w:tc>
        <w:tc>
          <w:tcPr>
            <w:tcW w:w="672" w:type="pct"/>
            <w:tcBorders>
              <w:top w:val="single" w:sz="4" w:space="0" w:color="auto"/>
            </w:tcBorders>
          </w:tcPr>
          <w:p w14:paraId="5209C634" w14:textId="2784C65E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52 ± 5.2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85" w:type="pct"/>
            <w:tcBorders>
              <w:top w:val="single" w:sz="4" w:space="0" w:color="auto"/>
            </w:tcBorders>
          </w:tcPr>
          <w:p w14:paraId="5C058C5C" w14:textId="1716B433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47 ± 7.5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52" w:type="pct"/>
            <w:tcBorders>
              <w:top w:val="single" w:sz="4" w:space="0" w:color="auto"/>
            </w:tcBorders>
          </w:tcPr>
          <w:p w14:paraId="5BE68C99" w14:textId="1354A4ED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48 ± 4.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1 ns</w:t>
            </w:r>
          </w:p>
        </w:tc>
        <w:tc>
          <w:tcPr>
            <w:tcW w:w="652" w:type="pct"/>
            <w:tcBorders>
              <w:top w:val="single" w:sz="4" w:space="0" w:color="auto"/>
            </w:tcBorders>
          </w:tcPr>
          <w:p w14:paraId="36ACA7FE" w14:textId="7946A91B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40 ± 3.4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</w:tr>
      <w:tr w:rsidR="008A1FC9" w:rsidRPr="00C149C2" w14:paraId="2D2F8405" w14:textId="77777777" w:rsidTr="002641D5">
        <w:trPr>
          <w:trHeight w:val="340"/>
          <w:jc w:val="center"/>
        </w:trPr>
        <w:tc>
          <w:tcPr>
            <w:tcW w:w="1685" w:type="pct"/>
          </w:tcPr>
          <w:p w14:paraId="0862D401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Final germination (%)</w:t>
            </w:r>
          </w:p>
        </w:tc>
        <w:tc>
          <w:tcPr>
            <w:tcW w:w="653" w:type="pct"/>
          </w:tcPr>
          <w:p w14:paraId="526BE914" w14:textId="28CB543D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97 ± 5.8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72" w:type="pct"/>
          </w:tcPr>
          <w:p w14:paraId="10D97F62" w14:textId="6E190EAC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93 ± 5.8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85" w:type="pct"/>
          </w:tcPr>
          <w:p w14:paraId="02F88149" w14:textId="2169853B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100 ± 0.0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52" w:type="pct"/>
          </w:tcPr>
          <w:p w14:paraId="12848738" w14:textId="69C3E5AA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93 ± 5.8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52" w:type="pct"/>
          </w:tcPr>
          <w:p w14:paraId="01441D95" w14:textId="605C0A2E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90 ± 0.0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</w:tr>
      <w:tr w:rsidR="008A1FC9" w:rsidRPr="00C149C2" w14:paraId="45A4AA5B" w14:textId="77777777" w:rsidTr="002641D5">
        <w:trPr>
          <w:trHeight w:val="340"/>
          <w:jc w:val="center"/>
        </w:trPr>
        <w:tc>
          <w:tcPr>
            <w:tcW w:w="1685" w:type="pct"/>
          </w:tcPr>
          <w:p w14:paraId="12E871B6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Germination index</w:t>
            </w:r>
          </w:p>
        </w:tc>
        <w:tc>
          <w:tcPr>
            <w:tcW w:w="653" w:type="pct"/>
          </w:tcPr>
          <w:p w14:paraId="7A5F1371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—</w:t>
            </w:r>
          </w:p>
        </w:tc>
        <w:tc>
          <w:tcPr>
            <w:tcW w:w="672" w:type="pct"/>
          </w:tcPr>
          <w:p w14:paraId="2C79C0B6" w14:textId="6087AC66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0.79 ± 0.29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85" w:type="pct"/>
          </w:tcPr>
          <w:p w14:paraId="55E2E281" w14:textId="6BEAFB95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1.13 ± 0.86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52" w:type="pct"/>
          </w:tcPr>
          <w:p w14:paraId="7C184746" w14:textId="5D86DBD8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0.75 ± 0.20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52" w:type="pct"/>
          </w:tcPr>
          <w:p w14:paraId="4A735585" w14:textId="030B71C3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0.91 ± 0.25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</w:tr>
      <w:tr w:rsidR="008A1FC9" w:rsidRPr="00C149C2" w14:paraId="0DA03476" w14:textId="77777777" w:rsidTr="002641D5">
        <w:trPr>
          <w:trHeight w:val="340"/>
          <w:jc w:val="center"/>
        </w:trPr>
        <w:tc>
          <w:tcPr>
            <w:tcW w:w="1685" w:type="pct"/>
          </w:tcPr>
          <w:p w14:paraId="59283322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Relative seed germination I * (%)</w:t>
            </w:r>
          </w:p>
        </w:tc>
        <w:tc>
          <w:tcPr>
            <w:tcW w:w="653" w:type="pct"/>
          </w:tcPr>
          <w:p w14:paraId="763E8387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sz w:val="20"/>
                <w:lang w:val="en-US" w:eastAsia="es-MX"/>
              </w:rPr>
              <w:t>—</w:t>
            </w:r>
          </w:p>
        </w:tc>
        <w:tc>
          <w:tcPr>
            <w:tcW w:w="672" w:type="pct"/>
          </w:tcPr>
          <w:p w14:paraId="5748CCA0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—</w:t>
            </w:r>
          </w:p>
        </w:tc>
        <w:tc>
          <w:tcPr>
            <w:tcW w:w="685" w:type="pct"/>
          </w:tcPr>
          <w:p w14:paraId="1EDEF643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107 ± 0.0 a</w:t>
            </w:r>
          </w:p>
        </w:tc>
        <w:tc>
          <w:tcPr>
            <w:tcW w:w="652" w:type="pct"/>
          </w:tcPr>
          <w:p w14:paraId="6A9A1D89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100 ± 6.2 ab</w:t>
            </w:r>
          </w:p>
        </w:tc>
        <w:tc>
          <w:tcPr>
            <w:tcW w:w="652" w:type="pct"/>
          </w:tcPr>
          <w:p w14:paraId="356C0FA0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96 ± 0.0 b</w:t>
            </w:r>
          </w:p>
        </w:tc>
      </w:tr>
      <w:tr w:rsidR="008A1FC9" w:rsidRPr="00C149C2" w14:paraId="0C5C60AA" w14:textId="77777777" w:rsidTr="002641D5">
        <w:trPr>
          <w:trHeight w:val="340"/>
          <w:jc w:val="center"/>
        </w:trPr>
        <w:tc>
          <w:tcPr>
            <w:tcW w:w="1685" w:type="pct"/>
          </w:tcPr>
          <w:p w14:paraId="56094358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Relative seed germination II * (%)</w:t>
            </w:r>
          </w:p>
        </w:tc>
        <w:tc>
          <w:tcPr>
            <w:tcW w:w="653" w:type="pct"/>
          </w:tcPr>
          <w:p w14:paraId="3C6974D0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sz w:val="20"/>
                <w:lang w:val="en-US" w:eastAsia="es-MX"/>
              </w:rPr>
              <w:t>—</w:t>
            </w:r>
          </w:p>
        </w:tc>
        <w:tc>
          <w:tcPr>
            <w:tcW w:w="672" w:type="pct"/>
          </w:tcPr>
          <w:p w14:paraId="34B33458" w14:textId="4A6224A6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97 ± 6.0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85" w:type="pct"/>
          </w:tcPr>
          <w:p w14:paraId="59EBD335" w14:textId="3DC34EFB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103 ± 0.0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52" w:type="pct"/>
          </w:tcPr>
          <w:p w14:paraId="47127DC8" w14:textId="427335C5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97 ± 6.0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52" w:type="pct"/>
          </w:tcPr>
          <w:p w14:paraId="2B704038" w14:textId="0275376C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93 ± 0.0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</w:tr>
      <w:tr w:rsidR="008A1FC9" w:rsidRPr="00C149C2" w14:paraId="6F1D59F2" w14:textId="77777777" w:rsidTr="002641D5">
        <w:trPr>
          <w:trHeight w:val="340"/>
          <w:jc w:val="center"/>
        </w:trPr>
        <w:tc>
          <w:tcPr>
            <w:tcW w:w="1685" w:type="pct"/>
          </w:tcPr>
          <w:p w14:paraId="4EF515B3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Energy period (d)</w:t>
            </w:r>
          </w:p>
        </w:tc>
        <w:tc>
          <w:tcPr>
            <w:tcW w:w="653" w:type="pct"/>
          </w:tcPr>
          <w:p w14:paraId="2B4E59DB" w14:textId="327C752F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2.7 ± 0.6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72" w:type="pct"/>
          </w:tcPr>
          <w:p w14:paraId="77D9FAA0" w14:textId="5DB906D1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3.0 ± 0.0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85" w:type="pct"/>
          </w:tcPr>
          <w:p w14:paraId="0070C4B0" w14:textId="37C8E6D0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3.0 ± 0.0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52" w:type="pct"/>
          </w:tcPr>
          <w:p w14:paraId="01365175" w14:textId="35570DEF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3.0 ± 0.0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52" w:type="pct"/>
          </w:tcPr>
          <w:p w14:paraId="1BDFADDB" w14:textId="2F97D53C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3.3 ± 0.6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</w:tr>
      <w:tr w:rsidR="008A1FC9" w:rsidRPr="00C149C2" w14:paraId="14BE4FC7" w14:textId="77777777" w:rsidTr="002641D5">
        <w:trPr>
          <w:trHeight w:val="340"/>
          <w:jc w:val="center"/>
        </w:trPr>
        <w:tc>
          <w:tcPr>
            <w:tcW w:w="1685" w:type="pct"/>
          </w:tcPr>
          <w:p w14:paraId="541090FC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Germination energy (%)</w:t>
            </w:r>
          </w:p>
        </w:tc>
        <w:tc>
          <w:tcPr>
            <w:tcW w:w="653" w:type="pct"/>
          </w:tcPr>
          <w:p w14:paraId="1A9703B8" w14:textId="67B290F5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97 ± 5.8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72" w:type="pct"/>
          </w:tcPr>
          <w:p w14:paraId="2E765A19" w14:textId="491EE0FF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90 ± 10.0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85" w:type="pct"/>
          </w:tcPr>
          <w:p w14:paraId="0D6B4A06" w14:textId="59121633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100 ± 0.0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52" w:type="pct"/>
          </w:tcPr>
          <w:p w14:paraId="680392F5" w14:textId="1035794A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87 ± 15.3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52" w:type="pct"/>
          </w:tcPr>
          <w:p w14:paraId="6C29A57B" w14:textId="21EAC641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90 ± 0.0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</w:tr>
      <w:tr w:rsidR="008A1FC9" w:rsidRPr="00C149C2" w14:paraId="0F7ADD90" w14:textId="77777777" w:rsidTr="002641D5">
        <w:trPr>
          <w:trHeight w:val="340"/>
          <w:jc w:val="center"/>
        </w:trPr>
        <w:tc>
          <w:tcPr>
            <w:tcW w:w="1685" w:type="pct"/>
          </w:tcPr>
          <w:p w14:paraId="640754F1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Mean germination time (d)</w:t>
            </w:r>
          </w:p>
        </w:tc>
        <w:tc>
          <w:tcPr>
            <w:tcW w:w="653" w:type="pct"/>
          </w:tcPr>
          <w:p w14:paraId="08527E9E" w14:textId="77CC4372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2.5 ± 0.2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72" w:type="pct"/>
          </w:tcPr>
          <w:p w14:paraId="5FD01770" w14:textId="2414E43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3.0 ± 0.3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85" w:type="pct"/>
          </w:tcPr>
          <w:p w14:paraId="4D200BB0" w14:textId="610DD043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2.7 ± 0.2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52" w:type="pct"/>
          </w:tcPr>
          <w:p w14:paraId="616D3D45" w14:textId="72122150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3.0 ± 0.1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52" w:type="pct"/>
          </w:tcPr>
          <w:p w14:paraId="36D47435" w14:textId="530E1489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3.1 ± 0.4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</w:tr>
      <w:tr w:rsidR="00813637" w:rsidRPr="00C149C2" w14:paraId="5D1AF9BC" w14:textId="77777777" w:rsidTr="002641D5">
        <w:trPr>
          <w:trHeight w:val="340"/>
          <w:jc w:val="center"/>
        </w:trPr>
        <w:tc>
          <w:tcPr>
            <w:tcW w:w="1685" w:type="pct"/>
            <w:tcBorders>
              <w:bottom w:val="single" w:sz="4" w:space="0" w:color="auto"/>
            </w:tcBorders>
          </w:tcPr>
          <w:p w14:paraId="77929BA6" w14:textId="77777777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Germination rate</w:t>
            </w:r>
          </w:p>
        </w:tc>
        <w:tc>
          <w:tcPr>
            <w:tcW w:w="653" w:type="pct"/>
            <w:tcBorders>
              <w:bottom w:val="single" w:sz="4" w:space="0" w:color="auto"/>
            </w:tcBorders>
          </w:tcPr>
          <w:p w14:paraId="4E6A344D" w14:textId="53FF395C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3.9 ± 0.1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72" w:type="pct"/>
            <w:tcBorders>
              <w:bottom w:val="single" w:sz="4" w:space="0" w:color="auto"/>
            </w:tcBorders>
          </w:tcPr>
          <w:p w14:paraId="5B6557B2" w14:textId="6B70FA54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3.3 ± 0.5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85" w:type="pct"/>
            <w:tcBorders>
              <w:bottom w:val="single" w:sz="4" w:space="0" w:color="auto"/>
            </w:tcBorders>
          </w:tcPr>
          <w:p w14:paraId="59E22CD1" w14:textId="09186AA6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3.8 ± 0.2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52" w:type="pct"/>
            <w:tcBorders>
              <w:bottom w:val="single" w:sz="4" w:space="0" w:color="auto"/>
            </w:tcBorders>
          </w:tcPr>
          <w:p w14:paraId="54DE3002" w14:textId="2B49A50E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3.3 ± 0.3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  <w:tc>
          <w:tcPr>
            <w:tcW w:w="652" w:type="pct"/>
            <w:tcBorders>
              <w:bottom w:val="single" w:sz="4" w:space="0" w:color="auto"/>
            </w:tcBorders>
          </w:tcPr>
          <w:p w14:paraId="6AE48DA6" w14:textId="2ACF9CB1" w:rsidR="007E7A0F" w:rsidRPr="00C149C2" w:rsidRDefault="007E7A0F" w:rsidP="002641D5">
            <w:pPr>
              <w:spacing w:after="0" w:line="240" w:lineRule="auto"/>
              <w:contextualSpacing/>
              <w:jc w:val="left"/>
              <w:rPr>
                <w:rFonts w:ascii="Times New Roman" w:hAnsi="Times New Roman"/>
                <w:sz w:val="20"/>
                <w:lang w:val="en-US"/>
              </w:rPr>
            </w:pPr>
            <w:r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>3.0 ± 0.5</w:t>
            </w:r>
            <w:r w:rsidR="00DC0C2E" w:rsidRPr="00C149C2">
              <w:rPr>
                <w:rFonts w:ascii="Times New Roman" w:hAnsi="Times New Roman"/>
                <w:color w:val="000000"/>
                <w:sz w:val="20"/>
                <w:lang w:val="en-US" w:eastAsia="es-MX"/>
              </w:rPr>
              <w:t xml:space="preserve"> ns</w:t>
            </w:r>
          </w:p>
        </w:tc>
      </w:tr>
    </w:tbl>
    <w:p w14:paraId="12621CA7" w14:textId="0E1CB176" w:rsidR="004A3039" w:rsidRPr="00C149C2" w:rsidRDefault="007E7A0F" w:rsidP="002641D5">
      <w:pPr>
        <w:rPr>
          <w:rFonts w:ascii="Times New Roman" w:hAnsi="Times New Roman"/>
          <w:sz w:val="20"/>
          <w:lang w:val="en-US"/>
        </w:rPr>
      </w:pPr>
      <w:r w:rsidRPr="00C149C2">
        <w:rPr>
          <w:rFonts w:ascii="Times New Roman" w:hAnsi="Times New Roman"/>
          <w:sz w:val="20"/>
          <w:lang w:val="en-US"/>
        </w:rPr>
        <w:t>Mean ± standard deviation of n=3. Different letters represent significant differences between the treatments</w:t>
      </w:r>
      <w:r w:rsidR="00DC0C2E" w:rsidRPr="00C149C2">
        <w:rPr>
          <w:rFonts w:ascii="Times New Roman" w:hAnsi="Times New Roman"/>
          <w:sz w:val="20"/>
          <w:lang w:val="en-US"/>
        </w:rPr>
        <w:t xml:space="preserve"> </w:t>
      </w:r>
      <w:r w:rsidRPr="00C149C2">
        <w:rPr>
          <w:rFonts w:ascii="Times New Roman" w:hAnsi="Times New Roman"/>
          <w:sz w:val="20"/>
          <w:lang w:val="en-US"/>
        </w:rPr>
        <w:t xml:space="preserve">(Tukey’s </w:t>
      </w:r>
      <w:r w:rsidRPr="00C149C2">
        <w:rPr>
          <w:rFonts w:ascii="Times New Roman" w:hAnsi="Times New Roman"/>
          <w:sz w:val="20"/>
        </w:rPr>
        <w:t>α</w:t>
      </w:r>
      <w:r w:rsidRPr="00C149C2">
        <w:rPr>
          <w:rFonts w:ascii="Times New Roman" w:hAnsi="Times New Roman"/>
          <w:sz w:val="20"/>
          <w:lang w:val="en-US"/>
        </w:rPr>
        <w:t>=0.05)</w:t>
      </w:r>
      <w:r w:rsidR="00DC0C2E" w:rsidRPr="00C149C2">
        <w:rPr>
          <w:rFonts w:ascii="Times New Roman" w:hAnsi="Times New Roman"/>
          <w:sz w:val="20"/>
          <w:lang w:val="en-US"/>
        </w:rPr>
        <w:t>,</w:t>
      </w:r>
      <w:bookmarkStart w:id="4" w:name="_Hlk167142008"/>
      <w:r w:rsidR="00DC0C2E" w:rsidRPr="00C149C2">
        <w:rPr>
          <w:rFonts w:ascii="Times New Roman" w:hAnsi="Times New Roman"/>
          <w:sz w:val="20"/>
          <w:lang w:val="en-US"/>
        </w:rPr>
        <w:t xml:space="preserve"> </w:t>
      </w:r>
      <w:r w:rsidR="00CB0606" w:rsidRPr="00C149C2">
        <w:rPr>
          <w:rFonts w:ascii="Times New Roman" w:hAnsi="Times New Roman"/>
          <w:sz w:val="20"/>
          <w:lang w:val="en-US"/>
        </w:rPr>
        <w:t xml:space="preserve">and </w:t>
      </w:r>
      <w:r w:rsidR="00DC0C2E" w:rsidRPr="00C149C2">
        <w:rPr>
          <w:rFonts w:ascii="Times New Roman" w:hAnsi="Times New Roman"/>
          <w:sz w:val="20"/>
          <w:lang w:val="en-US"/>
        </w:rPr>
        <w:t>ns means that no significant difference</w:t>
      </w:r>
      <w:r w:rsidR="00CB0606" w:rsidRPr="00C149C2">
        <w:rPr>
          <w:rFonts w:ascii="Times New Roman" w:hAnsi="Times New Roman"/>
          <w:sz w:val="20"/>
          <w:lang w:val="en-US"/>
        </w:rPr>
        <w:t>s</w:t>
      </w:r>
      <w:r w:rsidR="00DC0C2E" w:rsidRPr="00C149C2">
        <w:rPr>
          <w:rFonts w:ascii="Times New Roman" w:hAnsi="Times New Roman"/>
          <w:sz w:val="20"/>
          <w:lang w:val="en-US"/>
        </w:rPr>
        <w:t xml:space="preserve"> were detected</w:t>
      </w:r>
      <w:r w:rsidR="00CB0606" w:rsidRPr="00C149C2">
        <w:rPr>
          <w:rFonts w:ascii="Times New Roman" w:hAnsi="Times New Roman"/>
          <w:sz w:val="20"/>
          <w:lang w:val="en-US"/>
        </w:rPr>
        <w:t xml:space="preserve"> between the treatments</w:t>
      </w:r>
      <w:r w:rsidR="00DC0C2E" w:rsidRPr="00C149C2">
        <w:rPr>
          <w:rFonts w:ascii="Times New Roman" w:hAnsi="Times New Roman"/>
          <w:sz w:val="20"/>
          <w:lang w:val="en-US"/>
        </w:rPr>
        <w:t xml:space="preserve">. </w:t>
      </w:r>
      <w:bookmarkEnd w:id="4"/>
      <w:r w:rsidR="00C149C2">
        <w:rPr>
          <w:rFonts w:ascii="Times New Roman" w:hAnsi="Times New Roman"/>
          <w:sz w:val="20"/>
          <w:lang w:val="en-US"/>
        </w:rPr>
        <w:t xml:space="preserve"> </w:t>
      </w:r>
      <w:r w:rsidRPr="00C149C2">
        <w:rPr>
          <w:rFonts w:ascii="Times New Roman" w:hAnsi="Times New Roman"/>
          <w:sz w:val="20"/>
          <w:lang w:val="en-US"/>
        </w:rPr>
        <w:t xml:space="preserve">* Relative germination (RSG) I considered the number of germinated seeds in the hydropriming treatment, whereas RSG II considered the germinated seeds in the control treatment. </w:t>
      </w:r>
    </w:p>
    <w:sectPr w:rsidR="004A3039" w:rsidRPr="00C149C2" w:rsidSect="00C149C2">
      <w:pgSz w:w="15840" w:h="12240" w:orient="landscape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UyNDMxMDc0NDW1MDdW0lEKTi0uzszPAykwrwUAqANnTSwAAAA="/>
  </w:docVars>
  <w:rsids>
    <w:rsidRoot w:val="007E7A0F"/>
    <w:rsid w:val="000227D3"/>
    <w:rsid w:val="000915BB"/>
    <w:rsid w:val="000F2A98"/>
    <w:rsid w:val="001511F9"/>
    <w:rsid w:val="00172F45"/>
    <w:rsid w:val="002342CA"/>
    <w:rsid w:val="00253E90"/>
    <w:rsid w:val="002641D5"/>
    <w:rsid w:val="00294540"/>
    <w:rsid w:val="002B2B9A"/>
    <w:rsid w:val="002E1580"/>
    <w:rsid w:val="002F1F75"/>
    <w:rsid w:val="003E0610"/>
    <w:rsid w:val="004A3039"/>
    <w:rsid w:val="00511A4E"/>
    <w:rsid w:val="00567A80"/>
    <w:rsid w:val="006A12F6"/>
    <w:rsid w:val="006D327F"/>
    <w:rsid w:val="007E7A0F"/>
    <w:rsid w:val="00813637"/>
    <w:rsid w:val="00863521"/>
    <w:rsid w:val="008A1FC9"/>
    <w:rsid w:val="00937F5D"/>
    <w:rsid w:val="00B42EC4"/>
    <w:rsid w:val="00C149C2"/>
    <w:rsid w:val="00C90293"/>
    <w:rsid w:val="00CB0606"/>
    <w:rsid w:val="00CE35A5"/>
    <w:rsid w:val="00D4056B"/>
    <w:rsid w:val="00D87B60"/>
    <w:rsid w:val="00DC0C2E"/>
    <w:rsid w:val="00DF4472"/>
    <w:rsid w:val="00F066BF"/>
    <w:rsid w:val="00FF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8CC13"/>
  <w15:chartTrackingRefBased/>
  <w15:docId w15:val="{64828ABA-D4E2-4CA9-9EE0-0C1D31B15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A0F"/>
    <w:pPr>
      <w:spacing w:after="200" w:line="360" w:lineRule="auto"/>
      <w:jc w:val="both"/>
    </w:pPr>
    <w:rPr>
      <w:rFonts w:ascii="Arial" w:eastAsia="Times New Roman" w:hAnsi="Arial" w:cs="Times New Roman"/>
      <w:sz w:val="24"/>
      <w:szCs w:val="20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8A1FC9"/>
    <w:pPr>
      <w:keepNext/>
      <w:keepLines/>
      <w:spacing w:before="120" w:after="120" w:line="480" w:lineRule="auto"/>
      <w:jc w:val="center"/>
      <w:outlineLvl w:val="0"/>
    </w:pPr>
    <w:rPr>
      <w:rFonts w:eastAsiaTheme="majorEastAsia" w:cstheme="majorBidi"/>
      <w:b/>
      <w:szCs w:val="3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E7A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7E7A0F"/>
    <w:pPr>
      <w:spacing w:line="240" w:lineRule="auto"/>
      <w:jc w:val="center"/>
    </w:pPr>
    <w:rPr>
      <w:rFonts w:eastAsiaTheme="minorHAnsi" w:cstheme="minorBidi"/>
      <w:iCs/>
      <w:sz w:val="22"/>
      <w:szCs w:val="18"/>
      <w:lang w:val="en-U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945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4540"/>
    <w:rPr>
      <w:rFonts w:ascii="Segoe UI" w:eastAsia="Times New Roman" w:hAnsi="Segoe UI" w:cs="Segoe UI"/>
      <w:sz w:val="18"/>
      <w:szCs w:val="18"/>
      <w:lang w:val="es-ES_tradnl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29454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94540"/>
    <w:pPr>
      <w:spacing w:line="240" w:lineRule="auto"/>
    </w:pPr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94540"/>
    <w:rPr>
      <w:rFonts w:ascii="Arial" w:eastAsia="Times New Roman" w:hAnsi="Arial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9454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94540"/>
    <w:rPr>
      <w:rFonts w:ascii="Arial" w:eastAsia="Times New Roman" w:hAnsi="Arial" w:cs="Times New Roman"/>
      <w:b/>
      <w:bCs/>
      <w:sz w:val="20"/>
      <w:szCs w:val="20"/>
      <w:lang w:val="es-ES_tradnl" w:eastAsia="es-ES"/>
    </w:rPr>
  </w:style>
  <w:style w:type="paragraph" w:styleId="Revisin">
    <w:name w:val="Revision"/>
    <w:hidden/>
    <w:uiPriority w:val="99"/>
    <w:semiHidden/>
    <w:rsid w:val="000915BB"/>
    <w:pPr>
      <w:spacing w:after="0" w:line="240" w:lineRule="auto"/>
    </w:pPr>
    <w:rPr>
      <w:rFonts w:ascii="Arial" w:eastAsia="Times New Roman" w:hAnsi="Arial" w:cs="Times New Roman"/>
      <w:sz w:val="24"/>
      <w:szCs w:val="20"/>
      <w:lang w:val="es-ES_tradnl" w:eastAsia="es-ES"/>
    </w:rPr>
  </w:style>
  <w:style w:type="character" w:customStyle="1" w:styleId="Ttulo1Car">
    <w:name w:val="Título 1 Car"/>
    <w:basedOn w:val="Fuentedeprrafopredeter"/>
    <w:link w:val="Ttulo1"/>
    <w:uiPriority w:val="9"/>
    <w:qFormat/>
    <w:rsid w:val="008A1FC9"/>
    <w:rPr>
      <w:rFonts w:ascii="Arial" w:eastAsiaTheme="majorEastAsia" w:hAnsi="Arial" w:cstheme="majorBidi"/>
      <w:b/>
      <w:sz w:val="24"/>
      <w:szCs w:val="32"/>
      <w:lang w:val="es-MX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8A1FC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A1FC9"/>
    <w:rPr>
      <w:rFonts w:ascii="Arial" w:eastAsia="Times New Roman" w:hAnsi="Arial" w:cs="Times New Roman"/>
      <w:sz w:val="24"/>
      <w:szCs w:val="20"/>
      <w:lang w:val="es-ES_tradnl" w:eastAsia="es-ES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8A1FC9"/>
    <w:pPr>
      <w:spacing w:after="0" w:line="480" w:lineRule="auto"/>
      <w:ind w:firstLine="360"/>
    </w:pPr>
    <w:rPr>
      <w:rFonts w:eastAsiaTheme="minorHAnsi" w:cstheme="minorBidi"/>
      <w:sz w:val="22"/>
      <w:szCs w:val="22"/>
      <w:lang w:val="es-MX" w:eastAsia="en-U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8A1FC9"/>
    <w:rPr>
      <w:rFonts w:ascii="Arial" w:eastAsia="Times New Roman" w:hAnsi="Arial" w:cs="Times New Roman"/>
      <w:sz w:val="24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FE2B3-6AD4-4AD2-9B41-5B00BD8EF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 PEREA</dc:creator>
  <cp:keywords/>
  <dc:description/>
  <cp:lastModifiedBy>stefani PEREA</cp:lastModifiedBy>
  <cp:revision>3</cp:revision>
  <dcterms:created xsi:type="dcterms:W3CDTF">2024-05-29T02:17:00Z</dcterms:created>
  <dcterms:modified xsi:type="dcterms:W3CDTF">2024-06-12T19:55:00Z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http://www.zotero.org/styles/chicago-author-date</vt:lpwstr>
  </property>
  <property fmtid="{D5CDD505-2E9C-101B-9397-08002B2CF9AE}" pid="5" name="Mendeley Recent Style Name 1_1">
    <vt:lpwstr>Chicago Manual of Style 17th edition (author-date)</vt:lpwstr>
  </property>
  <property fmtid="{D5CDD505-2E9C-101B-9397-08002B2CF9AE}" pid="6" name="Mendeley Recent Style Id 2_1">
    <vt:lpwstr>http://www.zotero.org/styles/harvard-cite-them-right</vt:lpwstr>
  </property>
  <property fmtid="{D5CDD505-2E9C-101B-9397-08002B2CF9AE}" pid="7" name="Mendeley Recent Style Name 2_1">
    <vt:lpwstr>Cite Them Right 10th edition - Harvard</vt:lpwstr>
  </property>
  <property fmtid="{D5CDD505-2E9C-101B-9397-08002B2CF9AE}" pid="8" name="Mendeley Recent Style Id 3_1">
    <vt:lpwstr>http://www.zotero.org/styles/environmental-science-nano</vt:lpwstr>
  </property>
  <property fmtid="{D5CDD505-2E9C-101B-9397-08002B2CF9AE}" pid="9" name="Mendeley Recent Style Name 3_1">
    <vt:lpwstr>Environmental Science: Nano</vt:lpwstr>
  </property>
  <property fmtid="{D5CDD505-2E9C-101B-9397-08002B2CF9AE}" pid="10" name="Mendeley Recent Style Id 4_1">
    <vt:lpwstr>http://www.zotero.org/styles/journal-of-controlled-release</vt:lpwstr>
  </property>
  <property fmtid="{D5CDD505-2E9C-101B-9397-08002B2CF9AE}" pid="11" name="Mendeley Recent Style Name 4_1">
    <vt:lpwstr>Journal of Controlled Release</vt:lpwstr>
  </property>
  <property fmtid="{D5CDD505-2E9C-101B-9397-08002B2CF9AE}" pid="12" name="Mendeley Recent Style Id 5_1">
    <vt:lpwstr>http://www.zotero.org/styles/journal-of-nanoparticle-research</vt:lpwstr>
  </property>
  <property fmtid="{D5CDD505-2E9C-101B-9397-08002B2CF9AE}" pid="13" name="Mendeley Recent Style Name 5_1">
    <vt:lpwstr>Journal of Nanoparticle Research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http://www.zotero.org/styles/oxford-art-journal</vt:lpwstr>
  </property>
  <property fmtid="{D5CDD505-2E9C-101B-9397-08002B2CF9AE}" pid="19" name="Mendeley Recent Style Name 8_1">
    <vt:lpwstr>Oxford Art Journal</vt:lpwstr>
  </property>
  <property fmtid="{D5CDD505-2E9C-101B-9397-08002B2CF9AE}" pid="20" name="Mendeley Recent Style Id 9_1">
    <vt:lpwstr>http://www.zotero.org/styles/royal-society-of-chemistry-with-titles</vt:lpwstr>
  </property>
  <property fmtid="{D5CDD505-2E9C-101B-9397-08002B2CF9AE}" pid="21" name="Mendeley Recent Style Name 9_1">
    <vt:lpwstr>Royal Society of Chemistry (with titles)</vt:lpwstr>
  </property>
</Properties>
</file>