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1AC7F6" w14:textId="77777777" w:rsidR="00B409EA" w:rsidRPr="00495BF5" w:rsidRDefault="00B409EA" w:rsidP="00B409EA">
      <w:pPr>
        <w:spacing w:after="0"/>
        <w:jc w:val="center"/>
        <w:rPr>
          <w:rFonts w:ascii="Times New Roman" w:hAnsi="Times New Roman"/>
          <w:b/>
          <w:bCs/>
          <w:lang w:val="en-US"/>
        </w:rPr>
      </w:pPr>
      <w:bookmarkStart w:id="0" w:name="_Hlk166843364"/>
      <w:bookmarkStart w:id="1" w:name="_Hlk77602187"/>
      <w:r w:rsidRPr="00495BF5">
        <w:rPr>
          <w:rFonts w:ascii="Times New Roman" w:hAnsi="Times New Roman"/>
          <w:b/>
          <w:bCs/>
          <w:lang w:val="en-US"/>
        </w:rPr>
        <w:t xml:space="preserve">Nano-priming of </w:t>
      </w:r>
      <w:r w:rsidRPr="00495BF5">
        <w:rPr>
          <w:rFonts w:ascii="Times New Roman" w:hAnsi="Times New Roman"/>
          <w:b/>
          <w:bCs/>
          <w:i/>
          <w:iCs/>
          <w:lang w:val="en-US"/>
        </w:rPr>
        <w:t xml:space="preserve">Phaseolus vulgaris </w:t>
      </w:r>
      <w:r w:rsidRPr="00495BF5">
        <w:rPr>
          <w:rFonts w:ascii="Times New Roman" w:hAnsi="Times New Roman"/>
          <w:b/>
          <w:bCs/>
          <w:lang w:val="en-US"/>
        </w:rPr>
        <w:t>OTI cultivar with cobalt ferrite nanoparticles enhances the mineral composition of progeny seeds</w:t>
      </w:r>
    </w:p>
    <w:p w14:paraId="0076073B" w14:textId="77777777" w:rsidR="00B409EA" w:rsidRPr="00495BF5" w:rsidRDefault="00B409EA" w:rsidP="00B409EA">
      <w:pPr>
        <w:spacing w:after="0"/>
        <w:jc w:val="center"/>
        <w:rPr>
          <w:rFonts w:ascii="Times New Roman" w:hAnsi="Times New Roman"/>
          <w:b/>
          <w:bCs/>
          <w:sz w:val="20"/>
          <w:lang w:val="en-US"/>
        </w:rPr>
      </w:pPr>
    </w:p>
    <w:bookmarkEnd w:id="0"/>
    <w:p w14:paraId="4B001443" w14:textId="77777777" w:rsidR="00B409EA" w:rsidRPr="002C14DD" w:rsidRDefault="00B409EA" w:rsidP="00B409EA">
      <w:pPr>
        <w:spacing w:after="0"/>
        <w:jc w:val="left"/>
        <w:rPr>
          <w:rFonts w:ascii="Times New Roman" w:hAnsi="Times New Roman"/>
          <w:sz w:val="20"/>
          <w:vertAlign w:val="superscript"/>
        </w:rPr>
      </w:pPr>
      <w:r w:rsidRPr="002C14DD">
        <w:rPr>
          <w:rFonts w:ascii="Times New Roman" w:hAnsi="Times New Roman"/>
          <w:sz w:val="20"/>
        </w:rPr>
        <w:t>Yazmín Stefani Perea-</w:t>
      </w:r>
      <w:proofErr w:type="spellStart"/>
      <w:r w:rsidRPr="002C14DD">
        <w:rPr>
          <w:rFonts w:ascii="Times New Roman" w:hAnsi="Times New Roman"/>
          <w:sz w:val="20"/>
        </w:rPr>
        <w:t>Vélez</w:t>
      </w:r>
      <w:r w:rsidRPr="002C14DD">
        <w:rPr>
          <w:rFonts w:ascii="Times New Roman" w:hAnsi="Times New Roman"/>
          <w:sz w:val="20"/>
          <w:vertAlign w:val="superscript"/>
        </w:rPr>
        <w:t>a</w:t>
      </w:r>
      <w:proofErr w:type="spellEnd"/>
      <w:r w:rsidRPr="002C14DD">
        <w:rPr>
          <w:rFonts w:ascii="Times New Roman" w:hAnsi="Times New Roman"/>
          <w:sz w:val="20"/>
        </w:rPr>
        <w:t xml:space="preserve">, Rogelio Carrillo </w:t>
      </w:r>
      <w:proofErr w:type="spellStart"/>
      <w:r w:rsidRPr="002C14DD">
        <w:rPr>
          <w:rFonts w:ascii="Times New Roman" w:hAnsi="Times New Roman"/>
          <w:sz w:val="20"/>
        </w:rPr>
        <w:t>González</w:t>
      </w:r>
      <w:r w:rsidRPr="002C14DD">
        <w:rPr>
          <w:rFonts w:ascii="Times New Roman" w:hAnsi="Times New Roman"/>
          <w:sz w:val="20"/>
          <w:vertAlign w:val="superscript"/>
        </w:rPr>
        <w:t>a</w:t>
      </w:r>
      <w:proofErr w:type="spellEnd"/>
      <w:r w:rsidRPr="002C14DD">
        <w:rPr>
          <w:rFonts w:ascii="Times New Roman" w:hAnsi="Times New Roman"/>
          <w:sz w:val="20"/>
        </w:rPr>
        <w:t>, Ma. del Carmen A. González-</w:t>
      </w:r>
      <w:proofErr w:type="spellStart"/>
      <w:r w:rsidRPr="002C14DD">
        <w:rPr>
          <w:rFonts w:ascii="Times New Roman" w:hAnsi="Times New Roman"/>
          <w:sz w:val="20"/>
        </w:rPr>
        <w:t>Chávez</w:t>
      </w:r>
      <w:r w:rsidRPr="002C14DD">
        <w:rPr>
          <w:rFonts w:ascii="Times New Roman" w:hAnsi="Times New Roman"/>
          <w:sz w:val="20"/>
          <w:vertAlign w:val="superscript"/>
        </w:rPr>
        <w:t>a</w:t>
      </w:r>
      <w:proofErr w:type="spellEnd"/>
      <w:r w:rsidRPr="002C14DD">
        <w:rPr>
          <w:rFonts w:ascii="Times New Roman" w:hAnsi="Times New Roman"/>
          <w:sz w:val="20"/>
          <w:lang w:val="es-ES"/>
        </w:rPr>
        <w:t>†</w:t>
      </w:r>
      <w:r w:rsidRPr="002C14DD">
        <w:rPr>
          <w:rFonts w:ascii="Times New Roman" w:hAnsi="Times New Roman"/>
          <w:sz w:val="20"/>
        </w:rPr>
        <w:t xml:space="preserve">, Jaco </w:t>
      </w:r>
      <w:proofErr w:type="spellStart"/>
      <w:r w:rsidRPr="002C14DD">
        <w:rPr>
          <w:rFonts w:ascii="Times New Roman" w:hAnsi="Times New Roman"/>
          <w:sz w:val="20"/>
        </w:rPr>
        <w:t>Vangronsveld</w:t>
      </w:r>
      <w:r w:rsidRPr="002C14DD">
        <w:rPr>
          <w:rFonts w:ascii="Times New Roman" w:hAnsi="Times New Roman"/>
          <w:sz w:val="20"/>
          <w:vertAlign w:val="superscript"/>
        </w:rPr>
        <w:t>bc</w:t>
      </w:r>
      <w:proofErr w:type="spellEnd"/>
      <w:r w:rsidRPr="002C14DD">
        <w:rPr>
          <w:rFonts w:ascii="Times New Roman" w:hAnsi="Times New Roman"/>
          <w:sz w:val="20"/>
        </w:rPr>
        <w:t xml:space="preserve">, Daniel Tapia </w:t>
      </w:r>
      <w:proofErr w:type="spellStart"/>
      <w:r w:rsidRPr="002C14DD">
        <w:rPr>
          <w:rFonts w:ascii="Times New Roman" w:hAnsi="Times New Roman"/>
          <w:sz w:val="20"/>
        </w:rPr>
        <w:t>Maruri</w:t>
      </w:r>
      <w:r w:rsidRPr="002C14DD">
        <w:rPr>
          <w:rFonts w:ascii="Times New Roman" w:hAnsi="Times New Roman"/>
          <w:sz w:val="20"/>
          <w:vertAlign w:val="superscript"/>
        </w:rPr>
        <w:t>d</w:t>
      </w:r>
      <w:proofErr w:type="spellEnd"/>
      <w:r w:rsidRPr="002C14DD">
        <w:rPr>
          <w:rFonts w:ascii="Times New Roman" w:hAnsi="Times New Roman"/>
          <w:sz w:val="20"/>
        </w:rPr>
        <w:t xml:space="preserve">, Jaime López </w:t>
      </w:r>
      <w:proofErr w:type="spellStart"/>
      <w:r w:rsidRPr="002C14DD">
        <w:rPr>
          <w:rFonts w:ascii="Times New Roman" w:hAnsi="Times New Roman"/>
          <w:sz w:val="20"/>
        </w:rPr>
        <w:t>Luna</w:t>
      </w:r>
      <w:r w:rsidRPr="002C14DD">
        <w:rPr>
          <w:rFonts w:ascii="Times New Roman" w:hAnsi="Times New Roman"/>
          <w:sz w:val="20"/>
          <w:vertAlign w:val="superscript"/>
        </w:rPr>
        <w:t>e</w:t>
      </w:r>
      <w:proofErr w:type="spellEnd"/>
    </w:p>
    <w:p w14:paraId="5D162029" w14:textId="77777777" w:rsidR="00B409EA" w:rsidRPr="00495BF5" w:rsidRDefault="00B409EA" w:rsidP="00B409EA">
      <w:pPr>
        <w:spacing w:after="0"/>
        <w:jc w:val="left"/>
        <w:rPr>
          <w:rFonts w:ascii="Times New Roman" w:hAnsi="Times New Roman"/>
          <w:sz w:val="20"/>
          <w:lang w:val="en-US"/>
        </w:rPr>
      </w:pPr>
      <w:r w:rsidRPr="002C14DD">
        <w:rPr>
          <w:rFonts w:ascii="Times New Roman" w:hAnsi="Times New Roman"/>
          <w:sz w:val="20"/>
          <w:vertAlign w:val="superscript"/>
        </w:rPr>
        <w:t>a</w:t>
      </w:r>
      <w:r w:rsidRPr="002C14DD">
        <w:rPr>
          <w:rFonts w:ascii="Times New Roman" w:hAnsi="Times New Roman"/>
          <w:sz w:val="20"/>
        </w:rPr>
        <w:t xml:space="preserve"> Colegio de Postgraduados, Campus Montecillo, Carretera México-Texcoco, Texcoco, Edo. de México. </w:t>
      </w:r>
      <w:r w:rsidRPr="00495BF5">
        <w:rPr>
          <w:rFonts w:ascii="Times New Roman" w:hAnsi="Times New Roman"/>
          <w:sz w:val="20"/>
          <w:lang w:val="en-US"/>
        </w:rPr>
        <w:t>56264, Mexico</w:t>
      </w:r>
    </w:p>
    <w:p w14:paraId="34DCB7B0" w14:textId="77777777" w:rsidR="00B409EA" w:rsidRPr="00495BF5" w:rsidRDefault="00B409EA" w:rsidP="00B409EA">
      <w:pPr>
        <w:spacing w:after="0"/>
        <w:jc w:val="left"/>
        <w:rPr>
          <w:rFonts w:ascii="Times New Roman" w:hAnsi="Times New Roman"/>
          <w:sz w:val="20"/>
          <w:lang w:val="en-US"/>
        </w:rPr>
      </w:pPr>
      <w:r w:rsidRPr="00495BF5">
        <w:rPr>
          <w:rFonts w:ascii="Times New Roman" w:hAnsi="Times New Roman"/>
          <w:sz w:val="20"/>
          <w:vertAlign w:val="superscript"/>
          <w:lang w:val="en-US"/>
        </w:rPr>
        <w:t xml:space="preserve">b </w:t>
      </w:r>
      <w:r w:rsidRPr="00495BF5">
        <w:rPr>
          <w:rFonts w:ascii="Times New Roman" w:hAnsi="Times New Roman"/>
          <w:sz w:val="20"/>
          <w:lang w:val="en-US"/>
        </w:rPr>
        <w:t xml:space="preserve">Environmental Biology, Centre for Environmental Sciences, Hasselt University, </w:t>
      </w:r>
      <w:proofErr w:type="spellStart"/>
      <w:r w:rsidRPr="00495BF5">
        <w:rPr>
          <w:rFonts w:ascii="Times New Roman" w:hAnsi="Times New Roman"/>
          <w:sz w:val="20"/>
          <w:lang w:val="en-US"/>
        </w:rPr>
        <w:t>Agoralaan</w:t>
      </w:r>
      <w:proofErr w:type="spellEnd"/>
      <w:r w:rsidRPr="00495BF5">
        <w:rPr>
          <w:rFonts w:ascii="Times New Roman" w:hAnsi="Times New Roman"/>
          <w:sz w:val="20"/>
          <w:lang w:val="en-US"/>
        </w:rPr>
        <w:t xml:space="preserve">, building D, 3590 </w:t>
      </w:r>
      <w:proofErr w:type="spellStart"/>
      <w:r w:rsidRPr="00495BF5">
        <w:rPr>
          <w:rFonts w:ascii="Times New Roman" w:hAnsi="Times New Roman"/>
          <w:sz w:val="20"/>
          <w:lang w:val="en-US"/>
        </w:rPr>
        <w:t>Diepenbeek</w:t>
      </w:r>
      <w:proofErr w:type="spellEnd"/>
      <w:r w:rsidRPr="00495BF5">
        <w:rPr>
          <w:rFonts w:ascii="Times New Roman" w:hAnsi="Times New Roman"/>
          <w:sz w:val="20"/>
          <w:lang w:val="en-US"/>
        </w:rPr>
        <w:t>, Belgium</w:t>
      </w:r>
    </w:p>
    <w:p w14:paraId="127F98E8" w14:textId="77777777" w:rsidR="00B409EA" w:rsidRPr="00495BF5" w:rsidRDefault="00B409EA" w:rsidP="00B409EA">
      <w:pPr>
        <w:spacing w:after="0"/>
        <w:jc w:val="left"/>
        <w:rPr>
          <w:rFonts w:ascii="Times New Roman" w:hAnsi="Times New Roman"/>
          <w:sz w:val="20"/>
          <w:lang w:val="en-US"/>
        </w:rPr>
      </w:pPr>
      <w:r w:rsidRPr="00495BF5">
        <w:rPr>
          <w:rFonts w:ascii="Times New Roman" w:hAnsi="Times New Roman"/>
          <w:sz w:val="20"/>
          <w:vertAlign w:val="superscript"/>
          <w:lang w:val="en-US"/>
        </w:rPr>
        <w:t xml:space="preserve">c </w:t>
      </w:r>
      <w:r w:rsidRPr="00495BF5">
        <w:rPr>
          <w:rFonts w:ascii="Times New Roman" w:hAnsi="Times New Roman"/>
          <w:sz w:val="20"/>
          <w:lang w:val="en-US"/>
        </w:rPr>
        <w:t>Department of Plant Physiology and Biophysics, Institute of Biological Sciences, Maria Curie-</w:t>
      </w:r>
      <w:proofErr w:type="spellStart"/>
      <w:r w:rsidRPr="00495BF5">
        <w:rPr>
          <w:rFonts w:ascii="Times New Roman" w:hAnsi="Times New Roman"/>
          <w:sz w:val="20"/>
          <w:lang w:val="en-US"/>
        </w:rPr>
        <w:t>Skłodowska</w:t>
      </w:r>
      <w:proofErr w:type="spellEnd"/>
      <w:r w:rsidRPr="00495BF5">
        <w:rPr>
          <w:rFonts w:ascii="Times New Roman" w:hAnsi="Times New Roman"/>
          <w:sz w:val="20"/>
          <w:lang w:val="en-US"/>
        </w:rPr>
        <w:t xml:space="preserve"> University, </w:t>
      </w:r>
      <w:proofErr w:type="spellStart"/>
      <w:r w:rsidRPr="00495BF5">
        <w:rPr>
          <w:rFonts w:ascii="Times New Roman" w:hAnsi="Times New Roman"/>
          <w:sz w:val="20"/>
          <w:lang w:val="en-US"/>
        </w:rPr>
        <w:t>Akademicka</w:t>
      </w:r>
      <w:proofErr w:type="spellEnd"/>
      <w:r w:rsidRPr="00495BF5">
        <w:rPr>
          <w:rFonts w:ascii="Times New Roman" w:hAnsi="Times New Roman"/>
          <w:sz w:val="20"/>
          <w:lang w:val="en-US"/>
        </w:rPr>
        <w:t xml:space="preserve"> 19, 20-033 Lublin, Poland</w:t>
      </w:r>
    </w:p>
    <w:p w14:paraId="4419B813" w14:textId="77777777" w:rsidR="00B409EA" w:rsidRPr="002C14DD" w:rsidRDefault="00B409EA" w:rsidP="00B409EA">
      <w:pPr>
        <w:spacing w:after="0"/>
        <w:jc w:val="left"/>
        <w:rPr>
          <w:rFonts w:ascii="Times New Roman" w:hAnsi="Times New Roman"/>
          <w:sz w:val="20"/>
        </w:rPr>
      </w:pPr>
      <w:r w:rsidRPr="002C14DD">
        <w:rPr>
          <w:rFonts w:ascii="Times New Roman" w:hAnsi="Times New Roman"/>
          <w:sz w:val="20"/>
          <w:vertAlign w:val="superscript"/>
        </w:rPr>
        <w:t xml:space="preserve">d </w:t>
      </w:r>
      <w:r w:rsidRPr="002C14DD">
        <w:rPr>
          <w:rFonts w:ascii="Times New Roman" w:hAnsi="Times New Roman"/>
          <w:sz w:val="20"/>
        </w:rPr>
        <w:t xml:space="preserve">Instituto Politécnico Nacional, Yautepec, Morelos, </w:t>
      </w:r>
      <w:proofErr w:type="spellStart"/>
      <w:r w:rsidRPr="002C14DD">
        <w:rPr>
          <w:rFonts w:ascii="Times New Roman" w:hAnsi="Times New Roman"/>
          <w:sz w:val="20"/>
        </w:rPr>
        <w:t>Mexico</w:t>
      </w:r>
      <w:proofErr w:type="spellEnd"/>
    </w:p>
    <w:p w14:paraId="29B788CB" w14:textId="77777777" w:rsidR="00B409EA" w:rsidRDefault="00B409EA" w:rsidP="00B409EA">
      <w:pPr>
        <w:spacing w:after="0"/>
        <w:jc w:val="left"/>
        <w:rPr>
          <w:rFonts w:ascii="Times New Roman" w:hAnsi="Times New Roman"/>
          <w:sz w:val="20"/>
        </w:rPr>
      </w:pPr>
      <w:r w:rsidRPr="002C14DD">
        <w:rPr>
          <w:rFonts w:ascii="Times New Roman" w:hAnsi="Times New Roman"/>
          <w:sz w:val="20"/>
          <w:vertAlign w:val="superscript"/>
        </w:rPr>
        <w:t xml:space="preserve">e </w:t>
      </w:r>
      <w:r w:rsidRPr="002C14DD">
        <w:rPr>
          <w:rFonts w:ascii="Times New Roman" w:hAnsi="Times New Roman"/>
          <w:sz w:val="20"/>
        </w:rPr>
        <w:t xml:space="preserve">Instituto de Ecología, Red de Estudios Moleculares Avanzados, Veracruz, Xalapa, </w:t>
      </w:r>
      <w:proofErr w:type="spellStart"/>
      <w:r w:rsidRPr="002C14DD">
        <w:rPr>
          <w:rFonts w:ascii="Times New Roman" w:hAnsi="Times New Roman"/>
          <w:sz w:val="20"/>
        </w:rPr>
        <w:t>Mexico</w:t>
      </w:r>
      <w:proofErr w:type="spellEnd"/>
    </w:p>
    <w:p w14:paraId="5DA67621" w14:textId="77777777" w:rsidR="00B409EA" w:rsidRPr="002C14DD" w:rsidRDefault="00B409EA" w:rsidP="00B409EA">
      <w:pPr>
        <w:spacing w:after="0"/>
        <w:jc w:val="left"/>
        <w:rPr>
          <w:rFonts w:ascii="Times New Roman" w:hAnsi="Times New Roman"/>
          <w:sz w:val="20"/>
        </w:rPr>
      </w:pPr>
    </w:p>
    <w:bookmarkEnd w:id="1"/>
    <w:p w14:paraId="270DA226" w14:textId="223F55D2" w:rsidR="00394C01" w:rsidRPr="00B409EA" w:rsidRDefault="00394C01" w:rsidP="00394C01">
      <w:pPr>
        <w:pStyle w:val="Descripcin"/>
        <w:keepNext/>
        <w:jc w:val="both"/>
        <w:rPr>
          <w:rFonts w:ascii="Times New Roman" w:hAnsi="Times New Roman" w:cs="Times New Roman"/>
          <w:sz w:val="20"/>
          <w:szCs w:val="20"/>
        </w:rPr>
      </w:pPr>
      <w:r w:rsidRPr="00B409EA">
        <w:rPr>
          <w:rFonts w:ascii="Times New Roman" w:hAnsi="Times New Roman" w:cs="Times New Roman"/>
          <w:b/>
          <w:bCs/>
          <w:sz w:val="20"/>
          <w:szCs w:val="20"/>
        </w:rPr>
        <w:t>Table S6</w:t>
      </w:r>
      <w:r w:rsidRPr="00B409EA">
        <w:rPr>
          <w:rFonts w:ascii="Times New Roman" w:hAnsi="Times New Roman" w:cs="Times New Roman"/>
          <w:sz w:val="20"/>
          <w:szCs w:val="20"/>
        </w:rPr>
        <w:t>. Physiological and agronomic traits of OTI bean plants (R9 stage, 81 days after sowing) from unprimed and primed seeds.</w:t>
      </w:r>
    </w:p>
    <w:tbl>
      <w:tblPr>
        <w:tblStyle w:val="Tablaconcuadrcula"/>
        <w:tblW w:w="4837"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643"/>
        <w:gridCol w:w="1706"/>
        <w:gridCol w:w="1706"/>
        <w:gridCol w:w="1708"/>
        <w:gridCol w:w="1706"/>
        <w:gridCol w:w="1706"/>
      </w:tblGrid>
      <w:tr w:rsidR="00394C01" w:rsidRPr="00B409EA" w14:paraId="2B408EBD" w14:textId="77777777" w:rsidTr="00394C01">
        <w:trPr>
          <w:trHeight w:val="283"/>
          <w:jc w:val="center"/>
        </w:trPr>
        <w:tc>
          <w:tcPr>
            <w:tcW w:w="956" w:type="pct"/>
            <w:vMerge w:val="restart"/>
            <w:tcBorders>
              <w:top w:val="single" w:sz="4" w:space="0" w:color="auto"/>
              <w:bottom w:val="nil"/>
            </w:tcBorders>
            <w:vAlign w:val="center"/>
          </w:tcPr>
          <w:p w14:paraId="51124D97"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Variable</w:t>
            </w:r>
          </w:p>
        </w:tc>
        <w:tc>
          <w:tcPr>
            <w:tcW w:w="3365" w:type="pct"/>
            <w:gridSpan w:val="5"/>
            <w:tcBorders>
              <w:top w:val="single" w:sz="4" w:space="0" w:color="auto"/>
              <w:bottom w:val="single" w:sz="4" w:space="0" w:color="auto"/>
            </w:tcBorders>
            <w:vAlign w:val="center"/>
          </w:tcPr>
          <w:p w14:paraId="46378620"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Treatment</w:t>
            </w:r>
          </w:p>
        </w:tc>
        <w:tc>
          <w:tcPr>
            <w:tcW w:w="679" w:type="pct"/>
            <w:tcBorders>
              <w:top w:val="single" w:sz="4" w:space="0" w:color="auto"/>
              <w:bottom w:val="nil"/>
            </w:tcBorders>
            <w:vAlign w:val="center"/>
          </w:tcPr>
          <w:p w14:paraId="5B216585"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Varietal description</w:t>
            </w:r>
            <w:r w:rsidRPr="00B409EA">
              <w:rPr>
                <w:rFonts w:ascii="Times New Roman" w:hAnsi="Times New Roman"/>
                <w:sz w:val="20"/>
                <w:vertAlign w:val="superscript"/>
                <w:lang w:val="en-US" w:eastAsia="es-MX"/>
              </w:rPr>
              <w:t>†</w:t>
            </w:r>
          </w:p>
        </w:tc>
      </w:tr>
      <w:tr w:rsidR="00394C01" w:rsidRPr="00B409EA" w14:paraId="6A878C8E" w14:textId="77777777" w:rsidTr="00394C01">
        <w:trPr>
          <w:trHeight w:val="283"/>
          <w:jc w:val="center"/>
        </w:trPr>
        <w:tc>
          <w:tcPr>
            <w:tcW w:w="956" w:type="pct"/>
            <w:vMerge/>
            <w:tcBorders>
              <w:top w:val="nil"/>
              <w:bottom w:val="single" w:sz="4" w:space="0" w:color="auto"/>
            </w:tcBorders>
            <w:vAlign w:val="center"/>
          </w:tcPr>
          <w:p w14:paraId="66B09FF5" w14:textId="77777777" w:rsidR="00394C01" w:rsidRPr="00B409EA" w:rsidRDefault="00394C01" w:rsidP="00235AC6">
            <w:pPr>
              <w:spacing w:line="240" w:lineRule="auto"/>
              <w:contextualSpacing/>
              <w:jc w:val="center"/>
              <w:rPr>
                <w:rFonts w:ascii="Times New Roman" w:hAnsi="Times New Roman"/>
                <w:sz w:val="20"/>
                <w:lang w:val="en-US"/>
              </w:rPr>
            </w:pPr>
          </w:p>
        </w:tc>
        <w:tc>
          <w:tcPr>
            <w:tcW w:w="653" w:type="pct"/>
            <w:tcBorders>
              <w:top w:val="single" w:sz="4" w:space="0" w:color="auto"/>
              <w:bottom w:val="single" w:sz="4" w:space="0" w:color="auto"/>
            </w:tcBorders>
            <w:vAlign w:val="center"/>
          </w:tcPr>
          <w:p w14:paraId="20F555CB"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Control</w:t>
            </w:r>
          </w:p>
        </w:tc>
        <w:tc>
          <w:tcPr>
            <w:tcW w:w="678" w:type="pct"/>
            <w:tcBorders>
              <w:top w:val="single" w:sz="4" w:space="0" w:color="auto"/>
              <w:bottom w:val="single" w:sz="4" w:space="0" w:color="auto"/>
            </w:tcBorders>
            <w:vAlign w:val="center"/>
          </w:tcPr>
          <w:p w14:paraId="7EE913C6"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Hydropriming</w:t>
            </w:r>
          </w:p>
        </w:tc>
        <w:tc>
          <w:tcPr>
            <w:tcW w:w="678" w:type="pct"/>
            <w:tcBorders>
              <w:top w:val="single" w:sz="4" w:space="0" w:color="auto"/>
              <w:bottom w:val="single" w:sz="4" w:space="0" w:color="auto"/>
            </w:tcBorders>
            <w:vAlign w:val="center"/>
          </w:tcPr>
          <w:p w14:paraId="4EA89AA0"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10 mg NPs</w:t>
            </w:r>
          </w:p>
        </w:tc>
        <w:tc>
          <w:tcPr>
            <w:tcW w:w="679" w:type="pct"/>
            <w:tcBorders>
              <w:top w:val="single" w:sz="4" w:space="0" w:color="auto"/>
              <w:bottom w:val="single" w:sz="4" w:space="0" w:color="auto"/>
            </w:tcBorders>
            <w:vAlign w:val="center"/>
          </w:tcPr>
          <w:p w14:paraId="3540C42B"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20 mg NPs</w:t>
            </w:r>
          </w:p>
        </w:tc>
        <w:tc>
          <w:tcPr>
            <w:tcW w:w="678" w:type="pct"/>
            <w:tcBorders>
              <w:top w:val="single" w:sz="4" w:space="0" w:color="auto"/>
              <w:bottom w:val="single" w:sz="4" w:space="0" w:color="auto"/>
            </w:tcBorders>
            <w:vAlign w:val="center"/>
          </w:tcPr>
          <w:p w14:paraId="10B26982"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rPr>
              <w:t>40 mg NPs</w:t>
            </w:r>
          </w:p>
        </w:tc>
        <w:tc>
          <w:tcPr>
            <w:tcW w:w="679" w:type="pct"/>
            <w:tcBorders>
              <w:top w:val="nil"/>
              <w:bottom w:val="single" w:sz="4" w:space="0" w:color="auto"/>
            </w:tcBorders>
            <w:vAlign w:val="center"/>
          </w:tcPr>
          <w:p w14:paraId="2786696F" w14:textId="77777777" w:rsidR="00394C01" w:rsidRPr="00B409EA" w:rsidRDefault="00394C01" w:rsidP="00235AC6">
            <w:pPr>
              <w:spacing w:line="240" w:lineRule="auto"/>
              <w:contextualSpacing/>
              <w:jc w:val="center"/>
              <w:rPr>
                <w:rFonts w:ascii="Times New Roman" w:hAnsi="Times New Roman"/>
                <w:sz w:val="20"/>
                <w:lang w:val="en-US"/>
              </w:rPr>
            </w:pPr>
          </w:p>
        </w:tc>
      </w:tr>
      <w:tr w:rsidR="00394C01" w:rsidRPr="00B409EA" w14:paraId="5FEE3B3F" w14:textId="77777777" w:rsidTr="00394C01">
        <w:trPr>
          <w:trHeight w:val="283"/>
          <w:jc w:val="center"/>
        </w:trPr>
        <w:tc>
          <w:tcPr>
            <w:tcW w:w="956" w:type="pct"/>
            <w:tcBorders>
              <w:top w:val="single" w:sz="4" w:space="0" w:color="auto"/>
            </w:tcBorders>
            <w:vAlign w:val="center"/>
          </w:tcPr>
          <w:p w14:paraId="6D281D7E" w14:textId="77777777" w:rsidR="00394C01" w:rsidRPr="00B409EA" w:rsidRDefault="00394C01" w:rsidP="00235AC6">
            <w:pPr>
              <w:spacing w:line="240" w:lineRule="auto"/>
              <w:contextualSpacing/>
              <w:jc w:val="left"/>
              <w:rPr>
                <w:rFonts w:ascii="Times New Roman" w:hAnsi="Times New Roman"/>
                <w:sz w:val="20"/>
                <w:lang w:val="en-US"/>
              </w:rPr>
            </w:pPr>
            <w:r w:rsidRPr="00B409EA">
              <w:rPr>
                <w:rFonts w:ascii="Times New Roman" w:hAnsi="Times New Roman"/>
                <w:sz w:val="20"/>
                <w:lang w:val="en-US"/>
              </w:rPr>
              <w:t>DW plant aerial part (g)</w:t>
            </w:r>
          </w:p>
        </w:tc>
        <w:tc>
          <w:tcPr>
            <w:tcW w:w="653" w:type="pct"/>
            <w:tcBorders>
              <w:top w:val="single" w:sz="4" w:space="0" w:color="auto"/>
            </w:tcBorders>
            <w:vAlign w:val="center"/>
          </w:tcPr>
          <w:p w14:paraId="370058EB" w14:textId="78C6622C"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16.6 ± 3.6 ns</w:t>
            </w:r>
          </w:p>
        </w:tc>
        <w:tc>
          <w:tcPr>
            <w:tcW w:w="678" w:type="pct"/>
            <w:tcBorders>
              <w:top w:val="single" w:sz="4" w:space="0" w:color="auto"/>
            </w:tcBorders>
            <w:vAlign w:val="center"/>
          </w:tcPr>
          <w:p w14:paraId="236009D0" w14:textId="7B4FC63E"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15.8 ± 3.3 ns</w:t>
            </w:r>
          </w:p>
        </w:tc>
        <w:tc>
          <w:tcPr>
            <w:tcW w:w="678" w:type="pct"/>
            <w:tcBorders>
              <w:top w:val="single" w:sz="4" w:space="0" w:color="auto"/>
            </w:tcBorders>
            <w:vAlign w:val="center"/>
          </w:tcPr>
          <w:p w14:paraId="36652D41" w14:textId="53FCF36C"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12.8 ± 3.1 ns</w:t>
            </w:r>
          </w:p>
        </w:tc>
        <w:tc>
          <w:tcPr>
            <w:tcW w:w="679" w:type="pct"/>
            <w:tcBorders>
              <w:top w:val="single" w:sz="4" w:space="0" w:color="auto"/>
            </w:tcBorders>
            <w:vAlign w:val="center"/>
          </w:tcPr>
          <w:p w14:paraId="6285F565" w14:textId="3CEFAA40"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16.4 ± 5.3 ns</w:t>
            </w:r>
          </w:p>
        </w:tc>
        <w:tc>
          <w:tcPr>
            <w:tcW w:w="678" w:type="pct"/>
            <w:tcBorders>
              <w:top w:val="single" w:sz="4" w:space="0" w:color="auto"/>
            </w:tcBorders>
            <w:vAlign w:val="center"/>
          </w:tcPr>
          <w:p w14:paraId="48241B47" w14:textId="3E941165"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14.8 ± 0.2 ns</w:t>
            </w:r>
          </w:p>
        </w:tc>
        <w:tc>
          <w:tcPr>
            <w:tcW w:w="679" w:type="pct"/>
            <w:tcBorders>
              <w:top w:val="single" w:sz="4" w:space="0" w:color="auto"/>
            </w:tcBorders>
            <w:vAlign w:val="center"/>
          </w:tcPr>
          <w:p w14:paraId="2C3748BD"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w:t>
            </w:r>
          </w:p>
        </w:tc>
      </w:tr>
      <w:tr w:rsidR="00394C01" w:rsidRPr="00B409EA" w14:paraId="0B9D125C" w14:textId="77777777" w:rsidTr="00394C01">
        <w:trPr>
          <w:trHeight w:val="283"/>
          <w:jc w:val="center"/>
        </w:trPr>
        <w:tc>
          <w:tcPr>
            <w:tcW w:w="956" w:type="pct"/>
            <w:vAlign w:val="center"/>
          </w:tcPr>
          <w:p w14:paraId="5163CFC1" w14:textId="77777777" w:rsidR="00394C01" w:rsidRPr="00B409EA" w:rsidRDefault="00394C01" w:rsidP="00235AC6">
            <w:pPr>
              <w:spacing w:line="240" w:lineRule="auto"/>
              <w:contextualSpacing/>
              <w:jc w:val="left"/>
              <w:rPr>
                <w:rFonts w:ascii="Times New Roman" w:hAnsi="Times New Roman"/>
                <w:sz w:val="20"/>
                <w:lang w:val="en-US"/>
              </w:rPr>
            </w:pPr>
            <w:r w:rsidRPr="00B409EA">
              <w:rPr>
                <w:rFonts w:ascii="Times New Roman" w:hAnsi="Times New Roman"/>
                <w:sz w:val="20"/>
                <w:lang w:val="en-US"/>
              </w:rPr>
              <w:t>DW root (g)</w:t>
            </w:r>
          </w:p>
        </w:tc>
        <w:tc>
          <w:tcPr>
            <w:tcW w:w="653" w:type="pct"/>
            <w:vAlign w:val="center"/>
          </w:tcPr>
          <w:p w14:paraId="7D260038" w14:textId="460D17A9"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4.3 ± 0.7 ns</w:t>
            </w:r>
          </w:p>
        </w:tc>
        <w:tc>
          <w:tcPr>
            <w:tcW w:w="678" w:type="pct"/>
            <w:vAlign w:val="center"/>
          </w:tcPr>
          <w:p w14:paraId="35E34DC5" w14:textId="621F1AD9"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4.5 ± 0.9 ns</w:t>
            </w:r>
          </w:p>
        </w:tc>
        <w:tc>
          <w:tcPr>
            <w:tcW w:w="678" w:type="pct"/>
            <w:vAlign w:val="center"/>
          </w:tcPr>
          <w:p w14:paraId="6C2B47EB" w14:textId="59A49A53"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4.2 ± 0.9 ns</w:t>
            </w:r>
          </w:p>
        </w:tc>
        <w:tc>
          <w:tcPr>
            <w:tcW w:w="679" w:type="pct"/>
            <w:vAlign w:val="center"/>
          </w:tcPr>
          <w:p w14:paraId="5372FBE7" w14:textId="283807DB"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4.6 ± 1.6 ns</w:t>
            </w:r>
          </w:p>
        </w:tc>
        <w:tc>
          <w:tcPr>
            <w:tcW w:w="678" w:type="pct"/>
            <w:vAlign w:val="center"/>
          </w:tcPr>
          <w:p w14:paraId="7D36BEBB" w14:textId="61FC7864"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4.6 ± 0.4 ns</w:t>
            </w:r>
          </w:p>
        </w:tc>
        <w:tc>
          <w:tcPr>
            <w:tcW w:w="679" w:type="pct"/>
            <w:vAlign w:val="center"/>
          </w:tcPr>
          <w:p w14:paraId="384008C4"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w:t>
            </w:r>
          </w:p>
        </w:tc>
      </w:tr>
      <w:tr w:rsidR="00394C01" w:rsidRPr="00B409EA" w14:paraId="56FDB7C0" w14:textId="77777777" w:rsidTr="00394C01">
        <w:trPr>
          <w:trHeight w:val="283"/>
          <w:jc w:val="center"/>
        </w:trPr>
        <w:tc>
          <w:tcPr>
            <w:tcW w:w="956" w:type="pct"/>
            <w:vAlign w:val="center"/>
          </w:tcPr>
          <w:p w14:paraId="23D60E05" w14:textId="77777777" w:rsidR="00394C01" w:rsidRPr="00B409EA" w:rsidRDefault="00394C01" w:rsidP="00235AC6">
            <w:pPr>
              <w:spacing w:line="240" w:lineRule="auto"/>
              <w:contextualSpacing/>
              <w:jc w:val="left"/>
              <w:rPr>
                <w:rFonts w:ascii="Times New Roman" w:hAnsi="Times New Roman"/>
                <w:sz w:val="20"/>
                <w:lang w:val="en-US"/>
              </w:rPr>
            </w:pPr>
            <w:r w:rsidRPr="00B409EA">
              <w:rPr>
                <w:rFonts w:ascii="Times New Roman" w:hAnsi="Times New Roman"/>
                <w:sz w:val="20"/>
                <w:lang w:val="en-US"/>
              </w:rPr>
              <w:t>Stem diameter (mm)</w:t>
            </w:r>
          </w:p>
        </w:tc>
        <w:tc>
          <w:tcPr>
            <w:tcW w:w="653" w:type="pct"/>
            <w:vAlign w:val="center"/>
          </w:tcPr>
          <w:p w14:paraId="65E48AF0" w14:textId="78398B5C"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6.9 ± 0.3 ns</w:t>
            </w:r>
          </w:p>
        </w:tc>
        <w:tc>
          <w:tcPr>
            <w:tcW w:w="678" w:type="pct"/>
            <w:vAlign w:val="center"/>
          </w:tcPr>
          <w:p w14:paraId="0BB31114" w14:textId="0FFAB81A"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6.8 ± 0.6 ns</w:t>
            </w:r>
          </w:p>
        </w:tc>
        <w:tc>
          <w:tcPr>
            <w:tcW w:w="678" w:type="pct"/>
            <w:vAlign w:val="center"/>
          </w:tcPr>
          <w:p w14:paraId="6FA2D15A" w14:textId="7D7ED5ED"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6.2 ± 1.3 ns</w:t>
            </w:r>
          </w:p>
        </w:tc>
        <w:tc>
          <w:tcPr>
            <w:tcW w:w="679" w:type="pct"/>
            <w:vAlign w:val="center"/>
          </w:tcPr>
          <w:p w14:paraId="54466686" w14:textId="2CBC5D33"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6.8 ± 0.8 ns</w:t>
            </w:r>
          </w:p>
        </w:tc>
        <w:tc>
          <w:tcPr>
            <w:tcW w:w="678" w:type="pct"/>
            <w:vAlign w:val="center"/>
          </w:tcPr>
          <w:p w14:paraId="2BD81433" w14:textId="6EB72CA2"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6.8 ± 0.4 ns</w:t>
            </w:r>
          </w:p>
        </w:tc>
        <w:tc>
          <w:tcPr>
            <w:tcW w:w="679" w:type="pct"/>
            <w:vAlign w:val="center"/>
          </w:tcPr>
          <w:p w14:paraId="1B8BA320"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w:t>
            </w:r>
          </w:p>
        </w:tc>
      </w:tr>
      <w:tr w:rsidR="00394C01" w:rsidRPr="00B409EA" w14:paraId="4245FA54" w14:textId="77777777" w:rsidTr="00394C01">
        <w:trPr>
          <w:trHeight w:val="283"/>
          <w:jc w:val="center"/>
        </w:trPr>
        <w:tc>
          <w:tcPr>
            <w:tcW w:w="956" w:type="pct"/>
            <w:vAlign w:val="center"/>
          </w:tcPr>
          <w:p w14:paraId="5E7F1245" w14:textId="77777777" w:rsidR="00394C01" w:rsidRPr="00B409EA" w:rsidRDefault="00394C01" w:rsidP="00394C01">
            <w:pPr>
              <w:spacing w:line="240" w:lineRule="auto"/>
              <w:contextualSpacing/>
              <w:jc w:val="left"/>
              <w:rPr>
                <w:rFonts w:ascii="Times New Roman" w:hAnsi="Times New Roman"/>
                <w:sz w:val="20"/>
                <w:lang w:val="en-US"/>
              </w:rPr>
            </w:pPr>
            <w:r w:rsidRPr="00B409EA">
              <w:rPr>
                <w:rFonts w:ascii="Times New Roman" w:hAnsi="Times New Roman"/>
                <w:sz w:val="20"/>
                <w:lang w:val="en-US"/>
              </w:rPr>
              <w:t>Total nodules</w:t>
            </w:r>
          </w:p>
        </w:tc>
        <w:tc>
          <w:tcPr>
            <w:tcW w:w="653" w:type="pct"/>
            <w:vAlign w:val="center"/>
          </w:tcPr>
          <w:p w14:paraId="4BECD2E2" w14:textId="03E0D46E"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40 ± 25 c</w:t>
            </w:r>
          </w:p>
        </w:tc>
        <w:tc>
          <w:tcPr>
            <w:tcW w:w="678" w:type="pct"/>
            <w:vAlign w:val="center"/>
          </w:tcPr>
          <w:p w14:paraId="5762FE91" w14:textId="7C29B376"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 xml:space="preserve">84 ± 55 </w:t>
            </w:r>
            <w:proofErr w:type="spellStart"/>
            <w:r w:rsidRPr="00B409EA">
              <w:rPr>
                <w:rFonts w:ascii="Times New Roman" w:hAnsi="Times New Roman"/>
                <w:sz w:val="20"/>
                <w:lang w:val="en-US" w:eastAsia="es-MX"/>
              </w:rPr>
              <w:t>bc</w:t>
            </w:r>
            <w:proofErr w:type="spellEnd"/>
          </w:p>
        </w:tc>
        <w:tc>
          <w:tcPr>
            <w:tcW w:w="678" w:type="pct"/>
            <w:vAlign w:val="center"/>
          </w:tcPr>
          <w:p w14:paraId="0BCCF20C" w14:textId="44F92BCB"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133 ± 56 ab</w:t>
            </w:r>
          </w:p>
        </w:tc>
        <w:tc>
          <w:tcPr>
            <w:tcW w:w="679" w:type="pct"/>
            <w:vAlign w:val="center"/>
          </w:tcPr>
          <w:p w14:paraId="506E6304" w14:textId="1BE5A6AF"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136 ± 40 ab</w:t>
            </w:r>
          </w:p>
        </w:tc>
        <w:tc>
          <w:tcPr>
            <w:tcW w:w="678" w:type="pct"/>
            <w:vAlign w:val="center"/>
          </w:tcPr>
          <w:p w14:paraId="35D9742F" w14:textId="0E4C3BBB"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187 ± 35 a</w:t>
            </w:r>
          </w:p>
        </w:tc>
        <w:tc>
          <w:tcPr>
            <w:tcW w:w="679" w:type="pct"/>
            <w:vAlign w:val="center"/>
          </w:tcPr>
          <w:p w14:paraId="724AFFD8" w14:textId="77777777"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w:t>
            </w:r>
          </w:p>
        </w:tc>
      </w:tr>
      <w:tr w:rsidR="00394C01" w:rsidRPr="00B409EA" w14:paraId="17B3CDE8" w14:textId="77777777" w:rsidTr="00394C01">
        <w:trPr>
          <w:trHeight w:val="283"/>
          <w:jc w:val="center"/>
        </w:trPr>
        <w:tc>
          <w:tcPr>
            <w:tcW w:w="956" w:type="pct"/>
            <w:vAlign w:val="center"/>
          </w:tcPr>
          <w:p w14:paraId="11A141E9" w14:textId="77777777" w:rsidR="00394C01" w:rsidRPr="00B409EA" w:rsidRDefault="00394C01" w:rsidP="00394C01">
            <w:pPr>
              <w:spacing w:line="240" w:lineRule="auto"/>
              <w:contextualSpacing/>
              <w:jc w:val="left"/>
              <w:rPr>
                <w:rFonts w:ascii="Times New Roman" w:hAnsi="Times New Roman"/>
                <w:sz w:val="20"/>
                <w:lang w:val="en-US"/>
              </w:rPr>
            </w:pPr>
            <w:r w:rsidRPr="00B409EA">
              <w:rPr>
                <w:rFonts w:ascii="Times New Roman" w:hAnsi="Times New Roman"/>
                <w:sz w:val="20"/>
                <w:lang w:val="en-US"/>
              </w:rPr>
              <w:t>Nodules weight (g)</w:t>
            </w:r>
          </w:p>
        </w:tc>
        <w:tc>
          <w:tcPr>
            <w:tcW w:w="653" w:type="pct"/>
            <w:vAlign w:val="center"/>
          </w:tcPr>
          <w:p w14:paraId="726A2F81" w14:textId="0CACDFF7"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0.6 ± 0.4 b</w:t>
            </w:r>
          </w:p>
        </w:tc>
        <w:tc>
          <w:tcPr>
            <w:tcW w:w="678" w:type="pct"/>
            <w:vAlign w:val="center"/>
          </w:tcPr>
          <w:p w14:paraId="6EAD59FA" w14:textId="51B7FFEB"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1.1 ± 0.7 ab</w:t>
            </w:r>
          </w:p>
        </w:tc>
        <w:tc>
          <w:tcPr>
            <w:tcW w:w="678" w:type="pct"/>
            <w:vAlign w:val="center"/>
          </w:tcPr>
          <w:p w14:paraId="0B61BE3D" w14:textId="607AA566"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1.0 ± 0.7 ab</w:t>
            </w:r>
          </w:p>
        </w:tc>
        <w:tc>
          <w:tcPr>
            <w:tcW w:w="679" w:type="pct"/>
            <w:vAlign w:val="center"/>
          </w:tcPr>
          <w:p w14:paraId="3FCBEBB9" w14:textId="0B110D07"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2.8 ± 1.9 a</w:t>
            </w:r>
          </w:p>
        </w:tc>
        <w:tc>
          <w:tcPr>
            <w:tcW w:w="678" w:type="pct"/>
            <w:vAlign w:val="center"/>
          </w:tcPr>
          <w:p w14:paraId="0D1EEF94" w14:textId="73B96449"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2.2 ± 0.2 ab</w:t>
            </w:r>
          </w:p>
        </w:tc>
        <w:tc>
          <w:tcPr>
            <w:tcW w:w="679" w:type="pct"/>
            <w:vAlign w:val="center"/>
          </w:tcPr>
          <w:p w14:paraId="76D9AC4C" w14:textId="77777777" w:rsidR="00394C01" w:rsidRPr="00B409EA" w:rsidRDefault="00394C01" w:rsidP="00394C01">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w:t>
            </w:r>
          </w:p>
        </w:tc>
      </w:tr>
      <w:tr w:rsidR="00394C01" w:rsidRPr="00B409EA" w14:paraId="5B977C8E" w14:textId="77777777" w:rsidTr="00394C01">
        <w:trPr>
          <w:trHeight w:val="283"/>
          <w:jc w:val="center"/>
        </w:trPr>
        <w:tc>
          <w:tcPr>
            <w:tcW w:w="956" w:type="pct"/>
            <w:vAlign w:val="center"/>
          </w:tcPr>
          <w:p w14:paraId="67EEFF24" w14:textId="77777777" w:rsidR="00394C01" w:rsidRPr="00B409EA" w:rsidRDefault="00394C01" w:rsidP="00235AC6">
            <w:pPr>
              <w:spacing w:line="240" w:lineRule="auto"/>
              <w:contextualSpacing/>
              <w:jc w:val="left"/>
              <w:rPr>
                <w:rFonts w:ascii="Times New Roman" w:hAnsi="Times New Roman"/>
                <w:sz w:val="20"/>
                <w:lang w:val="en-US"/>
              </w:rPr>
            </w:pPr>
            <w:r w:rsidRPr="00B409EA">
              <w:rPr>
                <w:rFonts w:ascii="Times New Roman" w:hAnsi="Times New Roman"/>
                <w:sz w:val="20"/>
                <w:lang w:val="en-US" w:eastAsia="es-MX"/>
              </w:rPr>
              <w:t>Pods per plant</w:t>
            </w:r>
          </w:p>
        </w:tc>
        <w:tc>
          <w:tcPr>
            <w:tcW w:w="653" w:type="pct"/>
            <w:vAlign w:val="center"/>
          </w:tcPr>
          <w:p w14:paraId="56BEFB51" w14:textId="3E8F6F84"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20 ± 1 ns</w:t>
            </w:r>
          </w:p>
        </w:tc>
        <w:tc>
          <w:tcPr>
            <w:tcW w:w="678" w:type="pct"/>
            <w:vAlign w:val="center"/>
          </w:tcPr>
          <w:p w14:paraId="77BC3A33" w14:textId="101E3E46"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22 ± 2 ns</w:t>
            </w:r>
          </w:p>
        </w:tc>
        <w:tc>
          <w:tcPr>
            <w:tcW w:w="678" w:type="pct"/>
            <w:vAlign w:val="center"/>
          </w:tcPr>
          <w:p w14:paraId="0B11A653" w14:textId="1AAD3DF0"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21 ± 1 ns</w:t>
            </w:r>
          </w:p>
        </w:tc>
        <w:tc>
          <w:tcPr>
            <w:tcW w:w="679" w:type="pct"/>
            <w:vAlign w:val="center"/>
          </w:tcPr>
          <w:p w14:paraId="3F2671EE" w14:textId="47A949BA"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20 ± 4 ns</w:t>
            </w:r>
          </w:p>
        </w:tc>
        <w:tc>
          <w:tcPr>
            <w:tcW w:w="678" w:type="pct"/>
            <w:vAlign w:val="center"/>
          </w:tcPr>
          <w:p w14:paraId="40ED7EA5" w14:textId="1399057E"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19 ± 3 ns</w:t>
            </w:r>
          </w:p>
        </w:tc>
        <w:tc>
          <w:tcPr>
            <w:tcW w:w="679" w:type="pct"/>
            <w:vAlign w:val="center"/>
          </w:tcPr>
          <w:p w14:paraId="722048D8" w14:textId="77777777" w:rsidR="00394C01" w:rsidRPr="00B409EA" w:rsidRDefault="00394C01" w:rsidP="00235AC6">
            <w:pPr>
              <w:spacing w:line="240" w:lineRule="auto"/>
              <w:contextualSpacing/>
              <w:jc w:val="center"/>
              <w:rPr>
                <w:rFonts w:ascii="Times New Roman" w:hAnsi="Times New Roman"/>
                <w:sz w:val="20"/>
                <w:lang w:val="en-US"/>
              </w:rPr>
            </w:pPr>
            <w:r w:rsidRPr="00B409EA">
              <w:rPr>
                <w:rFonts w:ascii="Times New Roman" w:hAnsi="Times New Roman"/>
                <w:sz w:val="20"/>
                <w:lang w:val="en-US" w:eastAsia="es-MX"/>
              </w:rPr>
              <w:t>54</w:t>
            </w:r>
          </w:p>
        </w:tc>
      </w:tr>
      <w:tr w:rsidR="00394C01" w:rsidRPr="00B409EA" w14:paraId="2ECC27A2" w14:textId="77777777" w:rsidTr="00394C01">
        <w:trPr>
          <w:trHeight w:val="283"/>
          <w:jc w:val="center"/>
        </w:trPr>
        <w:tc>
          <w:tcPr>
            <w:tcW w:w="956" w:type="pct"/>
            <w:vAlign w:val="center"/>
          </w:tcPr>
          <w:p w14:paraId="5D92379D" w14:textId="77777777"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Pod length (cm)</w:t>
            </w:r>
          </w:p>
        </w:tc>
        <w:tc>
          <w:tcPr>
            <w:tcW w:w="653" w:type="pct"/>
            <w:vAlign w:val="center"/>
          </w:tcPr>
          <w:p w14:paraId="4D6C6EAE" w14:textId="7E01383A"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11.2 ± 0.3 ns</w:t>
            </w:r>
          </w:p>
        </w:tc>
        <w:tc>
          <w:tcPr>
            <w:tcW w:w="678" w:type="pct"/>
            <w:vAlign w:val="center"/>
          </w:tcPr>
          <w:p w14:paraId="53DEF196" w14:textId="1C0BD0D9"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11.1 ± 0.3 ns</w:t>
            </w:r>
          </w:p>
        </w:tc>
        <w:tc>
          <w:tcPr>
            <w:tcW w:w="678" w:type="pct"/>
            <w:vAlign w:val="center"/>
          </w:tcPr>
          <w:p w14:paraId="2AE6E24F" w14:textId="5433F093"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11.0 ± 0.0 ns</w:t>
            </w:r>
          </w:p>
        </w:tc>
        <w:tc>
          <w:tcPr>
            <w:tcW w:w="679" w:type="pct"/>
            <w:vAlign w:val="center"/>
          </w:tcPr>
          <w:p w14:paraId="7684A9DE" w14:textId="7C9E0530"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10.9 ± 0.9 ns</w:t>
            </w:r>
          </w:p>
        </w:tc>
        <w:tc>
          <w:tcPr>
            <w:tcW w:w="678" w:type="pct"/>
            <w:vAlign w:val="center"/>
          </w:tcPr>
          <w:p w14:paraId="5A759A31" w14:textId="028263D5"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11.0 ± 0.3 ns</w:t>
            </w:r>
          </w:p>
        </w:tc>
        <w:tc>
          <w:tcPr>
            <w:tcW w:w="679" w:type="pct"/>
            <w:vAlign w:val="center"/>
          </w:tcPr>
          <w:p w14:paraId="6CA91D0B"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10.5</w:t>
            </w:r>
          </w:p>
        </w:tc>
      </w:tr>
      <w:tr w:rsidR="00394C01" w:rsidRPr="00B409EA" w14:paraId="337B2BC4" w14:textId="77777777" w:rsidTr="00394C01">
        <w:trPr>
          <w:trHeight w:val="283"/>
          <w:jc w:val="center"/>
        </w:trPr>
        <w:tc>
          <w:tcPr>
            <w:tcW w:w="956" w:type="pct"/>
            <w:vAlign w:val="center"/>
          </w:tcPr>
          <w:p w14:paraId="69193669" w14:textId="77777777"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Pod width (cm)</w:t>
            </w:r>
          </w:p>
        </w:tc>
        <w:tc>
          <w:tcPr>
            <w:tcW w:w="653" w:type="pct"/>
            <w:vAlign w:val="center"/>
          </w:tcPr>
          <w:p w14:paraId="07493BB4" w14:textId="02003FCE"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1.1 ± 0.0 ns</w:t>
            </w:r>
          </w:p>
        </w:tc>
        <w:tc>
          <w:tcPr>
            <w:tcW w:w="678" w:type="pct"/>
            <w:vAlign w:val="center"/>
          </w:tcPr>
          <w:p w14:paraId="1F842EE7" w14:textId="64B9C6A1"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1.1 ± 0.1 ns</w:t>
            </w:r>
          </w:p>
        </w:tc>
        <w:tc>
          <w:tcPr>
            <w:tcW w:w="678" w:type="pct"/>
            <w:vAlign w:val="center"/>
          </w:tcPr>
          <w:p w14:paraId="2D080479" w14:textId="2952A4AE"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1.0 ± 0.0 ns</w:t>
            </w:r>
          </w:p>
        </w:tc>
        <w:tc>
          <w:tcPr>
            <w:tcW w:w="679" w:type="pct"/>
            <w:vAlign w:val="center"/>
          </w:tcPr>
          <w:p w14:paraId="27A06469" w14:textId="251F8722"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1.0 ± 0.1 ns</w:t>
            </w:r>
          </w:p>
        </w:tc>
        <w:tc>
          <w:tcPr>
            <w:tcW w:w="678" w:type="pct"/>
            <w:vAlign w:val="center"/>
          </w:tcPr>
          <w:p w14:paraId="4F38CA70" w14:textId="79A00698"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1.0 ± 0.0 ns</w:t>
            </w:r>
          </w:p>
        </w:tc>
        <w:tc>
          <w:tcPr>
            <w:tcW w:w="679" w:type="pct"/>
            <w:vAlign w:val="center"/>
          </w:tcPr>
          <w:p w14:paraId="50BB10AA"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0.9</w:t>
            </w:r>
          </w:p>
        </w:tc>
      </w:tr>
      <w:tr w:rsidR="00394C01" w:rsidRPr="00B409EA" w14:paraId="7B44179B" w14:textId="77777777" w:rsidTr="00394C01">
        <w:trPr>
          <w:trHeight w:val="283"/>
          <w:jc w:val="center"/>
        </w:trPr>
        <w:tc>
          <w:tcPr>
            <w:tcW w:w="956" w:type="pct"/>
            <w:vAlign w:val="center"/>
          </w:tcPr>
          <w:p w14:paraId="174AC829" w14:textId="77777777"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Seeds per pod</w:t>
            </w:r>
          </w:p>
        </w:tc>
        <w:tc>
          <w:tcPr>
            <w:tcW w:w="653" w:type="pct"/>
            <w:vAlign w:val="center"/>
          </w:tcPr>
          <w:p w14:paraId="2AED8B16" w14:textId="3875441E"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5 ± 1 ns</w:t>
            </w:r>
          </w:p>
        </w:tc>
        <w:tc>
          <w:tcPr>
            <w:tcW w:w="678" w:type="pct"/>
            <w:vAlign w:val="center"/>
          </w:tcPr>
          <w:p w14:paraId="75FD9BB0" w14:textId="6EB947CE"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4 ± 0 ns</w:t>
            </w:r>
          </w:p>
        </w:tc>
        <w:tc>
          <w:tcPr>
            <w:tcW w:w="678" w:type="pct"/>
            <w:vAlign w:val="center"/>
          </w:tcPr>
          <w:p w14:paraId="1D4AA0D5" w14:textId="4B411D41"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5 ± 3 ns</w:t>
            </w:r>
          </w:p>
        </w:tc>
        <w:tc>
          <w:tcPr>
            <w:tcW w:w="679" w:type="pct"/>
            <w:vAlign w:val="center"/>
          </w:tcPr>
          <w:p w14:paraId="5308C273" w14:textId="173EB245"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4 ± 1 ns</w:t>
            </w:r>
          </w:p>
        </w:tc>
        <w:tc>
          <w:tcPr>
            <w:tcW w:w="678" w:type="pct"/>
            <w:vAlign w:val="center"/>
          </w:tcPr>
          <w:p w14:paraId="1218A307" w14:textId="3319D63D"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4 ± 0 ns</w:t>
            </w:r>
          </w:p>
        </w:tc>
        <w:tc>
          <w:tcPr>
            <w:tcW w:w="679" w:type="pct"/>
            <w:vAlign w:val="center"/>
          </w:tcPr>
          <w:p w14:paraId="5632F093"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5</w:t>
            </w:r>
          </w:p>
        </w:tc>
      </w:tr>
      <w:tr w:rsidR="00394C01" w:rsidRPr="00B409EA" w14:paraId="3D473C4B" w14:textId="77777777" w:rsidTr="00394C01">
        <w:trPr>
          <w:trHeight w:val="283"/>
          <w:jc w:val="center"/>
        </w:trPr>
        <w:tc>
          <w:tcPr>
            <w:tcW w:w="956" w:type="pct"/>
            <w:vAlign w:val="center"/>
          </w:tcPr>
          <w:p w14:paraId="7E4A9E33" w14:textId="77777777"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Number of seeds per plant</w:t>
            </w:r>
          </w:p>
        </w:tc>
        <w:tc>
          <w:tcPr>
            <w:tcW w:w="653" w:type="pct"/>
            <w:vAlign w:val="center"/>
          </w:tcPr>
          <w:p w14:paraId="0FA40557" w14:textId="53638AA4"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95 ± 11 ns</w:t>
            </w:r>
          </w:p>
        </w:tc>
        <w:tc>
          <w:tcPr>
            <w:tcW w:w="678" w:type="pct"/>
            <w:vAlign w:val="center"/>
          </w:tcPr>
          <w:p w14:paraId="226D82FE"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93 ± 10</w:t>
            </w:r>
          </w:p>
        </w:tc>
        <w:tc>
          <w:tcPr>
            <w:tcW w:w="678" w:type="pct"/>
            <w:vAlign w:val="center"/>
          </w:tcPr>
          <w:p w14:paraId="5E472070" w14:textId="0EF9EFDF"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96 ± 35 ns</w:t>
            </w:r>
          </w:p>
        </w:tc>
        <w:tc>
          <w:tcPr>
            <w:tcW w:w="679" w:type="pct"/>
            <w:vAlign w:val="center"/>
          </w:tcPr>
          <w:p w14:paraId="69B4648B" w14:textId="1F782D7F"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88 ± 21 ns</w:t>
            </w:r>
          </w:p>
        </w:tc>
        <w:tc>
          <w:tcPr>
            <w:tcW w:w="678" w:type="pct"/>
            <w:vAlign w:val="center"/>
          </w:tcPr>
          <w:p w14:paraId="48820C00" w14:textId="25FFD856"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82 ± 10 ns</w:t>
            </w:r>
          </w:p>
        </w:tc>
        <w:tc>
          <w:tcPr>
            <w:tcW w:w="679" w:type="pct"/>
            <w:vAlign w:val="center"/>
          </w:tcPr>
          <w:p w14:paraId="40133E3B"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w:t>
            </w:r>
          </w:p>
        </w:tc>
      </w:tr>
      <w:tr w:rsidR="00394C01" w:rsidRPr="00B409EA" w14:paraId="7824A89D" w14:textId="77777777" w:rsidTr="00394C01">
        <w:trPr>
          <w:trHeight w:val="283"/>
          <w:jc w:val="center"/>
        </w:trPr>
        <w:tc>
          <w:tcPr>
            <w:tcW w:w="956" w:type="pct"/>
            <w:vAlign w:val="center"/>
          </w:tcPr>
          <w:p w14:paraId="70E0E16F" w14:textId="6B4A01B8"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Seed yield per plant (g)</w:t>
            </w:r>
          </w:p>
        </w:tc>
        <w:tc>
          <w:tcPr>
            <w:tcW w:w="653" w:type="pct"/>
            <w:vAlign w:val="center"/>
          </w:tcPr>
          <w:p w14:paraId="7E355781" w14:textId="45C517B8"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24.9 ± 3.1 ns</w:t>
            </w:r>
          </w:p>
        </w:tc>
        <w:tc>
          <w:tcPr>
            <w:tcW w:w="678" w:type="pct"/>
            <w:vAlign w:val="center"/>
          </w:tcPr>
          <w:p w14:paraId="5F6AFD8D"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22.8 ± 2.4</w:t>
            </w:r>
          </w:p>
        </w:tc>
        <w:tc>
          <w:tcPr>
            <w:tcW w:w="678" w:type="pct"/>
            <w:vAlign w:val="center"/>
          </w:tcPr>
          <w:p w14:paraId="268DF6A5" w14:textId="79D6EC6D"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22.0 ± 5.2 ns</w:t>
            </w:r>
          </w:p>
        </w:tc>
        <w:tc>
          <w:tcPr>
            <w:tcW w:w="679" w:type="pct"/>
            <w:vAlign w:val="center"/>
          </w:tcPr>
          <w:p w14:paraId="2F3BEB6A" w14:textId="665F6281"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23.0 ± 4.2 ns</w:t>
            </w:r>
          </w:p>
        </w:tc>
        <w:tc>
          <w:tcPr>
            <w:tcW w:w="678" w:type="pct"/>
            <w:vAlign w:val="center"/>
          </w:tcPr>
          <w:p w14:paraId="28C30253" w14:textId="38B3A70A"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22.7 ± 1.4 ns</w:t>
            </w:r>
          </w:p>
        </w:tc>
        <w:tc>
          <w:tcPr>
            <w:tcW w:w="679" w:type="pct"/>
            <w:vAlign w:val="center"/>
          </w:tcPr>
          <w:p w14:paraId="5C3CE233"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48-93</w:t>
            </w:r>
          </w:p>
          <w:p w14:paraId="26BE9346"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Average 63</w:t>
            </w:r>
          </w:p>
        </w:tc>
      </w:tr>
      <w:tr w:rsidR="00394C01" w:rsidRPr="00B409EA" w14:paraId="78E2FA66" w14:textId="77777777" w:rsidTr="00394C01">
        <w:trPr>
          <w:trHeight w:val="283"/>
          <w:jc w:val="center"/>
        </w:trPr>
        <w:tc>
          <w:tcPr>
            <w:tcW w:w="956" w:type="pct"/>
            <w:vAlign w:val="center"/>
          </w:tcPr>
          <w:p w14:paraId="3165741D" w14:textId="77777777"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Seed index</w:t>
            </w:r>
          </w:p>
        </w:tc>
        <w:tc>
          <w:tcPr>
            <w:tcW w:w="653" w:type="pct"/>
            <w:vAlign w:val="center"/>
          </w:tcPr>
          <w:p w14:paraId="1C2457BA" w14:textId="7F332B2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26.1 ± 2.3 ns</w:t>
            </w:r>
          </w:p>
        </w:tc>
        <w:tc>
          <w:tcPr>
            <w:tcW w:w="678" w:type="pct"/>
            <w:vAlign w:val="center"/>
          </w:tcPr>
          <w:p w14:paraId="39463038"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24.6 ± 2.5</w:t>
            </w:r>
          </w:p>
        </w:tc>
        <w:tc>
          <w:tcPr>
            <w:tcW w:w="678" w:type="pct"/>
            <w:vAlign w:val="center"/>
          </w:tcPr>
          <w:p w14:paraId="54B4B048" w14:textId="36705D75"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23.0 ± 7.5 ns</w:t>
            </w:r>
          </w:p>
        </w:tc>
        <w:tc>
          <w:tcPr>
            <w:tcW w:w="679" w:type="pct"/>
            <w:vAlign w:val="center"/>
          </w:tcPr>
          <w:p w14:paraId="32DB8F20" w14:textId="6D422F58"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26.4 ± 1.8 ns</w:t>
            </w:r>
          </w:p>
        </w:tc>
        <w:tc>
          <w:tcPr>
            <w:tcW w:w="678" w:type="pct"/>
            <w:vAlign w:val="center"/>
          </w:tcPr>
          <w:p w14:paraId="2C0E97B7" w14:textId="353BBB55"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27.9 ± 1.4 ns</w:t>
            </w:r>
          </w:p>
        </w:tc>
        <w:tc>
          <w:tcPr>
            <w:tcW w:w="679" w:type="pct"/>
            <w:vAlign w:val="center"/>
          </w:tcPr>
          <w:p w14:paraId="46DF2032"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26-33</w:t>
            </w:r>
          </w:p>
        </w:tc>
      </w:tr>
      <w:tr w:rsidR="00394C01" w:rsidRPr="00B409EA" w14:paraId="4F28CF0B" w14:textId="77777777" w:rsidTr="00394C01">
        <w:trPr>
          <w:trHeight w:val="283"/>
          <w:jc w:val="center"/>
        </w:trPr>
        <w:tc>
          <w:tcPr>
            <w:tcW w:w="956" w:type="pct"/>
            <w:vAlign w:val="center"/>
          </w:tcPr>
          <w:p w14:paraId="36AD0BE6" w14:textId="77777777" w:rsidR="00394C01" w:rsidRPr="00B409EA" w:rsidRDefault="00394C01" w:rsidP="00235AC6">
            <w:pPr>
              <w:spacing w:line="240" w:lineRule="auto"/>
              <w:contextualSpacing/>
              <w:jc w:val="left"/>
              <w:rPr>
                <w:rFonts w:ascii="Times New Roman" w:hAnsi="Times New Roman"/>
                <w:sz w:val="20"/>
                <w:lang w:val="en-US" w:eastAsia="es-MX"/>
              </w:rPr>
            </w:pPr>
            <w:r w:rsidRPr="00B409EA">
              <w:rPr>
                <w:rFonts w:ascii="Times New Roman" w:hAnsi="Times New Roman"/>
                <w:sz w:val="20"/>
                <w:lang w:val="en-US" w:eastAsia="es-MX"/>
              </w:rPr>
              <w:t>Harvest index</w:t>
            </w:r>
          </w:p>
        </w:tc>
        <w:tc>
          <w:tcPr>
            <w:tcW w:w="653" w:type="pct"/>
            <w:vAlign w:val="center"/>
          </w:tcPr>
          <w:p w14:paraId="27AE3F50" w14:textId="43B2FC8D"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1.5 ± 0.2 ns</w:t>
            </w:r>
          </w:p>
        </w:tc>
        <w:tc>
          <w:tcPr>
            <w:tcW w:w="678" w:type="pct"/>
            <w:vAlign w:val="center"/>
          </w:tcPr>
          <w:p w14:paraId="62BFA1D9" w14:textId="2678D380"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1.5 ± 0.4 ns</w:t>
            </w:r>
          </w:p>
        </w:tc>
        <w:tc>
          <w:tcPr>
            <w:tcW w:w="678" w:type="pct"/>
            <w:vAlign w:val="center"/>
          </w:tcPr>
          <w:p w14:paraId="6CB0EE1A" w14:textId="2F1C6D70"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1.8 ± 0.8 ns</w:t>
            </w:r>
          </w:p>
        </w:tc>
        <w:tc>
          <w:tcPr>
            <w:tcW w:w="679" w:type="pct"/>
            <w:vAlign w:val="center"/>
          </w:tcPr>
          <w:p w14:paraId="5AAB4757" w14:textId="60AB1325"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1.5 ± 0.5 ns</w:t>
            </w:r>
          </w:p>
        </w:tc>
        <w:tc>
          <w:tcPr>
            <w:tcW w:w="678" w:type="pct"/>
            <w:vAlign w:val="center"/>
          </w:tcPr>
          <w:p w14:paraId="77DCC405" w14:textId="37B2A3C8"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0.8 ± 0.9 ns</w:t>
            </w:r>
          </w:p>
        </w:tc>
        <w:tc>
          <w:tcPr>
            <w:tcW w:w="679" w:type="pct"/>
            <w:vAlign w:val="center"/>
          </w:tcPr>
          <w:p w14:paraId="6B58F7D6" w14:textId="77777777" w:rsidR="00394C01" w:rsidRPr="00B409EA" w:rsidRDefault="00394C01" w:rsidP="00235AC6">
            <w:pPr>
              <w:spacing w:line="240" w:lineRule="auto"/>
              <w:contextualSpacing/>
              <w:jc w:val="center"/>
              <w:rPr>
                <w:rFonts w:ascii="Times New Roman" w:hAnsi="Times New Roman"/>
                <w:sz w:val="20"/>
                <w:lang w:val="en-US" w:eastAsia="es-MX"/>
              </w:rPr>
            </w:pPr>
            <w:r w:rsidRPr="00B409EA">
              <w:rPr>
                <w:rFonts w:ascii="Times New Roman" w:hAnsi="Times New Roman"/>
                <w:sz w:val="20"/>
                <w:lang w:val="en-US" w:eastAsia="es-MX"/>
              </w:rPr>
              <w:t>—</w:t>
            </w:r>
          </w:p>
        </w:tc>
      </w:tr>
    </w:tbl>
    <w:p w14:paraId="6B9BAE0A" w14:textId="14F2DA88" w:rsidR="004A3039" w:rsidRPr="00B409EA" w:rsidRDefault="00394C01">
      <w:pPr>
        <w:rPr>
          <w:rFonts w:ascii="Times New Roman" w:hAnsi="Times New Roman"/>
          <w:sz w:val="20"/>
        </w:rPr>
      </w:pPr>
      <w:r w:rsidRPr="00B409EA">
        <w:rPr>
          <w:rFonts w:ascii="Times New Roman" w:hAnsi="Times New Roman"/>
          <w:sz w:val="20"/>
          <w:lang w:val="en-US"/>
        </w:rPr>
        <w:lastRenderedPageBreak/>
        <w:t xml:space="preserve">Mean ± standard deviation of n=6. Different letters represent significant differences between treatments (Tukey </w:t>
      </w:r>
      <w:r w:rsidRPr="00B409EA">
        <w:rPr>
          <w:rFonts w:ascii="Times New Roman" w:hAnsi="Times New Roman"/>
          <w:sz w:val="20"/>
        </w:rPr>
        <w:t>α</w:t>
      </w:r>
      <w:r w:rsidRPr="00B409EA">
        <w:rPr>
          <w:rFonts w:ascii="Times New Roman" w:hAnsi="Times New Roman"/>
          <w:sz w:val="20"/>
          <w:lang w:val="en-US"/>
        </w:rPr>
        <w:t xml:space="preserve">=0.05). DW, dry weight, ns mean that no significant differences were detected between the treatments. </w:t>
      </w:r>
      <w:r w:rsidRPr="00B409EA">
        <w:rPr>
          <w:rFonts w:ascii="Times New Roman" w:hAnsi="Times New Roman"/>
          <w:sz w:val="20"/>
          <w:vertAlign w:val="superscript"/>
          <w:lang w:val="es-MX"/>
        </w:rPr>
        <w:t>†</w:t>
      </w:r>
      <w:r w:rsidRPr="00B409EA">
        <w:rPr>
          <w:rFonts w:ascii="Times New Roman" w:hAnsi="Times New Roman"/>
          <w:sz w:val="20"/>
          <w:lang w:val="es-MX"/>
        </w:rPr>
        <w:t xml:space="preserve">Data </w:t>
      </w:r>
      <w:r w:rsidRPr="00B409EA">
        <w:rPr>
          <w:rFonts w:ascii="Times New Roman" w:hAnsi="Times New Roman"/>
          <w:sz w:val="20"/>
          <w:lang w:val="en-US"/>
        </w:rPr>
        <w:t>from</w:t>
      </w:r>
      <w:r w:rsidRPr="00B409EA">
        <w:rPr>
          <w:rFonts w:ascii="Times New Roman" w:hAnsi="Times New Roman"/>
          <w:sz w:val="20"/>
          <w:lang w:val="es-MX"/>
        </w:rPr>
        <w:t xml:space="preserve"> </w:t>
      </w:r>
      <w:r w:rsidRPr="00B409EA">
        <w:rPr>
          <w:rFonts w:ascii="Times New Roman" w:hAnsi="Times New Roman"/>
          <w:sz w:val="20"/>
          <w:vertAlign w:val="superscript"/>
        </w:rPr>
        <w:fldChar w:fldCharType="begin" w:fldLock="1"/>
      </w:r>
      <w:r w:rsidRPr="00B409EA">
        <w:rPr>
          <w:rFonts w:ascii="Times New Roman" w:hAnsi="Times New Roman"/>
          <w:sz w:val="20"/>
          <w:vertAlign w:val="superscript"/>
          <w:lang w:val="es-MX"/>
        </w:rPr>
        <w:instrText>ADDIN CSL_CITATION {"citationItems":[{"id":"ITEM-1","itemData":{"DOI":"10.35196/rfm.2004.1.115","ISSN":"0187-7380","abstract":"En México, el frijol (Phaseolus vulgaris L.) es el segundo cultivo alimenticio más importante por superficie sembrada, cantidad de grano que se consume y actividad económica que representa. En los últimos años se han sembrado 2.2 millones de hectáreas con un rendimiento promedio de 570 kg ha-1, lo que no permite la autosuficiencia nacional, si se considera un consumo per capita de 15 kg anuales (Acosta et al., 2002). Se recurre entonces a la importación desde los Estados Unidos de Norteamérica principalmente, de un promedio de 72 mil toneladas anuales (Lépiz et al., 2002), con la consecuente fuga de divisas. La región central del país (Estado de México, Distrito Federal y su zona conurbada) presenta un déficit de frijol para el consumo de una población de 25 millones de habitantes y una demanda potencial anual de 375 000 t de grano de diferentes variedades, desde frijoles negros hasta los claros tipo “Flor de Mayo”, que son los más populares. En el Estado de México cada ciclo de primavera-verano se cultivan alrededor de 20 mil hectáreas en condiciones de temporal o secano, y 700 ha con riego, con un rendimiento promedio de 637 y 1 111 kg ha-1, respectivamente, que producen unas 13 510 t de grano, apenas 4 % del requerido para la región.","author":[{"dropping-particle":"","family":"Estrada-Gómez","given":"Julio Arturo","non-dropping-particle":"","parse-names":false,"suffix":""},{"dropping-particle":"","family":"Estrada-Trejo","given":"Victoria","non-dropping-particle":"","parse-names":false,"suffix":""},{"dropping-particle":"","family":"Hernández-Livera","given":"Adrián","non-dropping-particle":"","parse-names":false,"suffix":""},{"dropping-particle":"","family":"Molina-Moreno","given":"Juan Celestino","non-dropping-particle":"","parse-names":false,"suffix":""},{"dropping-particle":"","family":"Campos-Escudero","given":"Albino","non-dropping-particle":"","parse-names":false,"suffix":""}],"container-title":"Revista Fitotecnia Mexicana","id":"ITEM-1","issue":"1","issued":{"date-parts":[["2004","8","3"]]},"page":"115","title":"OTI, UNA NUEVA VARIEDAD DE FRIJOL PARA EL VALLE DE MÉXICO","type":"article-journal","volume":"27"},"uris":["http://www.mendeley.com/documents/?uuid=355337a0-a585-4ec5-b8ed-fe45a9d86778"]}],"mendeley":{"formattedCitation":"(Estrada-Gómez et al. 2004)","manualFormatting":"Estrada-Gómez et al. (2004)","plainTextFormattedCitation":"(Estrada-Gómez et al. 2004)","previouslyFormattedCitation":"(Estrada-Gómez et al. 2004)"},"properties":{"noteIndex":0},"schema":"https://github.com/citation-style-language/schema/raw/master/csl-citation.json"}</w:instrText>
      </w:r>
      <w:r w:rsidRPr="00B409EA">
        <w:rPr>
          <w:rFonts w:ascii="Times New Roman" w:hAnsi="Times New Roman"/>
          <w:sz w:val="20"/>
          <w:vertAlign w:val="superscript"/>
        </w:rPr>
        <w:fldChar w:fldCharType="separate"/>
      </w:r>
      <w:r w:rsidRPr="00B409EA">
        <w:rPr>
          <w:rFonts w:ascii="Times New Roman" w:hAnsi="Times New Roman"/>
          <w:noProof/>
          <w:sz w:val="20"/>
          <w:lang w:val="es-MX"/>
        </w:rPr>
        <w:t>Estrada-Gómez et al. (2004)</w:t>
      </w:r>
      <w:r w:rsidRPr="00B409EA">
        <w:rPr>
          <w:rFonts w:ascii="Times New Roman" w:hAnsi="Times New Roman"/>
          <w:sz w:val="20"/>
          <w:vertAlign w:val="superscript"/>
        </w:rPr>
        <w:fldChar w:fldCharType="end"/>
      </w:r>
    </w:p>
    <w:sectPr w:rsidR="004A3039" w:rsidRPr="00B409EA" w:rsidSect="00B409EA">
      <w:pgSz w:w="15840" w:h="12240" w:orient="landscape"/>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A0NDA1MzAwMjMzMDVX0lEKTi0uzszPAykwrAUAeb/T7iwAAAA="/>
  </w:docVars>
  <w:rsids>
    <w:rsidRoot w:val="00394C01"/>
    <w:rsid w:val="000F2A98"/>
    <w:rsid w:val="001511F9"/>
    <w:rsid w:val="00172F45"/>
    <w:rsid w:val="002342CA"/>
    <w:rsid w:val="002B2B9A"/>
    <w:rsid w:val="002E1580"/>
    <w:rsid w:val="002F1F75"/>
    <w:rsid w:val="00394C01"/>
    <w:rsid w:val="003E0610"/>
    <w:rsid w:val="004A3039"/>
    <w:rsid w:val="00511A4E"/>
    <w:rsid w:val="006A12F6"/>
    <w:rsid w:val="006D327F"/>
    <w:rsid w:val="00757528"/>
    <w:rsid w:val="00840709"/>
    <w:rsid w:val="00863521"/>
    <w:rsid w:val="00937F5D"/>
    <w:rsid w:val="00A269F5"/>
    <w:rsid w:val="00B409EA"/>
    <w:rsid w:val="00B42EC4"/>
    <w:rsid w:val="00C90293"/>
    <w:rsid w:val="00CA096C"/>
    <w:rsid w:val="00CC59CF"/>
    <w:rsid w:val="00D4056B"/>
    <w:rsid w:val="00D87B60"/>
    <w:rsid w:val="00DF4472"/>
    <w:rsid w:val="00E529B5"/>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FE9B8"/>
  <w15:chartTrackingRefBased/>
  <w15:docId w15:val="{87F0FE52-7D54-4163-B92F-C868FA092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C01"/>
    <w:pPr>
      <w:spacing w:after="200" w:line="360" w:lineRule="auto"/>
      <w:jc w:val="both"/>
    </w:pPr>
    <w:rPr>
      <w:rFonts w:ascii="Arial" w:eastAsia="Times New Roman" w:hAnsi="Arial" w:cs="Times New Roman"/>
      <w:kern w:val="0"/>
      <w:sz w:val="24"/>
      <w:szCs w:val="20"/>
      <w:lang w:val="es-ES_tradnl" w:eastAsia="es-ES"/>
    </w:rPr>
  </w:style>
  <w:style w:type="paragraph" w:styleId="Ttulo1">
    <w:name w:val="heading 1"/>
    <w:basedOn w:val="Normal"/>
    <w:next w:val="Normal"/>
    <w:link w:val="Ttulo1Car"/>
    <w:uiPriority w:val="9"/>
    <w:qFormat/>
    <w:rsid w:val="00394C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94C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94C0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94C0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94C0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94C0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94C0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94C0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94C0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94C0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94C0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94C0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94C0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94C0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94C0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94C0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94C0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94C01"/>
    <w:rPr>
      <w:rFonts w:eastAsiaTheme="majorEastAsia" w:cstheme="majorBidi"/>
      <w:color w:val="272727" w:themeColor="text1" w:themeTint="D8"/>
    </w:rPr>
  </w:style>
  <w:style w:type="paragraph" w:styleId="Ttulo">
    <w:name w:val="Title"/>
    <w:basedOn w:val="Normal"/>
    <w:next w:val="Normal"/>
    <w:link w:val="TtuloCar"/>
    <w:uiPriority w:val="10"/>
    <w:qFormat/>
    <w:rsid w:val="00394C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94C0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94C0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94C0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94C01"/>
    <w:pPr>
      <w:spacing w:before="160"/>
      <w:jc w:val="center"/>
    </w:pPr>
    <w:rPr>
      <w:i/>
      <w:iCs/>
      <w:color w:val="404040" w:themeColor="text1" w:themeTint="BF"/>
    </w:rPr>
  </w:style>
  <w:style w:type="character" w:customStyle="1" w:styleId="CitaCar">
    <w:name w:val="Cita Car"/>
    <w:basedOn w:val="Fuentedeprrafopredeter"/>
    <w:link w:val="Cita"/>
    <w:uiPriority w:val="29"/>
    <w:rsid w:val="00394C01"/>
    <w:rPr>
      <w:i/>
      <w:iCs/>
      <w:color w:val="404040" w:themeColor="text1" w:themeTint="BF"/>
    </w:rPr>
  </w:style>
  <w:style w:type="paragraph" w:styleId="Prrafodelista">
    <w:name w:val="List Paragraph"/>
    <w:basedOn w:val="Normal"/>
    <w:uiPriority w:val="34"/>
    <w:qFormat/>
    <w:rsid w:val="00394C01"/>
    <w:pPr>
      <w:ind w:left="720"/>
      <w:contextualSpacing/>
    </w:pPr>
  </w:style>
  <w:style w:type="character" w:styleId="nfasisintenso">
    <w:name w:val="Intense Emphasis"/>
    <w:basedOn w:val="Fuentedeprrafopredeter"/>
    <w:uiPriority w:val="21"/>
    <w:qFormat/>
    <w:rsid w:val="00394C01"/>
    <w:rPr>
      <w:i/>
      <w:iCs/>
      <w:color w:val="2F5496" w:themeColor="accent1" w:themeShade="BF"/>
    </w:rPr>
  </w:style>
  <w:style w:type="paragraph" w:styleId="Citadestacada">
    <w:name w:val="Intense Quote"/>
    <w:basedOn w:val="Normal"/>
    <w:next w:val="Normal"/>
    <w:link w:val="CitadestacadaCar"/>
    <w:uiPriority w:val="30"/>
    <w:qFormat/>
    <w:rsid w:val="00394C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94C01"/>
    <w:rPr>
      <w:i/>
      <w:iCs/>
      <w:color w:val="2F5496" w:themeColor="accent1" w:themeShade="BF"/>
    </w:rPr>
  </w:style>
  <w:style w:type="character" w:styleId="Referenciaintensa">
    <w:name w:val="Intense Reference"/>
    <w:basedOn w:val="Fuentedeprrafopredeter"/>
    <w:uiPriority w:val="32"/>
    <w:qFormat/>
    <w:rsid w:val="00394C01"/>
    <w:rPr>
      <w:b/>
      <w:bCs/>
      <w:smallCaps/>
      <w:color w:val="2F5496" w:themeColor="accent1" w:themeShade="BF"/>
      <w:spacing w:val="5"/>
    </w:rPr>
  </w:style>
  <w:style w:type="table" w:styleId="Tablaconcuadrcula">
    <w:name w:val="Table Grid"/>
    <w:basedOn w:val="Tablanormal"/>
    <w:uiPriority w:val="39"/>
    <w:rsid w:val="00394C01"/>
    <w:pPr>
      <w:spacing w:after="0" w:line="240" w:lineRule="auto"/>
    </w:pPr>
    <w:rPr>
      <w:rFonts w:ascii="Times New Roman" w:eastAsia="Times New Roman" w:hAnsi="Times New Roman" w:cs="Times New Roman"/>
      <w:kern w:val="0"/>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unhideWhenUsed/>
    <w:qFormat/>
    <w:rsid w:val="00394C01"/>
    <w:pPr>
      <w:spacing w:line="240" w:lineRule="auto"/>
      <w:jc w:val="center"/>
    </w:pPr>
    <w:rPr>
      <w:rFonts w:eastAsiaTheme="minorHAnsi" w:cstheme="minorBidi"/>
      <w:iCs/>
      <w:sz w:val="22"/>
      <w:szCs w:val="18"/>
      <w:lang w:val="en-US" w:eastAsia="en-US"/>
    </w:rPr>
  </w:style>
  <w:style w:type="paragraph" w:styleId="Textoindependiente">
    <w:name w:val="Body Text"/>
    <w:basedOn w:val="Normal"/>
    <w:link w:val="TextoindependienteCar"/>
    <w:uiPriority w:val="99"/>
    <w:semiHidden/>
    <w:unhideWhenUsed/>
    <w:rsid w:val="00394C01"/>
    <w:pPr>
      <w:spacing w:after="120"/>
    </w:pPr>
  </w:style>
  <w:style w:type="character" w:customStyle="1" w:styleId="TextoindependienteCar">
    <w:name w:val="Texto independiente Car"/>
    <w:basedOn w:val="Fuentedeprrafopredeter"/>
    <w:link w:val="Textoindependiente"/>
    <w:uiPriority w:val="99"/>
    <w:semiHidden/>
    <w:rsid w:val="00394C01"/>
    <w:rPr>
      <w:rFonts w:ascii="Arial" w:eastAsia="Times New Roman" w:hAnsi="Arial" w:cs="Times New Roman"/>
      <w:kern w:val="0"/>
      <w:sz w:val="24"/>
      <w:szCs w:val="20"/>
      <w:lang w:val="es-ES_tradnl" w:eastAsia="es-ES"/>
    </w:rPr>
  </w:style>
  <w:style w:type="paragraph" w:styleId="Textoindependienteprimerasangra">
    <w:name w:val="Body Text First Indent"/>
    <w:basedOn w:val="Textoindependiente"/>
    <w:link w:val="TextoindependienteprimerasangraCar"/>
    <w:uiPriority w:val="99"/>
    <w:unhideWhenUsed/>
    <w:rsid w:val="00394C01"/>
    <w:pPr>
      <w:spacing w:before="100" w:beforeAutospacing="1" w:after="0" w:line="480" w:lineRule="auto"/>
      <w:ind w:firstLine="360"/>
    </w:pPr>
    <w:rPr>
      <w:rFonts w:eastAsia="Calibri"/>
      <w:sz w:val="22"/>
      <w:szCs w:val="22"/>
      <w:lang w:val="en-US" w:eastAsia="en-US"/>
    </w:rPr>
  </w:style>
  <w:style w:type="character" w:customStyle="1" w:styleId="TextoindependienteprimerasangraCar">
    <w:name w:val="Texto independiente primera sangría Car"/>
    <w:basedOn w:val="TextoindependienteCar"/>
    <w:link w:val="Textoindependienteprimerasangra"/>
    <w:uiPriority w:val="99"/>
    <w:rsid w:val="00394C01"/>
    <w:rPr>
      <w:rFonts w:ascii="Arial" w:eastAsia="Calibri" w:hAnsi="Arial" w:cs="Times New Roman"/>
      <w:kern w:val="0"/>
      <w:sz w:val="24"/>
      <w:szCs w:val="20"/>
      <w:lang w:val="es-ES_tradnl" w:eastAsia="es-ES"/>
    </w:rPr>
  </w:style>
  <w:style w:type="paragraph" w:styleId="Revisin">
    <w:name w:val="Revision"/>
    <w:hidden/>
    <w:uiPriority w:val="99"/>
    <w:semiHidden/>
    <w:rsid w:val="00B409EA"/>
    <w:pPr>
      <w:spacing w:after="0" w:line="240" w:lineRule="auto"/>
    </w:pPr>
    <w:rPr>
      <w:rFonts w:ascii="Arial" w:eastAsia="Times New Roman" w:hAnsi="Arial" w:cs="Times New Roman"/>
      <w:kern w:val="0"/>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765</Words>
  <Characters>4364</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 PEREA</dc:creator>
  <cp:keywords/>
  <dc:description/>
  <cp:lastModifiedBy>stefani PEREA</cp:lastModifiedBy>
  <cp:revision>3</cp:revision>
  <dcterms:created xsi:type="dcterms:W3CDTF">2024-05-29T02:19:00Z</dcterms:created>
  <dcterms:modified xsi:type="dcterms:W3CDTF">2024-06-12T20:00:00Z</dcterms:modified>
</cp:coreProperties>
</file>