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DEFEE" w14:textId="77777777" w:rsidR="009A670E" w:rsidRPr="00DC623A" w:rsidRDefault="009A670E" w:rsidP="007B5946">
      <w:pPr>
        <w:rPr>
          <w:rFonts w:ascii="Arial" w:hAnsi="Arial" w:cs="Arial"/>
          <w:sz w:val="20"/>
        </w:rPr>
      </w:pPr>
    </w:p>
    <w:p w14:paraId="46F72BDF" w14:textId="141BADC9" w:rsidR="00B16F99" w:rsidRDefault="00B16F99" w:rsidP="00B16F99">
      <w:pPr>
        <w:rPr>
          <w:rFonts w:ascii="Arial" w:hAnsi="Arial" w:cs="Arial"/>
          <w:b/>
          <w:sz w:val="28"/>
          <w:szCs w:val="28"/>
        </w:rPr>
      </w:pPr>
      <w:r w:rsidRPr="00DC623A">
        <w:rPr>
          <w:rFonts w:ascii="Arial" w:hAnsi="Arial" w:cs="Arial"/>
          <w:b/>
          <w:sz w:val="28"/>
          <w:szCs w:val="28"/>
        </w:rPr>
        <w:t>Supp</w:t>
      </w:r>
      <w:r w:rsidR="00B73A1C">
        <w:rPr>
          <w:rFonts w:ascii="Arial" w:hAnsi="Arial" w:cs="Arial"/>
          <w:b/>
          <w:sz w:val="28"/>
          <w:szCs w:val="28"/>
        </w:rPr>
        <w:t>orting</w:t>
      </w:r>
      <w:r w:rsidRPr="00DC623A">
        <w:rPr>
          <w:rFonts w:ascii="Arial" w:hAnsi="Arial" w:cs="Arial"/>
          <w:b/>
          <w:sz w:val="28"/>
          <w:szCs w:val="28"/>
        </w:rPr>
        <w:t xml:space="preserve"> Information for</w:t>
      </w:r>
    </w:p>
    <w:p w14:paraId="04E6B444" w14:textId="77777777" w:rsidR="002628EB" w:rsidRPr="00DC623A" w:rsidRDefault="002628EB" w:rsidP="00B16F99">
      <w:pPr>
        <w:rPr>
          <w:rFonts w:ascii="Arial" w:hAnsi="Arial" w:cs="Arial"/>
          <w:b/>
          <w:sz w:val="28"/>
          <w:szCs w:val="28"/>
        </w:rPr>
      </w:pPr>
    </w:p>
    <w:p w14:paraId="24E1910D" w14:textId="1BE4B172" w:rsidR="002628EB" w:rsidRPr="00954BBC" w:rsidRDefault="002628EB" w:rsidP="002628EB">
      <w:pPr>
        <w:spacing w:line="460" w:lineRule="exact"/>
        <w:rPr>
          <w:rFonts w:eastAsia="等线"/>
          <w:color w:val="000000" w:themeColor="text1"/>
          <w:sz w:val="32"/>
          <w:szCs w:val="32"/>
        </w:rPr>
      </w:pPr>
      <w:r w:rsidRPr="002628EB">
        <w:rPr>
          <w:rFonts w:ascii="Arial" w:hAnsi="Arial" w:cs="Arial"/>
          <w:sz w:val="28"/>
          <w:szCs w:val="28"/>
        </w:rPr>
        <w:t xml:space="preserve">Neutrophil chemotaxis score and chemotaxis-related genes have the potential for clinical application to prognosticate the </w:t>
      </w:r>
      <w:bookmarkStart w:id="0" w:name="_Hlk145444077"/>
      <w:r w:rsidRPr="002628EB">
        <w:rPr>
          <w:rFonts w:ascii="Arial" w:hAnsi="Arial" w:cs="Arial"/>
          <w:sz w:val="28"/>
          <w:szCs w:val="28"/>
        </w:rPr>
        <w:t>survival</w:t>
      </w:r>
      <w:bookmarkEnd w:id="0"/>
      <w:r w:rsidRPr="002628EB">
        <w:rPr>
          <w:rFonts w:ascii="Arial" w:hAnsi="Arial" w:cs="Arial"/>
          <w:sz w:val="28"/>
          <w:szCs w:val="28"/>
        </w:rPr>
        <w:t xml:space="preserve"> of patients with </w:t>
      </w:r>
      <w:proofErr w:type="spellStart"/>
      <w:r w:rsidRPr="002628EB">
        <w:rPr>
          <w:rFonts w:ascii="Arial" w:hAnsi="Arial" w:cs="Arial"/>
          <w:sz w:val="28"/>
          <w:szCs w:val="28"/>
        </w:rPr>
        <w:t>tumours</w:t>
      </w:r>
      <w:proofErr w:type="spellEnd"/>
    </w:p>
    <w:p w14:paraId="135AEE58" w14:textId="7C866B79" w:rsidR="00B16F99" w:rsidRPr="00DC623A" w:rsidRDefault="00B16F99" w:rsidP="00B16F99">
      <w:pPr>
        <w:rPr>
          <w:rFonts w:ascii="Arial" w:hAnsi="Arial" w:cs="Arial"/>
          <w:szCs w:val="24"/>
        </w:rPr>
      </w:pPr>
    </w:p>
    <w:p w14:paraId="773A15B7" w14:textId="77777777" w:rsidR="00015F74" w:rsidRPr="00DC623A" w:rsidRDefault="00015F74" w:rsidP="007B5946">
      <w:pPr>
        <w:rPr>
          <w:rFonts w:ascii="Arial" w:hAnsi="Arial" w:cs="Arial"/>
          <w:sz w:val="20"/>
        </w:rPr>
      </w:pPr>
    </w:p>
    <w:p w14:paraId="6985025A" w14:textId="77777777" w:rsidR="00B16F99" w:rsidRPr="00DC623A" w:rsidRDefault="00B16F99" w:rsidP="007B5946">
      <w:pPr>
        <w:rPr>
          <w:rFonts w:ascii="Arial" w:hAnsi="Arial" w:cs="Arial"/>
          <w:sz w:val="20"/>
        </w:rPr>
      </w:pPr>
    </w:p>
    <w:p w14:paraId="743774CD" w14:textId="74A66158" w:rsidR="002628EB" w:rsidRPr="002628EB" w:rsidRDefault="002628EB" w:rsidP="002628EB">
      <w:pPr>
        <w:pStyle w:val="aa"/>
        <w:rPr>
          <w:b/>
          <w:bCs/>
          <w:color w:val="000000" w:themeColor="text1"/>
          <w:szCs w:val="24"/>
          <w:vertAlign w:val="superscript"/>
        </w:rPr>
      </w:pPr>
      <w:bookmarkStart w:id="1" w:name="_Hlk145442537"/>
      <w:proofErr w:type="spellStart"/>
      <w:r w:rsidRPr="002628EB">
        <w:rPr>
          <w:rFonts w:ascii="Arial" w:hAnsi="Arial" w:cs="Arial"/>
          <w:szCs w:val="24"/>
        </w:rPr>
        <w:t>Yunxi</w:t>
      </w:r>
      <w:proofErr w:type="spellEnd"/>
      <w:r w:rsidRPr="002628EB">
        <w:rPr>
          <w:rFonts w:ascii="Arial" w:hAnsi="Arial" w:cs="Arial"/>
          <w:szCs w:val="24"/>
        </w:rPr>
        <w:t xml:space="preserve"> Yang, J</w:t>
      </w:r>
      <w:r w:rsidRPr="002628EB">
        <w:rPr>
          <w:rFonts w:ascii="Arial" w:hAnsi="Arial" w:cs="Arial" w:hint="eastAsia"/>
          <w:szCs w:val="24"/>
        </w:rPr>
        <w:t>un</w:t>
      </w:r>
      <w:r w:rsidRPr="002628EB">
        <w:rPr>
          <w:rFonts w:ascii="Arial" w:hAnsi="Arial" w:cs="Arial"/>
          <w:szCs w:val="24"/>
        </w:rPr>
        <w:t xml:space="preserve"> Yang, </w:t>
      </w:r>
      <w:proofErr w:type="spellStart"/>
      <w:r w:rsidRPr="002628EB">
        <w:rPr>
          <w:rFonts w:ascii="Arial" w:hAnsi="Arial" w:cs="Arial" w:hint="eastAsia"/>
          <w:szCs w:val="24"/>
        </w:rPr>
        <w:t>Linbin</w:t>
      </w:r>
      <w:proofErr w:type="spellEnd"/>
      <w:r w:rsidRPr="002628EB">
        <w:rPr>
          <w:rFonts w:ascii="Arial" w:hAnsi="Arial" w:cs="Arial" w:hint="eastAsia"/>
          <w:szCs w:val="24"/>
        </w:rPr>
        <w:t xml:space="preserve"> Li</w:t>
      </w:r>
      <w:bookmarkEnd w:id="1"/>
      <w:r w:rsidRPr="002628EB">
        <w:rPr>
          <w:rFonts w:ascii="Arial" w:hAnsi="Arial" w:cs="Arial"/>
          <w:szCs w:val="24"/>
        </w:rPr>
        <w:t xml:space="preserve">, </w:t>
      </w:r>
      <w:proofErr w:type="spellStart"/>
      <w:r w:rsidRPr="002628EB">
        <w:rPr>
          <w:rFonts w:ascii="Arial" w:hAnsi="Arial" w:cs="Arial" w:hint="eastAsia"/>
          <w:szCs w:val="24"/>
        </w:rPr>
        <w:t>Yiming</w:t>
      </w:r>
      <w:proofErr w:type="spellEnd"/>
      <w:r w:rsidRPr="002628EB">
        <w:rPr>
          <w:rFonts w:ascii="Arial" w:hAnsi="Arial" w:cs="Arial" w:hint="eastAsia"/>
          <w:szCs w:val="24"/>
        </w:rPr>
        <w:t xml:space="preserve"> Shao</w:t>
      </w:r>
      <w:r w:rsidRPr="002628EB">
        <w:rPr>
          <w:rFonts w:ascii="Arial" w:hAnsi="Arial" w:cs="Arial"/>
          <w:szCs w:val="24"/>
        </w:rPr>
        <w:t xml:space="preserve">, Lu Liu, </w:t>
      </w:r>
      <w:proofErr w:type="spellStart"/>
      <w:r w:rsidRPr="002628EB">
        <w:rPr>
          <w:rFonts w:ascii="Arial" w:hAnsi="Arial" w:cs="Arial"/>
          <w:szCs w:val="24"/>
        </w:rPr>
        <w:t>Bingwei</w:t>
      </w:r>
      <w:proofErr w:type="spellEnd"/>
      <w:r w:rsidRPr="002628EB">
        <w:rPr>
          <w:rFonts w:ascii="Arial" w:hAnsi="Arial" w:cs="Arial"/>
          <w:szCs w:val="24"/>
        </w:rPr>
        <w:t xml:space="preserve"> Sun</w:t>
      </w:r>
      <w:r w:rsidRPr="002628EB">
        <w:rPr>
          <w:b/>
          <w:bCs/>
          <w:szCs w:val="24"/>
          <w:vertAlign w:val="superscript"/>
        </w:rPr>
        <w:t>*</w:t>
      </w:r>
    </w:p>
    <w:p w14:paraId="1EBDE992" w14:textId="4D01686F" w:rsidR="000F0DCE" w:rsidRDefault="000F0DCE" w:rsidP="007B5946">
      <w:pPr>
        <w:rPr>
          <w:rFonts w:ascii="Arial" w:hAnsi="Arial" w:cs="Arial"/>
          <w:szCs w:val="24"/>
        </w:rPr>
      </w:pPr>
    </w:p>
    <w:p w14:paraId="4A1051A6" w14:textId="6F1939A6" w:rsidR="002628EB" w:rsidRDefault="002628EB" w:rsidP="007B5946">
      <w:pPr>
        <w:rPr>
          <w:rFonts w:ascii="Arial" w:hAnsi="Arial" w:cs="Arial"/>
          <w:szCs w:val="24"/>
        </w:rPr>
      </w:pPr>
    </w:p>
    <w:p w14:paraId="35C5882C" w14:textId="77777777" w:rsidR="002628EB" w:rsidRPr="002628EB" w:rsidRDefault="002628EB" w:rsidP="007B5946">
      <w:pPr>
        <w:rPr>
          <w:rFonts w:ascii="Arial" w:hAnsi="Arial" w:cs="Arial"/>
          <w:szCs w:val="24"/>
        </w:rPr>
      </w:pPr>
    </w:p>
    <w:p w14:paraId="1F827E60" w14:textId="549BD104" w:rsidR="002628EB" w:rsidRPr="002628EB" w:rsidRDefault="002628EB" w:rsidP="002628EB">
      <w:pPr>
        <w:rPr>
          <w:rFonts w:ascii="Arial" w:hAnsi="Arial" w:cs="Arial"/>
          <w:szCs w:val="24"/>
        </w:rPr>
      </w:pPr>
      <w:r w:rsidRPr="002628EB">
        <w:rPr>
          <w:b/>
          <w:bCs/>
          <w:szCs w:val="24"/>
          <w:vertAlign w:val="superscript"/>
        </w:rPr>
        <w:t>*</w:t>
      </w:r>
      <w:r w:rsidRPr="002628EB">
        <w:rPr>
          <w:b/>
          <w:bCs/>
          <w:sz w:val="28"/>
          <w:szCs w:val="28"/>
        </w:rPr>
        <w:t xml:space="preserve"> </w:t>
      </w:r>
      <w:r w:rsidRPr="002628EB">
        <w:rPr>
          <w:rFonts w:ascii="Arial" w:hAnsi="Arial" w:cs="Arial"/>
          <w:szCs w:val="24"/>
        </w:rPr>
        <w:t>Corresponding author</w:t>
      </w:r>
      <w:r>
        <w:rPr>
          <w:rFonts w:ascii="Arial" w:hAnsi="Arial" w:cs="Arial"/>
          <w:szCs w:val="24"/>
        </w:rPr>
        <w:t xml:space="preserve">: </w:t>
      </w:r>
      <w:proofErr w:type="spellStart"/>
      <w:r w:rsidRPr="002628EB">
        <w:rPr>
          <w:rFonts w:ascii="Arial" w:hAnsi="Arial" w:cs="Arial"/>
          <w:szCs w:val="24"/>
        </w:rPr>
        <w:t>Bingwei</w:t>
      </w:r>
      <w:proofErr w:type="spellEnd"/>
      <w:r w:rsidRPr="002628EB">
        <w:rPr>
          <w:rFonts w:ascii="Arial" w:hAnsi="Arial" w:cs="Arial"/>
          <w:szCs w:val="24"/>
        </w:rPr>
        <w:t xml:space="preserve"> Sun </w:t>
      </w:r>
    </w:p>
    <w:p w14:paraId="4BD34748" w14:textId="77777777" w:rsidR="002628EB" w:rsidRPr="002628EB" w:rsidRDefault="002628EB" w:rsidP="007B5946">
      <w:pPr>
        <w:rPr>
          <w:rFonts w:ascii="Arial" w:hAnsi="Arial" w:cs="Arial"/>
          <w:szCs w:val="24"/>
        </w:rPr>
      </w:pPr>
    </w:p>
    <w:p w14:paraId="48676783" w14:textId="78AE5BCB" w:rsidR="004779CB" w:rsidRPr="002628EB" w:rsidRDefault="00943C3C" w:rsidP="007B5946">
      <w:pPr>
        <w:rPr>
          <w:rFonts w:ascii="Arial" w:hAnsi="Arial" w:cs="Arial"/>
          <w:szCs w:val="24"/>
        </w:rPr>
      </w:pPr>
      <w:r w:rsidRPr="002628EB">
        <w:rPr>
          <w:rFonts w:ascii="Arial" w:hAnsi="Arial" w:cs="Arial"/>
          <w:szCs w:val="24"/>
        </w:rPr>
        <w:t>Email:</w:t>
      </w:r>
      <w:r w:rsidR="002628EB">
        <w:rPr>
          <w:rFonts w:ascii="Arial" w:hAnsi="Arial" w:cs="Arial"/>
          <w:szCs w:val="24"/>
        </w:rPr>
        <w:t xml:space="preserve"> </w:t>
      </w:r>
      <w:r w:rsidR="002628EB" w:rsidRPr="002628EB">
        <w:rPr>
          <w:rFonts w:ascii="Arial" w:hAnsi="Arial" w:cs="Arial"/>
          <w:szCs w:val="24"/>
        </w:rPr>
        <w:t>sunbinwe@hotmail.com</w:t>
      </w:r>
    </w:p>
    <w:p w14:paraId="41FAE993" w14:textId="77777777" w:rsidR="002C030F" w:rsidRPr="00DC623A" w:rsidRDefault="002C030F">
      <w:pPr>
        <w:rPr>
          <w:rFonts w:ascii="Arial" w:hAnsi="Arial" w:cs="Arial"/>
          <w:sz w:val="20"/>
        </w:rPr>
      </w:pPr>
    </w:p>
    <w:p w14:paraId="51DF9633" w14:textId="77777777" w:rsidR="00015F74" w:rsidRPr="00DC623A" w:rsidRDefault="00015F74">
      <w:pPr>
        <w:rPr>
          <w:rFonts w:ascii="Arial" w:hAnsi="Arial" w:cs="Arial"/>
          <w:b/>
          <w:sz w:val="20"/>
        </w:rPr>
      </w:pPr>
    </w:p>
    <w:p w14:paraId="33C1181B" w14:textId="77777777" w:rsidR="002628EB" w:rsidRDefault="002628EB">
      <w:pPr>
        <w:rPr>
          <w:rFonts w:ascii="Arial" w:hAnsi="Arial" w:cs="Arial"/>
          <w:b/>
          <w:szCs w:val="24"/>
        </w:rPr>
      </w:pPr>
    </w:p>
    <w:p w14:paraId="0CBA2E0C" w14:textId="77777777" w:rsidR="002628EB" w:rsidRDefault="002628EB">
      <w:pPr>
        <w:rPr>
          <w:rFonts w:ascii="Arial" w:hAnsi="Arial" w:cs="Arial"/>
          <w:b/>
          <w:szCs w:val="24"/>
        </w:rPr>
      </w:pPr>
    </w:p>
    <w:p w14:paraId="5BD9541E" w14:textId="77777777" w:rsidR="002628EB" w:rsidRDefault="002628EB">
      <w:pPr>
        <w:rPr>
          <w:rFonts w:ascii="Arial" w:hAnsi="Arial" w:cs="Arial"/>
          <w:b/>
          <w:szCs w:val="24"/>
        </w:rPr>
      </w:pPr>
    </w:p>
    <w:p w14:paraId="42C7F254" w14:textId="77777777" w:rsidR="002628EB" w:rsidRDefault="002628EB">
      <w:pPr>
        <w:rPr>
          <w:rFonts w:ascii="Arial" w:hAnsi="Arial" w:cs="Arial"/>
          <w:b/>
          <w:szCs w:val="24"/>
        </w:rPr>
      </w:pPr>
    </w:p>
    <w:p w14:paraId="5500E255" w14:textId="77777777" w:rsidR="002628EB" w:rsidRDefault="002628EB">
      <w:pPr>
        <w:rPr>
          <w:rFonts w:ascii="Arial" w:hAnsi="Arial" w:cs="Arial"/>
          <w:b/>
          <w:szCs w:val="24"/>
        </w:rPr>
      </w:pPr>
    </w:p>
    <w:p w14:paraId="4431BE46" w14:textId="77777777" w:rsidR="002628EB" w:rsidRDefault="002628EB">
      <w:pPr>
        <w:rPr>
          <w:rFonts w:ascii="Arial" w:hAnsi="Arial" w:cs="Arial"/>
          <w:b/>
          <w:szCs w:val="24"/>
        </w:rPr>
      </w:pPr>
    </w:p>
    <w:p w14:paraId="6D015211" w14:textId="77777777" w:rsidR="002628EB" w:rsidRDefault="002628EB">
      <w:pPr>
        <w:rPr>
          <w:rFonts w:ascii="Arial" w:hAnsi="Arial" w:cs="Arial"/>
          <w:b/>
          <w:szCs w:val="24"/>
        </w:rPr>
      </w:pPr>
    </w:p>
    <w:p w14:paraId="7B36A354" w14:textId="77777777" w:rsidR="002628EB" w:rsidRDefault="002628EB">
      <w:pPr>
        <w:rPr>
          <w:rFonts w:ascii="Arial" w:hAnsi="Arial" w:cs="Arial"/>
          <w:b/>
          <w:szCs w:val="24"/>
        </w:rPr>
      </w:pPr>
    </w:p>
    <w:p w14:paraId="6F990D50" w14:textId="77777777" w:rsidR="002628EB" w:rsidRDefault="002628EB">
      <w:pPr>
        <w:rPr>
          <w:rFonts w:ascii="Arial" w:hAnsi="Arial" w:cs="Arial"/>
          <w:b/>
          <w:szCs w:val="24"/>
        </w:rPr>
      </w:pPr>
    </w:p>
    <w:p w14:paraId="75C2CB62" w14:textId="77777777" w:rsidR="002628EB" w:rsidRDefault="002628EB">
      <w:pPr>
        <w:rPr>
          <w:rFonts w:ascii="Arial" w:hAnsi="Arial" w:cs="Arial"/>
          <w:b/>
          <w:szCs w:val="24"/>
        </w:rPr>
      </w:pPr>
    </w:p>
    <w:p w14:paraId="09920EA7" w14:textId="5DA09D63" w:rsidR="002C030F" w:rsidRPr="002628EB" w:rsidRDefault="009743A9">
      <w:pPr>
        <w:rPr>
          <w:rFonts w:ascii="Arial" w:hAnsi="Arial" w:cs="Arial"/>
          <w:b/>
          <w:szCs w:val="24"/>
        </w:rPr>
      </w:pPr>
      <w:r w:rsidRPr="002628EB">
        <w:rPr>
          <w:rFonts w:ascii="Arial" w:hAnsi="Arial" w:cs="Arial"/>
          <w:b/>
          <w:szCs w:val="24"/>
        </w:rPr>
        <w:t xml:space="preserve">This PDF file </w:t>
      </w:r>
      <w:r w:rsidR="002C030F" w:rsidRPr="002628EB">
        <w:rPr>
          <w:rFonts w:ascii="Arial" w:hAnsi="Arial" w:cs="Arial"/>
          <w:b/>
          <w:szCs w:val="24"/>
        </w:rPr>
        <w:t>includes:</w:t>
      </w:r>
    </w:p>
    <w:p w14:paraId="4348D444" w14:textId="77777777" w:rsidR="002C030F" w:rsidRPr="002628EB" w:rsidRDefault="002C030F">
      <w:pPr>
        <w:rPr>
          <w:rFonts w:ascii="Arial" w:hAnsi="Arial" w:cs="Arial"/>
          <w:szCs w:val="24"/>
        </w:rPr>
      </w:pPr>
    </w:p>
    <w:p w14:paraId="5C040600" w14:textId="214EAFAD" w:rsidR="002C030F" w:rsidRPr="002628EB" w:rsidRDefault="00B73A1C" w:rsidP="002628EB">
      <w:pPr>
        <w:spacing w:line="360" w:lineRule="auto"/>
        <w:ind w:left="720"/>
        <w:rPr>
          <w:rFonts w:ascii="Arial" w:hAnsi="Arial" w:cs="Arial"/>
          <w:szCs w:val="24"/>
        </w:rPr>
      </w:pPr>
      <w:r w:rsidRPr="002628EB">
        <w:rPr>
          <w:rFonts w:ascii="Arial" w:hAnsi="Arial" w:cs="Arial"/>
          <w:szCs w:val="24"/>
        </w:rPr>
        <w:t>Supporting</w:t>
      </w:r>
      <w:r w:rsidR="007B5946" w:rsidRPr="002628EB">
        <w:rPr>
          <w:rFonts w:ascii="Arial" w:hAnsi="Arial" w:cs="Arial"/>
          <w:szCs w:val="24"/>
        </w:rPr>
        <w:t xml:space="preserve"> </w:t>
      </w:r>
      <w:r w:rsidR="002628EB" w:rsidRPr="002628EB">
        <w:rPr>
          <w:rFonts w:ascii="Arial" w:hAnsi="Arial" w:cs="Arial"/>
          <w:szCs w:val="24"/>
        </w:rPr>
        <w:t>Materials and Methods</w:t>
      </w:r>
    </w:p>
    <w:p w14:paraId="21670AEA" w14:textId="3684C6F0" w:rsidR="002C030F" w:rsidRPr="002628EB" w:rsidRDefault="00DA59EA" w:rsidP="002628EB">
      <w:pPr>
        <w:spacing w:line="360" w:lineRule="auto"/>
        <w:ind w:left="720"/>
        <w:rPr>
          <w:rFonts w:ascii="Arial" w:hAnsi="Arial" w:cs="Arial"/>
          <w:szCs w:val="24"/>
        </w:rPr>
      </w:pPr>
      <w:r w:rsidRPr="002628EB">
        <w:rPr>
          <w:rFonts w:ascii="Arial" w:hAnsi="Arial" w:cs="Arial"/>
          <w:szCs w:val="24"/>
        </w:rPr>
        <w:t>Figures</w:t>
      </w:r>
      <w:r w:rsidR="00A3403B" w:rsidRPr="002628EB">
        <w:rPr>
          <w:rFonts w:ascii="Arial" w:hAnsi="Arial" w:cs="Arial"/>
          <w:szCs w:val="24"/>
        </w:rPr>
        <w:t xml:space="preserve"> </w:t>
      </w:r>
      <w:r w:rsidR="002C030F" w:rsidRPr="002628EB">
        <w:rPr>
          <w:rFonts w:ascii="Arial" w:hAnsi="Arial" w:cs="Arial"/>
          <w:szCs w:val="24"/>
        </w:rPr>
        <w:t>S1</w:t>
      </w:r>
      <w:r w:rsidR="00A3403B" w:rsidRPr="002628EB">
        <w:rPr>
          <w:rFonts w:ascii="Arial" w:hAnsi="Arial" w:cs="Arial"/>
          <w:szCs w:val="24"/>
        </w:rPr>
        <w:t xml:space="preserve"> to </w:t>
      </w:r>
      <w:r w:rsidR="002C030F" w:rsidRPr="002628EB">
        <w:rPr>
          <w:rFonts w:ascii="Arial" w:hAnsi="Arial" w:cs="Arial"/>
          <w:szCs w:val="24"/>
        </w:rPr>
        <w:t>S</w:t>
      </w:r>
      <w:r w:rsidR="002628EB">
        <w:rPr>
          <w:rFonts w:ascii="Arial" w:hAnsi="Arial" w:cs="Arial"/>
          <w:szCs w:val="24"/>
        </w:rPr>
        <w:t>10</w:t>
      </w:r>
    </w:p>
    <w:p w14:paraId="77BBB45A" w14:textId="7B7DD38A" w:rsidR="001C0520" w:rsidRPr="002628EB" w:rsidRDefault="00CF16C9" w:rsidP="002628EB">
      <w:pPr>
        <w:spacing w:line="360" w:lineRule="auto"/>
        <w:ind w:left="720"/>
        <w:rPr>
          <w:rFonts w:ascii="Arial" w:hAnsi="Arial" w:cs="Arial"/>
          <w:szCs w:val="24"/>
        </w:rPr>
      </w:pPr>
      <w:r w:rsidRPr="002628EB">
        <w:rPr>
          <w:rFonts w:ascii="Arial" w:hAnsi="Arial" w:cs="Arial"/>
          <w:szCs w:val="24"/>
        </w:rPr>
        <w:t xml:space="preserve">SI </w:t>
      </w:r>
      <w:r w:rsidR="001C0520" w:rsidRPr="002628EB">
        <w:rPr>
          <w:rFonts w:ascii="Arial" w:hAnsi="Arial" w:cs="Arial"/>
          <w:szCs w:val="24"/>
        </w:rPr>
        <w:t xml:space="preserve">References </w:t>
      </w:r>
    </w:p>
    <w:p w14:paraId="7702D235" w14:textId="7CE0781F" w:rsidR="002C030F" w:rsidRDefault="002C030F">
      <w:pPr>
        <w:rPr>
          <w:rFonts w:ascii="Arial" w:hAnsi="Arial" w:cs="Arial"/>
          <w:szCs w:val="24"/>
        </w:rPr>
      </w:pPr>
    </w:p>
    <w:p w14:paraId="4A6D4A0D" w14:textId="5DBEBA40" w:rsidR="002628EB" w:rsidRDefault="002628EB">
      <w:pPr>
        <w:rPr>
          <w:rFonts w:ascii="Arial" w:hAnsi="Arial" w:cs="Arial"/>
          <w:szCs w:val="24"/>
        </w:rPr>
      </w:pPr>
    </w:p>
    <w:p w14:paraId="78FC07CE" w14:textId="2DF17364" w:rsidR="002628EB" w:rsidRDefault="002628EB">
      <w:pPr>
        <w:rPr>
          <w:rFonts w:ascii="Arial" w:hAnsi="Arial" w:cs="Arial"/>
          <w:szCs w:val="24"/>
        </w:rPr>
      </w:pPr>
    </w:p>
    <w:p w14:paraId="22E49813" w14:textId="36AAD517" w:rsidR="0030039A" w:rsidRDefault="0030039A">
      <w:pPr>
        <w:rPr>
          <w:rFonts w:ascii="Arial" w:hAnsi="Arial" w:cs="Arial"/>
          <w:szCs w:val="24"/>
        </w:rPr>
      </w:pPr>
    </w:p>
    <w:p w14:paraId="52BD9212" w14:textId="4D9997A7" w:rsidR="0030039A" w:rsidRDefault="0030039A">
      <w:pPr>
        <w:rPr>
          <w:rFonts w:ascii="Arial" w:hAnsi="Arial" w:cs="Arial"/>
          <w:szCs w:val="24"/>
        </w:rPr>
      </w:pPr>
    </w:p>
    <w:p w14:paraId="185BB6B7" w14:textId="117D442E" w:rsidR="0030039A" w:rsidRDefault="0030039A">
      <w:pPr>
        <w:rPr>
          <w:rFonts w:ascii="Arial" w:hAnsi="Arial" w:cs="Arial"/>
          <w:szCs w:val="24"/>
        </w:rPr>
      </w:pPr>
    </w:p>
    <w:p w14:paraId="0DAD46F2" w14:textId="4B876829" w:rsidR="0030039A" w:rsidRDefault="0030039A">
      <w:pPr>
        <w:rPr>
          <w:rFonts w:ascii="Arial" w:hAnsi="Arial" w:cs="Arial"/>
          <w:szCs w:val="24"/>
        </w:rPr>
      </w:pPr>
    </w:p>
    <w:p w14:paraId="24B3DA38" w14:textId="77777777" w:rsidR="0030039A" w:rsidRDefault="0030039A">
      <w:pPr>
        <w:rPr>
          <w:rFonts w:ascii="Arial" w:hAnsi="Arial" w:cs="Arial"/>
          <w:szCs w:val="24"/>
        </w:rPr>
      </w:pPr>
      <w:bookmarkStart w:id="2" w:name="_GoBack"/>
      <w:bookmarkEnd w:id="2"/>
    </w:p>
    <w:p w14:paraId="7A17D1D3" w14:textId="77777777" w:rsidR="00732993" w:rsidRDefault="00732993">
      <w:pPr>
        <w:rPr>
          <w:rFonts w:ascii="Arial" w:hAnsi="Arial" w:cs="Arial"/>
          <w:szCs w:val="24"/>
        </w:rPr>
      </w:pPr>
    </w:p>
    <w:p w14:paraId="4678041E" w14:textId="0542DFC6" w:rsidR="002628EB" w:rsidRDefault="002628EB">
      <w:pPr>
        <w:rPr>
          <w:rFonts w:ascii="Arial" w:hAnsi="Arial" w:cs="Arial"/>
          <w:szCs w:val="24"/>
        </w:rPr>
      </w:pPr>
    </w:p>
    <w:p w14:paraId="20406668" w14:textId="50568D40" w:rsidR="00B53071" w:rsidRDefault="00B53071" w:rsidP="00B53071">
      <w:pPr>
        <w:rPr>
          <w:b/>
          <w:bCs/>
          <w:sz w:val="28"/>
          <w:szCs w:val="28"/>
        </w:rPr>
      </w:pPr>
      <w:r w:rsidRPr="00394F7A">
        <w:rPr>
          <w:b/>
          <w:bCs/>
          <w:sz w:val="28"/>
          <w:szCs w:val="28"/>
        </w:rPr>
        <w:lastRenderedPageBreak/>
        <w:t>SI Materials and Methods</w:t>
      </w:r>
    </w:p>
    <w:p w14:paraId="2375A6DF" w14:textId="77777777" w:rsidR="00B53071" w:rsidRPr="00394F7A" w:rsidRDefault="00B53071" w:rsidP="00B53071">
      <w:pPr>
        <w:rPr>
          <w:b/>
          <w:bCs/>
          <w:sz w:val="28"/>
          <w:szCs w:val="28"/>
        </w:rPr>
      </w:pPr>
    </w:p>
    <w:p w14:paraId="61A57A2C" w14:textId="77777777" w:rsidR="00B53071" w:rsidRDefault="00B53071" w:rsidP="00B53071">
      <w:pPr>
        <w:rPr>
          <w:b/>
          <w:bCs/>
          <w:sz w:val="28"/>
          <w:szCs w:val="28"/>
        </w:rPr>
      </w:pPr>
      <w:r w:rsidRPr="00394F7A">
        <w:rPr>
          <w:b/>
          <w:bCs/>
          <w:sz w:val="28"/>
          <w:szCs w:val="28"/>
        </w:rPr>
        <w:t>Materials</w:t>
      </w:r>
    </w:p>
    <w:p w14:paraId="244CD462" w14:textId="77777777" w:rsidR="00B53071" w:rsidRPr="00AC6B3F" w:rsidRDefault="00B53071" w:rsidP="00B53071">
      <w:pPr>
        <w:pStyle w:val="aa"/>
        <w:spacing w:line="360" w:lineRule="auto"/>
        <w:rPr>
          <w:b/>
          <w:bCs/>
          <w:i/>
          <w:iCs/>
          <w:color w:val="000000" w:themeColor="text1"/>
        </w:rPr>
      </w:pPr>
      <w:r w:rsidRPr="00AC6B3F">
        <w:rPr>
          <w:b/>
          <w:bCs/>
          <w:i/>
          <w:iCs/>
          <w:color w:val="000000" w:themeColor="text1"/>
        </w:rPr>
        <w:t>Ethics declarations</w:t>
      </w:r>
    </w:p>
    <w:p w14:paraId="327C8ABF" w14:textId="77777777" w:rsidR="00B53071" w:rsidRPr="00AC6B3F" w:rsidRDefault="00B53071" w:rsidP="00B53071">
      <w:pPr>
        <w:pStyle w:val="aa"/>
        <w:spacing w:line="360" w:lineRule="auto"/>
      </w:pPr>
      <w:r>
        <w:t>This study was approved by the Medical Ethics Committee of Suzhou Hospital Affiliated to Nanjing Medical University (</w:t>
      </w:r>
      <w:r w:rsidRPr="00104663">
        <w:t>approval number: KL901390).</w:t>
      </w:r>
      <w:r>
        <w:t xml:space="preserve"> PB samples were obtained from healthy voluntary blood donors and individuals with </w:t>
      </w:r>
      <w:proofErr w:type="spellStart"/>
      <w:r>
        <w:t>tumours</w:t>
      </w:r>
      <w:proofErr w:type="spellEnd"/>
      <w:r>
        <w:t xml:space="preserve"> through the median cubital vein. All participants were informed about the study and provided written consent for the use of their blood samples for research purposes prior to inclusion.</w:t>
      </w:r>
    </w:p>
    <w:p w14:paraId="6EE37E60" w14:textId="77777777" w:rsidR="00B53071" w:rsidRPr="00104663" w:rsidRDefault="00B53071" w:rsidP="00B53071">
      <w:pPr>
        <w:adjustRightInd w:val="0"/>
        <w:snapToGrid w:val="0"/>
        <w:spacing w:line="360" w:lineRule="auto"/>
        <w:rPr>
          <w:rFonts w:eastAsia="宋体"/>
          <w:b/>
          <w:bCs/>
          <w:i/>
        </w:rPr>
      </w:pPr>
      <w:r w:rsidRPr="00104663">
        <w:rPr>
          <w:rFonts w:eastAsia="宋体"/>
          <w:b/>
          <w:bCs/>
          <w:i/>
        </w:rPr>
        <w:t>Participant selection</w:t>
      </w:r>
    </w:p>
    <w:p w14:paraId="28742389"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Between May 2022 and November 2022, 164 adult patients with primary </w:t>
      </w:r>
      <w:proofErr w:type="spellStart"/>
      <w:r>
        <w:rPr>
          <w:rFonts w:eastAsia="宋体"/>
        </w:rPr>
        <w:t>tumours</w:t>
      </w:r>
      <w:proofErr w:type="spellEnd"/>
      <w:r>
        <w:rPr>
          <w:rFonts w:eastAsia="宋体"/>
        </w:rPr>
        <w:t xml:space="preserve"> were recruited from the Oncology Department of Suzhou Hospital Affiliated to Nanjing Medical University. The residual blood samples collected upon admission prior to any treatment were used for the analysis of chemotactic function in neutrophils. Exclusion criteria included severe infections, major trauma, immune-related diseases, neutropenia (neutrophil count &lt;2 × 10</w:t>
      </w:r>
      <w:r>
        <w:rPr>
          <w:rFonts w:eastAsia="宋体"/>
          <w:vertAlign w:val="superscript"/>
        </w:rPr>
        <w:t>9</w:t>
      </w:r>
      <w:r>
        <w:rPr>
          <w:rFonts w:eastAsia="宋体"/>
        </w:rPr>
        <w:t xml:space="preserve"> cells/L), pregnancy, or hematologic malignancies. During the same period, 73 adult volunteers with standard health examination results were recruited from the Suzhou Health Examination Centre for the assessment of the chemotactic function of neutrophils in PB.</w:t>
      </w:r>
    </w:p>
    <w:p w14:paraId="0A83FF96" w14:textId="77777777" w:rsidR="00B53071" w:rsidRPr="00104663" w:rsidRDefault="00B53071" w:rsidP="00B53071">
      <w:pPr>
        <w:adjustRightInd w:val="0"/>
        <w:snapToGrid w:val="0"/>
        <w:spacing w:line="360" w:lineRule="auto"/>
        <w:jc w:val="both"/>
        <w:rPr>
          <w:rFonts w:eastAsia="宋体"/>
          <w:b/>
          <w:bCs/>
          <w:i/>
        </w:rPr>
      </w:pPr>
      <w:r w:rsidRPr="00104663">
        <w:rPr>
          <w:rFonts w:eastAsia="宋体"/>
          <w:b/>
          <w:bCs/>
          <w:i/>
        </w:rPr>
        <w:t>Clinical data collection</w:t>
      </w:r>
    </w:p>
    <w:p w14:paraId="04F0D58B"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This study collected and </w:t>
      </w:r>
      <w:proofErr w:type="spellStart"/>
      <w:r>
        <w:rPr>
          <w:rFonts w:eastAsia="宋体"/>
        </w:rPr>
        <w:t>analysed</w:t>
      </w:r>
      <w:proofErr w:type="spellEnd"/>
      <w:r>
        <w:rPr>
          <w:rFonts w:eastAsia="宋体"/>
        </w:rPr>
        <w:t xml:space="preserve"> data from </w:t>
      </w:r>
      <w:r>
        <w:rPr>
          <w:rFonts w:eastAsia="宋体" w:hint="eastAsia"/>
        </w:rPr>
        <w:t>425</w:t>
      </w:r>
      <w:r>
        <w:rPr>
          <w:rFonts w:eastAsia="宋体"/>
        </w:rPr>
        <w:t>,</w:t>
      </w:r>
      <w:r>
        <w:rPr>
          <w:rFonts w:eastAsia="宋体" w:hint="eastAsia"/>
        </w:rPr>
        <w:t>252</w:t>
      </w:r>
      <w:r>
        <w:rPr>
          <w:rFonts w:eastAsia="宋体"/>
        </w:rPr>
        <w:t xml:space="preserve"> healthy individuals with unremarkable health examination results at Suzhou Health Examination Centre between 2017 and 2022, and 16,016 inpatient cases from the Oncology Department of Suzhou Hospital Affiliated to Nanjing Medical University, during the same period. The analysis focused on WBC and neutrophil counts from routine blood tests </w:t>
      </w:r>
      <w:r w:rsidRPr="00CA0BE6">
        <w:rPr>
          <w:rFonts w:eastAsia="宋体"/>
        </w:rPr>
        <w:t>(Table 1)</w:t>
      </w:r>
      <w:r>
        <w:rPr>
          <w:rFonts w:eastAsia="宋体"/>
        </w:rPr>
        <w:t xml:space="preserve">. Furthermore, data on gender, age, diagnosis, WBC count, neutrophil count, and lymphocyte count were collected from all participants </w:t>
      </w:r>
      <w:r w:rsidRPr="00CA0BE6">
        <w:rPr>
          <w:rFonts w:eastAsia="宋体"/>
        </w:rPr>
        <w:t>(Table 2)</w:t>
      </w:r>
      <w:r>
        <w:rPr>
          <w:rFonts w:eastAsia="宋体"/>
        </w:rPr>
        <w:t>.</w:t>
      </w:r>
    </w:p>
    <w:p w14:paraId="263CE3E1" w14:textId="77777777" w:rsidR="00B53071" w:rsidRPr="00104663" w:rsidRDefault="00B53071" w:rsidP="00B53071">
      <w:pPr>
        <w:adjustRightInd w:val="0"/>
        <w:snapToGrid w:val="0"/>
        <w:spacing w:line="360" w:lineRule="auto"/>
        <w:jc w:val="both"/>
        <w:rPr>
          <w:rFonts w:eastAsia="宋体"/>
          <w:b/>
          <w:bCs/>
          <w:i/>
        </w:rPr>
      </w:pPr>
      <w:r w:rsidRPr="00104663">
        <w:rPr>
          <w:rFonts w:eastAsia="宋体"/>
          <w:b/>
          <w:bCs/>
          <w:i/>
        </w:rPr>
        <w:t>Neutrophil purification</w:t>
      </w:r>
    </w:p>
    <w:p w14:paraId="08FEF2ED"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PB samples from both patients with </w:t>
      </w:r>
      <w:proofErr w:type="spellStart"/>
      <w:r>
        <w:rPr>
          <w:rFonts w:eastAsia="宋体"/>
        </w:rPr>
        <w:t>tumours</w:t>
      </w:r>
      <w:proofErr w:type="spellEnd"/>
      <w:r>
        <w:rPr>
          <w:rFonts w:eastAsia="宋体"/>
        </w:rPr>
        <w:t xml:space="preserve"> and healthy volunteers were subjected to neutrophil isolation and purification using the </w:t>
      </w:r>
      <w:proofErr w:type="spellStart"/>
      <w:r>
        <w:rPr>
          <w:rFonts w:eastAsia="宋体"/>
        </w:rPr>
        <w:t>EasySep</w:t>
      </w:r>
      <w:r>
        <w:rPr>
          <w:rFonts w:eastAsia="宋体"/>
          <w:vertAlign w:val="superscript"/>
        </w:rPr>
        <w:t>TM</w:t>
      </w:r>
      <w:proofErr w:type="spellEnd"/>
      <w:r>
        <w:rPr>
          <w:rFonts w:eastAsia="宋体"/>
        </w:rPr>
        <w:t xml:space="preserve"> Direct Human Neutrophil Isolation Kit (STEMCELL Technologies, Canada) following manufacturer’</w:t>
      </w:r>
      <w:r>
        <w:rPr>
          <w:rFonts w:eastAsia="宋体" w:hint="eastAsia"/>
        </w:rPr>
        <w:t>s</w:t>
      </w:r>
      <w:r>
        <w:rPr>
          <w:rFonts w:eastAsia="宋体"/>
        </w:rPr>
        <w:t xml:space="preserve"> instructions. </w:t>
      </w:r>
      <w:r>
        <w:rPr>
          <w:rFonts w:eastAsia="宋体"/>
        </w:rPr>
        <w:lastRenderedPageBreak/>
        <w:t xml:space="preserve">The obtained cells were cultured in Roswell Park Memorial Institute (RPMI) 1640 medium (Gibco, Canada) supplemented with 10% </w:t>
      </w:r>
      <w:proofErr w:type="spellStart"/>
      <w:r>
        <w:rPr>
          <w:rFonts w:eastAsia="宋体"/>
        </w:rPr>
        <w:t>foetal</w:t>
      </w:r>
      <w:proofErr w:type="spellEnd"/>
      <w:r>
        <w:rPr>
          <w:rFonts w:eastAsia="宋体"/>
        </w:rPr>
        <w:t xml:space="preserve"> bovine serum (FBS) (Corning, New Zealand) at a cell density of 1 × 10</w:t>
      </w:r>
      <w:r>
        <w:rPr>
          <w:rFonts w:eastAsia="宋体"/>
          <w:vertAlign w:val="superscript"/>
        </w:rPr>
        <w:t>9</w:t>
      </w:r>
      <w:r>
        <w:rPr>
          <w:rFonts w:eastAsia="宋体"/>
        </w:rPr>
        <w:t xml:space="preserve"> cells/</w:t>
      </w:r>
      <w:proofErr w:type="spellStart"/>
      <w:r>
        <w:rPr>
          <w:rFonts w:eastAsia="宋体"/>
        </w:rPr>
        <w:t>mL.</w:t>
      </w:r>
      <w:proofErr w:type="spellEnd"/>
    </w:p>
    <w:p w14:paraId="37BA2CD0" w14:textId="77777777" w:rsidR="00B53071" w:rsidRPr="00104663" w:rsidRDefault="00B53071" w:rsidP="00B53071">
      <w:pPr>
        <w:adjustRightInd w:val="0"/>
        <w:snapToGrid w:val="0"/>
        <w:spacing w:line="360" w:lineRule="auto"/>
        <w:rPr>
          <w:rFonts w:eastAsia="宋体"/>
          <w:b/>
          <w:bCs/>
          <w:i/>
        </w:rPr>
      </w:pPr>
      <w:r w:rsidRPr="00104663">
        <w:rPr>
          <w:rFonts w:eastAsia="宋体"/>
          <w:b/>
          <w:bCs/>
          <w:i/>
        </w:rPr>
        <w:t>Assessment of chemotactic function of neutrophils</w:t>
      </w:r>
    </w:p>
    <w:p w14:paraId="7C5602AC" w14:textId="77777777" w:rsidR="00B53071" w:rsidRDefault="00B53071" w:rsidP="00B53071">
      <w:pPr>
        <w:adjustRightInd w:val="0"/>
        <w:snapToGrid w:val="0"/>
        <w:spacing w:line="360" w:lineRule="auto"/>
        <w:ind w:firstLineChars="200" w:firstLine="480"/>
        <w:jc w:val="both"/>
        <w:rPr>
          <w:rFonts w:eastAsia="宋体"/>
        </w:rPr>
      </w:pPr>
      <w:r>
        <w:rPr>
          <w:rFonts w:eastAsia="宋体"/>
        </w:rPr>
        <w:t>The chemotactic function of neutrophils was examined using an under-agarose chemotaxis assay. Firstly, culture dishes containing agarose gel were prepared according to the formulation used in previous studies</w:t>
      </w:r>
      <w:r w:rsidRPr="000B38A4">
        <w:rPr>
          <w:rFonts w:eastAsia="宋体"/>
          <w:noProof/>
          <w:vertAlign w:val="superscript"/>
        </w:rPr>
        <w:t>4</w:t>
      </w:r>
      <w:r>
        <w:rPr>
          <w:rFonts w:eastAsia="宋体"/>
          <w:noProof/>
          <w:vertAlign w:val="superscript"/>
        </w:rPr>
        <w:t>1</w:t>
      </w:r>
      <w:r>
        <w:rPr>
          <w:rFonts w:eastAsia="宋体"/>
        </w:rPr>
        <w:t xml:space="preserve">. Next, three small holes were made in the agarose using a puncher. The excess agarose and any exudate water were removed from the holes. Subsequently, 10 µL of cells were added to the side holes, whilst 10 µL of 0.1 µM </w:t>
      </w:r>
      <w:proofErr w:type="spellStart"/>
      <w:r>
        <w:rPr>
          <w:rFonts w:eastAsia="宋体"/>
        </w:rPr>
        <w:t>fMLF</w:t>
      </w:r>
      <w:proofErr w:type="spellEnd"/>
      <w:r>
        <w:rPr>
          <w:rFonts w:eastAsia="宋体"/>
        </w:rPr>
        <w:t xml:space="preserve"> (Sigma Aldrich, USA) was added to the central hole. The culture dish was placed in a CO</w:t>
      </w:r>
      <w:r>
        <w:rPr>
          <w:rFonts w:eastAsia="宋体"/>
          <w:vertAlign w:val="subscript"/>
        </w:rPr>
        <w:t>2</w:t>
      </w:r>
      <w:r>
        <w:rPr>
          <w:rFonts w:eastAsia="宋体"/>
        </w:rPr>
        <w:t xml:space="preserve"> incubator at 37°C for 2 h. The original images of neutrophil chemotaxis were observed and captured using an Olympus IX73 microscope in a phase-contrast mode, with a 4× objective lens and a 10× eyepiece. The images were uploaded to the Construction of the Cell Chemotaxis Analysis Platform (CCAP) for further analysis, as described in the previously published study</w:t>
      </w:r>
      <w:r>
        <w:rPr>
          <w:rFonts w:eastAsia="宋体"/>
          <w:noProof/>
          <w:vertAlign w:val="superscript"/>
        </w:rPr>
        <w:t xml:space="preserve">1 </w:t>
      </w:r>
      <w:r>
        <w:rPr>
          <w:rFonts w:eastAsia="宋体"/>
        </w:rPr>
        <w:t>(Fig.1</w:t>
      </w:r>
      <w:r w:rsidRPr="00026AEC">
        <w:rPr>
          <w:rFonts w:eastAsia="宋体"/>
          <w:color w:val="0070C0"/>
        </w:rPr>
        <w:t>b</w:t>
      </w:r>
      <w:r>
        <w:rPr>
          <w:rFonts w:eastAsia="宋体"/>
        </w:rPr>
        <w:t>). The specific values of the following chemotaxis indicators were obtained: chemotaxis distance (CD), maximum speed of chemotaxis (V</w:t>
      </w:r>
      <w:r w:rsidRPr="0006070E">
        <w:rPr>
          <w:rFonts w:eastAsia="宋体"/>
        </w:rPr>
        <w:t>max</w:t>
      </w:r>
      <w:r>
        <w:rPr>
          <w:rFonts w:eastAsia="宋体"/>
        </w:rPr>
        <w:t>), chemotactic cell ratio (CCR), chemotaxis index (CI), and chemotactic function score (CFS). Among these indicators, a CFS score of 15 is indicative of normal neutrophil chemotactic function, while scores of 11–14, 7–10, 4–6, and ≤3 showed mild, moderate, severe, and extremely severe abnormalities, respectively.</w:t>
      </w:r>
    </w:p>
    <w:p w14:paraId="0AB17BE5" w14:textId="77777777" w:rsidR="00B53071" w:rsidRPr="00104663" w:rsidRDefault="00B53071" w:rsidP="00B53071">
      <w:pPr>
        <w:adjustRightInd w:val="0"/>
        <w:snapToGrid w:val="0"/>
        <w:spacing w:line="360" w:lineRule="auto"/>
        <w:jc w:val="both"/>
        <w:rPr>
          <w:rFonts w:eastAsia="宋体"/>
          <w:b/>
          <w:bCs/>
          <w:i/>
        </w:rPr>
      </w:pPr>
      <w:r w:rsidRPr="00104663">
        <w:rPr>
          <w:rFonts w:eastAsia="宋体"/>
          <w:b/>
          <w:bCs/>
          <w:i/>
        </w:rPr>
        <w:t>Neutrophil- and chemotaxis-related biomarkers</w:t>
      </w:r>
    </w:p>
    <w:p w14:paraId="55EAB9F6"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The gene sets related to neutrophils and their chemotaxis were retrieved as biomarkers to replicate the process of neutrophil chemotaxis from PB to tissues. The model was primarily established using two parts consisting of 155 genes, including the neutrophil-related gene sets summarized in the study of </w:t>
      </w:r>
      <w:proofErr w:type="spellStart"/>
      <w:r>
        <w:rPr>
          <w:rFonts w:eastAsia="宋体"/>
        </w:rPr>
        <w:t>Şenbabaoğlu</w:t>
      </w:r>
      <w:proofErr w:type="spellEnd"/>
      <w:r>
        <w:rPr>
          <w:rFonts w:eastAsia="宋体"/>
        </w:rPr>
        <w:t xml:space="preserve"> </w:t>
      </w:r>
      <w:r>
        <w:rPr>
          <w:rFonts w:eastAsia="宋体"/>
          <w:i/>
          <w:iCs/>
        </w:rPr>
        <w:t>et al</w:t>
      </w:r>
      <w:r>
        <w:rPr>
          <w:rFonts w:eastAsia="宋体"/>
        </w:rPr>
        <w:t>.</w:t>
      </w:r>
      <w:r>
        <w:rPr>
          <w:rFonts w:eastAsia="宋体"/>
          <w:noProof/>
          <w:vertAlign w:val="superscript"/>
        </w:rPr>
        <w:t>2</w:t>
      </w:r>
      <w:r>
        <w:rPr>
          <w:rFonts w:eastAsia="宋体" w:hint="eastAsia"/>
        </w:rPr>
        <w:t>,</w:t>
      </w:r>
      <w:r>
        <w:rPr>
          <w:rFonts w:eastAsia="宋体"/>
        </w:rPr>
        <w:t xml:space="preserve"> and the gene sets related to chemotaxis summarized in </w:t>
      </w:r>
      <w:r w:rsidRPr="0044296D">
        <w:rPr>
          <w:rFonts w:eastAsia="宋体"/>
        </w:rPr>
        <w:t>Gene Set Enrichment</w:t>
      </w:r>
      <w:r>
        <w:rPr>
          <w:rFonts w:eastAsia="宋体"/>
        </w:rPr>
        <w:t xml:space="preserve"> </w:t>
      </w:r>
      <w:r w:rsidRPr="0044296D">
        <w:rPr>
          <w:rFonts w:eastAsia="宋体"/>
        </w:rPr>
        <w:t xml:space="preserve">Analysis </w:t>
      </w:r>
      <w:r>
        <w:rPr>
          <w:rFonts w:eastAsia="宋体"/>
        </w:rPr>
        <w:t>(GSEA) (https://www.gsea-msigdb.org/gsea/index.jsp).</w:t>
      </w:r>
    </w:p>
    <w:p w14:paraId="28ECEDEE" w14:textId="77777777" w:rsidR="00B53071" w:rsidRPr="00104663" w:rsidRDefault="00B53071" w:rsidP="00B53071">
      <w:pPr>
        <w:adjustRightInd w:val="0"/>
        <w:snapToGrid w:val="0"/>
        <w:spacing w:line="360" w:lineRule="auto"/>
        <w:jc w:val="both"/>
        <w:rPr>
          <w:rFonts w:eastAsia="宋体"/>
          <w:b/>
          <w:bCs/>
          <w:i/>
        </w:rPr>
      </w:pPr>
      <w:r w:rsidRPr="00104663">
        <w:rPr>
          <w:rFonts w:eastAsia="宋体"/>
          <w:b/>
          <w:bCs/>
          <w:i/>
        </w:rPr>
        <w:t>Materials and data sets</w:t>
      </w:r>
    </w:p>
    <w:p w14:paraId="24709BF4" w14:textId="77777777" w:rsidR="00B53071" w:rsidRPr="0063632F" w:rsidRDefault="00B53071" w:rsidP="00B53071">
      <w:pPr>
        <w:adjustRightInd w:val="0"/>
        <w:snapToGrid w:val="0"/>
        <w:spacing w:line="360" w:lineRule="auto"/>
        <w:ind w:firstLineChars="200" w:firstLine="480"/>
        <w:jc w:val="both"/>
        <w:rPr>
          <w:rFonts w:eastAsia="宋体"/>
        </w:rPr>
      </w:pPr>
      <w:r>
        <w:rPr>
          <w:rFonts w:eastAsia="宋体"/>
        </w:rPr>
        <w:t xml:space="preserve">In this study, pan-cancer expression profile data were initially retrieved from The Cancer Genome Atlas (TCGA) through the University of California Santa Cruz (UCSC) </w:t>
      </w:r>
      <w:proofErr w:type="spellStart"/>
      <w:r>
        <w:rPr>
          <w:rFonts w:eastAsia="宋体"/>
        </w:rPr>
        <w:t>Xena</w:t>
      </w:r>
      <w:proofErr w:type="spellEnd"/>
      <w:r>
        <w:rPr>
          <w:rFonts w:eastAsia="宋体"/>
        </w:rPr>
        <w:t xml:space="preserve"> browser, comprising 8,980 cases across 32 </w:t>
      </w:r>
      <w:proofErr w:type="spellStart"/>
      <w:r>
        <w:rPr>
          <w:rFonts w:eastAsia="宋体"/>
        </w:rPr>
        <w:t>tumour</w:t>
      </w:r>
      <w:proofErr w:type="spellEnd"/>
      <w:r>
        <w:rPr>
          <w:rFonts w:eastAsia="宋体"/>
        </w:rPr>
        <w:t xml:space="preserve"> types, excluding acute myeloid </w:t>
      </w:r>
      <w:proofErr w:type="spellStart"/>
      <w:r>
        <w:rPr>
          <w:rFonts w:eastAsia="宋体"/>
        </w:rPr>
        <w:lastRenderedPageBreak/>
        <w:t>leukaemia</w:t>
      </w:r>
      <w:proofErr w:type="spellEnd"/>
      <w:r>
        <w:rPr>
          <w:rFonts w:eastAsia="宋体"/>
        </w:rPr>
        <w:t xml:space="preserve"> (</w:t>
      </w:r>
      <w:r w:rsidRPr="00CA0BE6">
        <w:rPr>
          <w:rFonts w:eastAsia="宋体"/>
        </w:rPr>
        <w:t>https://xenabrowser.net/datapages/</w:t>
      </w:r>
      <w:r>
        <w:rPr>
          <w:rFonts w:eastAsia="宋体"/>
        </w:rPr>
        <w:t xml:space="preserve">). Clinical information of patients in TCGA was downloaded from the </w:t>
      </w:r>
      <w:proofErr w:type="spellStart"/>
      <w:r>
        <w:rPr>
          <w:rFonts w:eastAsia="宋体"/>
        </w:rPr>
        <w:t>cBioPortal</w:t>
      </w:r>
      <w:proofErr w:type="spellEnd"/>
      <w:r>
        <w:rPr>
          <w:rFonts w:eastAsia="宋体"/>
        </w:rPr>
        <w:t xml:space="preserve"> database. The TCGA data were randomly categorized into training and testing sets in a 7:3 ratio, respectively, for the development and validation of the </w:t>
      </w:r>
      <w:proofErr w:type="spellStart"/>
      <w:r>
        <w:rPr>
          <w:rFonts w:eastAsia="宋体"/>
        </w:rPr>
        <w:t>ChemoScore</w:t>
      </w:r>
      <w:proofErr w:type="spellEnd"/>
      <w:r>
        <w:rPr>
          <w:rFonts w:eastAsia="宋体"/>
        </w:rPr>
        <w:t xml:space="preserve"> model based on neutrophil-chemotaxis scores. To further validate the </w:t>
      </w:r>
      <w:proofErr w:type="spellStart"/>
      <w:r>
        <w:rPr>
          <w:rFonts w:eastAsia="宋体"/>
        </w:rPr>
        <w:t>ChemoScore</w:t>
      </w:r>
      <w:proofErr w:type="spellEnd"/>
      <w:r>
        <w:rPr>
          <w:rFonts w:eastAsia="宋体"/>
        </w:rPr>
        <w:t xml:space="preserve"> model in external data, gene expression and matched survival data were collected from eight independent datasets, including Chinese Glioma Genome Atlas (CGGA, n = 1,314) (</w:t>
      </w:r>
      <w:r w:rsidRPr="0063632F">
        <w:rPr>
          <w:rFonts w:eastAsia="宋体"/>
        </w:rPr>
        <w:t>http://www.cgga.org.cn/</w:t>
      </w:r>
      <w:r>
        <w:rPr>
          <w:rFonts w:eastAsia="宋体"/>
        </w:rPr>
        <w:t>), Molecular Taxonomy of Breast Cancer International Consortium (METABRIC, n = 1,980) (</w:t>
      </w:r>
      <w:r w:rsidRPr="00C77393">
        <w:rPr>
          <w:rFonts w:eastAsia="宋体"/>
        </w:rPr>
        <w:t>https://ega-archive.org/dacs/EGAC00001000484</w:t>
      </w:r>
      <w:r>
        <w:rPr>
          <w:rFonts w:eastAsia="宋体"/>
        </w:rPr>
        <w:t>), and other datasets from Gene Expression Omnibus (GEO) (</w:t>
      </w:r>
      <w:r w:rsidRPr="00522674">
        <w:rPr>
          <w:rFonts w:eastAsia="宋体"/>
        </w:rPr>
        <w:t>https://www.ncbi.nlm.nih.gov/geo/</w:t>
      </w:r>
      <w:r>
        <w:rPr>
          <w:rFonts w:eastAsia="宋体"/>
        </w:rPr>
        <w:t xml:space="preserve">). These datasets were related to colorectal cancer (CRC) (GSE87211 [n = 196], </w:t>
      </w:r>
      <w:r w:rsidRPr="004C60E2">
        <w:rPr>
          <w:rFonts w:eastAsia="宋体"/>
        </w:rPr>
        <w:t>GSE33113 [n = 90]</w:t>
      </w:r>
      <w:r>
        <w:rPr>
          <w:rFonts w:eastAsia="宋体"/>
        </w:rPr>
        <w:t>), rectal cancer (GSE40492 [n = 219]), colon cancer (GSE39582 [n = 585]), lung cancer (GSE3141 [n = 111], GSE8894 [n = 138]), and BRCA (GSE2990 [n = 122], GSE19615 [n = 115]).</w:t>
      </w:r>
    </w:p>
    <w:p w14:paraId="0F1BA6FA" w14:textId="77777777" w:rsidR="00B53071" w:rsidRPr="00104663" w:rsidRDefault="00B53071" w:rsidP="00B53071">
      <w:pPr>
        <w:adjustRightInd w:val="0"/>
        <w:snapToGrid w:val="0"/>
        <w:spacing w:line="360" w:lineRule="auto"/>
        <w:jc w:val="both"/>
        <w:rPr>
          <w:rFonts w:eastAsia="宋体"/>
          <w:b/>
          <w:bCs/>
          <w:i/>
        </w:rPr>
      </w:pPr>
      <w:r w:rsidRPr="00104663">
        <w:rPr>
          <w:rFonts w:eastAsia="宋体"/>
          <w:b/>
          <w:bCs/>
          <w:i/>
        </w:rPr>
        <w:t>Construction of a pan-cancer prognostic model related to neutrophil chemotaxis</w:t>
      </w:r>
    </w:p>
    <w:p w14:paraId="32E1754D" w14:textId="77777777" w:rsidR="00B53071" w:rsidRDefault="00B53071" w:rsidP="00B53071">
      <w:pPr>
        <w:adjustRightInd w:val="0"/>
        <w:snapToGrid w:val="0"/>
        <w:spacing w:line="360" w:lineRule="auto"/>
        <w:ind w:firstLineChars="200" w:firstLine="480"/>
        <w:jc w:val="both"/>
        <w:rPr>
          <w:rFonts w:eastAsia="宋体"/>
        </w:rPr>
      </w:pPr>
      <w:r>
        <w:rPr>
          <w:rFonts w:eastAsia="宋体"/>
        </w:rPr>
        <w:t>The aforementioned 155 genes were subjected to LASSO algorithm for gene selection, resulting in genes significantly associated with prognosis. LASSO regression was conducted using the R package “</w:t>
      </w:r>
      <w:proofErr w:type="spellStart"/>
      <w:r>
        <w:rPr>
          <w:rFonts w:eastAsia="宋体"/>
        </w:rPr>
        <w:t>glmnet</w:t>
      </w:r>
      <w:proofErr w:type="spellEnd"/>
      <w:r>
        <w:rPr>
          <w:rFonts w:eastAsia="宋体"/>
        </w:rPr>
        <w:t>” with the parameter set as “family = cox”</w:t>
      </w:r>
      <w:r>
        <w:rPr>
          <w:rFonts w:eastAsia="宋体"/>
          <w:noProof/>
          <w:vertAlign w:val="superscript"/>
        </w:rPr>
        <w:t>3</w:t>
      </w:r>
      <w:r>
        <w:rPr>
          <w:rFonts w:eastAsia="宋体"/>
        </w:rPr>
        <w:t>. This method simplifies the model and avoids overfitting during the training process. Optimal regularization parameters were selected for LASSO regression based on a standard error rule, resulting in the most economical model with non-zero coefficients for the selected genes. Subsequently, multivariable Cox regression analysis was conducted to examine the correlation between the expression levels of each gene and DSS, obtaining the corresponding regression coefficients (β) for these genes. Cox regression was implemented using the function “</w:t>
      </w:r>
      <w:proofErr w:type="spellStart"/>
      <w:r>
        <w:rPr>
          <w:rFonts w:eastAsia="宋体"/>
        </w:rPr>
        <w:t>coxph</w:t>
      </w:r>
      <w:proofErr w:type="spellEnd"/>
      <w:r>
        <w:rPr>
          <w:rFonts w:eastAsia="宋体"/>
        </w:rPr>
        <w:t xml:space="preserve">” from the R package “survival.” </w:t>
      </w:r>
      <w:proofErr w:type="spellStart"/>
      <w:r>
        <w:rPr>
          <w:rFonts w:eastAsia="宋体"/>
        </w:rPr>
        <w:t>ChemoScore</w:t>
      </w:r>
      <w:proofErr w:type="spellEnd"/>
      <w:r>
        <w:rPr>
          <w:rFonts w:eastAsia="宋体"/>
        </w:rPr>
        <w:t xml:space="preserve"> was calculated as the weighted sum of the normalized expression values of the neutrophil chemotaxis-related genes and their regression coefficients (β), reflecting the risk of DSS for each patient. Finally, the median </w:t>
      </w:r>
      <w:proofErr w:type="spellStart"/>
      <w:r>
        <w:rPr>
          <w:rFonts w:eastAsia="宋体"/>
        </w:rPr>
        <w:t>ChemoScore</w:t>
      </w:r>
      <w:proofErr w:type="spellEnd"/>
      <w:r>
        <w:rPr>
          <w:rFonts w:eastAsia="宋体"/>
        </w:rPr>
        <w:t xml:space="preserve"> served as a threshold for categorizing </w:t>
      </w:r>
      <w:proofErr w:type="spellStart"/>
      <w:r>
        <w:rPr>
          <w:rFonts w:eastAsia="宋体"/>
        </w:rPr>
        <w:t>tumour</w:t>
      </w:r>
      <w:proofErr w:type="spellEnd"/>
      <w:r>
        <w:rPr>
          <w:rFonts w:eastAsia="宋体"/>
        </w:rPr>
        <w:t xml:space="preserve"> samples into high-risk group (HRG) and low-risk group (LRG).</w:t>
      </w:r>
    </w:p>
    <w:p w14:paraId="0E5DD275" w14:textId="77777777" w:rsidR="00B53071" w:rsidRPr="00104663" w:rsidRDefault="00B53071" w:rsidP="00B53071">
      <w:pPr>
        <w:adjustRightInd w:val="0"/>
        <w:snapToGrid w:val="0"/>
        <w:spacing w:line="360" w:lineRule="auto"/>
        <w:rPr>
          <w:rFonts w:eastAsia="宋体"/>
          <w:b/>
          <w:bCs/>
          <w:i/>
        </w:rPr>
      </w:pPr>
      <w:r w:rsidRPr="00104663">
        <w:rPr>
          <w:rFonts w:eastAsia="宋体"/>
          <w:b/>
          <w:bCs/>
          <w:i/>
        </w:rPr>
        <w:t>Immune microenvironment, inflammation, and other cancer signature scores</w:t>
      </w:r>
    </w:p>
    <w:p w14:paraId="405F90EB" w14:textId="77777777" w:rsidR="00B53071" w:rsidRDefault="00B53071" w:rsidP="00B53071">
      <w:pPr>
        <w:adjustRightInd w:val="0"/>
        <w:snapToGrid w:val="0"/>
        <w:spacing w:line="360" w:lineRule="auto"/>
        <w:ind w:firstLineChars="200" w:firstLine="480"/>
        <w:rPr>
          <w:rFonts w:eastAsia="宋体"/>
        </w:rPr>
      </w:pPr>
      <w:r>
        <w:rPr>
          <w:rFonts w:eastAsia="宋体"/>
        </w:rPr>
        <w:t xml:space="preserve">The recognized signature gene sets for immune microenvironment, provided by </w:t>
      </w:r>
      <w:proofErr w:type="spellStart"/>
      <w:r>
        <w:rPr>
          <w:rFonts w:eastAsia="宋体"/>
        </w:rPr>
        <w:t>Bindea</w:t>
      </w:r>
      <w:proofErr w:type="spellEnd"/>
      <w:r>
        <w:rPr>
          <w:rFonts w:eastAsia="宋体"/>
        </w:rPr>
        <w:t xml:space="preserve"> </w:t>
      </w:r>
      <w:r>
        <w:rPr>
          <w:rFonts w:eastAsia="宋体"/>
          <w:i/>
          <w:iCs/>
        </w:rPr>
        <w:t>et al</w:t>
      </w:r>
      <w:r>
        <w:rPr>
          <w:rFonts w:eastAsia="宋体"/>
        </w:rPr>
        <w:t>.</w:t>
      </w:r>
      <w:r>
        <w:rPr>
          <w:rFonts w:eastAsia="宋体"/>
          <w:noProof/>
          <w:vertAlign w:val="superscript"/>
        </w:rPr>
        <w:t>4</w:t>
      </w:r>
      <w:r>
        <w:rPr>
          <w:rFonts w:eastAsia="宋体"/>
        </w:rPr>
        <w:t xml:space="preserve">, and signature gene sets for cell cycle and epithelial-mesenchymal </w:t>
      </w:r>
      <w:r>
        <w:rPr>
          <w:rFonts w:eastAsia="宋体"/>
        </w:rPr>
        <w:lastRenderedPageBreak/>
        <w:t>transition (EMT), provided by Zhang</w:t>
      </w:r>
      <w:r>
        <w:rPr>
          <w:rFonts w:eastAsia="宋体"/>
          <w:i/>
          <w:iCs/>
        </w:rPr>
        <w:t xml:space="preserve"> et al</w:t>
      </w:r>
      <w:r>
        <w:rPr>
          <w:rFonts w:eastAsia="宋体"/>
        </w:rPr>
        <w:t>.</w:t>
      </w:r>
      <w:r>
        <w:rPr>
          <w:rFonts w:eastAsia="宋体"/>
          <w:noProof/>
          <w:vertAlign w:val="superscript"/>
        </w:rPr>
        <w:t>5</w:t>
      </w:r>
      <w:r>
        <w:rPr>
          <w:rFonts w:eastAsia="宋体"/>
        </w:rPr>
        <w:t>,</w:t>
      </w:r>
      <w:bookmarkStart w:id="3" w:name="_Hlk145266349"/>
      <w:r>
        <w:rPr>
          <w:rFonts w:eastAsia="宋体"/>
        </w:rPr>
        <w:t xml:space="preserve"> </w:t>
      </w:r>
      <w:r>
        <w:rPr>
          <w:rFonts w:eastAsia="宋体" w:hint="eastAsia"/>
        </w:rPr>
        <w:t>other</w:t>
      </w:r>
      <w:r>
        <w:rPr>
          <w:rFonts w:eastAsia="宋体"/>
        </w:rPr>
        <w:t xml:space="preserve"> </w:t>
      </w:r>
      <w:r w:rsidRPr="002261CC">
        <w:rPr>
          <w:rFonts w:eastAsia="宋体"/>
        </w:rPr>
        <w:t>gene sets summarized in GSEA</w:t>
      </w:r>
      <w:r>
        <w:rPr>
          <w:rFonts w:eastAsia="宋体"/>
        </w:rPr>
        <w:t>,</w:t>
      </w:r>
      <w:bookmarkEnd w:id="3"/>
      <w:r>
        <w:rPr>
          <w:rFonts w:eastAsia="宋体"/>
        </w:rPr>
        <w:t xml:space="preserve"> were </w:t>
      </w:r>
      <w:proofErr w:type="spellStart"/>
      <w:r>
        <w:rPr>
          <w:rFonts w:eastAsia="宋体" w:hint="eastAsia"/>
        </w:rPr>
        <w:t>utilis</w:t>
      </w:r>
      <w:r>
        <w:rPr>
          <w:rFonts w:eastAsia="宋体"/>
        </w:rPr>
        <w:t>ed</w:t>
      </w:r>
      <w:proofErr w:type="spellEnd"/>
      <w:r>
        <w:rPr>
          <w:rFonts w:eastAsia="宋体"/>
        </w:rPr>
        <w:t xml:space="preserve"> to calculate the single-sample gene set enrichment analysis (</w:t>
      </w:r>
      <w:proofErr w:type="spellStart"/>
      <w:r>
        <w:rPr>
          <w:rFonts w:eastAsia="宋体"/>
        </w:rPr>
        <w:t>ssGSEA</w:t>
      </w:r>
      <w:proofErr w:type="spellEnd"/>
      <w:r>
        <w:rPr>
          <w:rFonts w:eastAsia="宋体"/>
        </w:rPr>
        <w:t>) scores. This analysis was performed using the R software package “GSVA”</w:t>
      </w:r>
      <w:r w:rsidRPr="000B38A4">
        <w:rPr>
          <w:rFonts w:eastAsia="宋体"/>
          <w:noProof/>
          <w:vertAlign w:val="superscript"/>
        </w:rPr>
        <w:t>4</w:t>
      </w:r>
      <w:r>
        <w:rPr>
          <w:rFonts w:eastAsia="宋体"/>
          <w:noProof/>
          <w:vertAlign w:val="superscript"/>
        </w:rPr>
        <w:t>7</w:t>
      </w:r>
      <w:r>
        <w:rPr>
          <w:rFonts w:eastAsia="宋体"/>
        </w:rPr>
        <w:t>.</w:t>
      </w:r>
    </w:p>
    <w:p w14:paraId="2D476CFA" w14:textId="77777777" w:rsidR="00B53071" w:rsidRPr="00104663" w:rsidRDefault="00B53071" w:rsidP="00B53071">
      <w:pPr>
        <w:adjustRightInd w:val="0"/>
        <w:snapToGrid w:val="0"/>
        <w:spacing w:line="360" w:lineRule="auto"/>
        <w:rPr>
          <w:rFonts w:eastAsia="宋体"/>
          <w:b/>
          <w:bCs/>
          <w:i/>
        </w:rPr>
      </w:pPr>
      <w:r w:rsidRPr="00104663">
        <w:rPr>
          <w:rFonts w:eastAsia="宋体"/>
          <w:b/>
          <w:bCs/>
          <w:i/>
        </w:rPr>
        <w:t>Validation using tissue microarray analysis</w:t>
      </w:r>
    </w:p>
    <w:p w14:paraId="282C71FD"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Clinical validation was performed using three types of </w:t>
      </w:r>
      <w:proofErr w:type="spellStart"/>
      <w:r>
        <w:rPr>
          <w:rFonts w:eastAsia="宋体"/>
        </w:rPr>
        <w:t>tumour</w:t>
      </w:r>
      <w:proofErr w:type="spellEnd"/>
      <w:r>
        <w:rPr>
          <w:rFonts w:eastAsia="宋体"/>
        </w:rPr>
        <w:t xml:space="preserve"> tissue microarrays, including 72 samples of lung adenocarcinoma (LUAD), 60 samples of colon adenocarcinoma (COAD), and 86 samples of stomach adenocarcinoma (STAD). All microarrays were obtained from Shanghai Outdo Biotech Co., LTD. (Shanghai, China). </w:t>
      </w:r>
      <w:r w:rsidRPr="00104663">
        <w:rPr>
          <w:rFonts w:eastAsia="宋体"/>
        </w:rPr>
        <w:t xml:space="preserve">Clinical information of all patients is provided in the Supplementary Table 5. IF staining </w:t>
      </w:r>
      <w:r>
        <w:rPr>
          <w:rFonts w:eastAsia="宋体"/>
        </w:rPr>
        <w:t xml:space="preserve">of tissues was performed using CD66b antibody (ab197678, Abcam, UK) and 4',6-diamidino-2-phenylindole (DAPI) mounting medium (p0131-25, </w:t>
      </w:r>
      <w:proofErr w:type="spellStart"/>
      <w:r>
        <w:rPr>
          <w:rFonts w:eastAsia="宋体"/>
        </w:rPr>
        <w:t>Beyotime</w:t>
      </w:r>
      <w:proofErr w:type="spellEnd"/>
      <w:r>
        <w:rPr>
          <w:rFonts w:eastAsia="宋体"/>
        </w:rPr>
        <w:t xml:space="preserve">, China) following the manufacturer's recommended protocol. CD66b, specific to neutrophil membranes, was used to evaluate neutrophil infiltration in </w:t>
      </w:r>
      <w:proofErr w:type="spellStart"/>
      <w:r>
        <w:rPr>
          <w:rFonts w:eastAsia="宋体"/>
        </w:rPr>
        <w:t>tumour</w:t>
      </w:r>
      <w:proofErr w:type="spellEnd"/>
      <w:r>
        <w:rPr>
          <w:rFonts w:eastAsia="宋体"/>
        </w:rPr>
        <w:t xml:space="preserve"> tissues by calculating the ratio of CD66b-positive (CD66b</w:t>
      </w:r>
      <w:r>
        <w:rPr>
          <w:rFonts w:eastAsia="宋体"/>
          <w:vertAlign w:val="superscript"/>
        </w:rPr>
        <w:t>+</w:t>
      </w:r>
      <w:r>
        <w:rPr>
          <w:rFonts w:eastAsia="宋体"/>
        </w:rPr>
        <w:t>) cells to the total number of cells (DAPI-stained cells).</w:t>
      </w:r>
    </w:p>
    <w:p w14:paraId="4C1DAF1B" w14:textId="77777777" w:rsidR="00B53071" w:rsidRPr="00104663" w:rsidRDefault="00B53071" w:rsidP="00B53071">
      <w:pPr>
        <w:adjustRightInd w:val="0"/>
        <w:snapToGrid w:val="0"/>
        <w:spacing w:line="360" w:lineRule="auto"/>
        <w:jc w:val="both"/>
        <w:rPr>
          <w:rFonts w:eastAsia="宋体"/>
          <w:i/>
        </w:rPr>
      </w:pPr>
      <w:r w:rsidRPr="00104663">
        <w:rPr>
          <w:rFonts w:eastAsia="宋体"/>
          <w:b/>
          <w:bCs/>
          <w:i/>
        </w:rPr>
        <w:t>Statistical analysis</w:t>
      </w:r>
    </w:p>
    <w:p w14:paraId="29D3817E"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The training and testing datasets were subjected to zero-mean normalization, resulting in data transformation with a mean value set to “0” and the standard deviation to “1”. Kaplan–Meier (KM) analysis was </w:t>
      </w:r>
      <w:proofErr w:type="spellStart"/>
      <w:r>
        <w:rPr>
          <w:rFonts w:eastAsia="宋体" w:hint="eastAsia"/>
        </w:rPr>
        <w:t>utilis</w:t>
      </w:r>
      <w:r>
        <w:rPr>
          <w:rFonts w:eastAsia="宋体"/>
        </w:rPr>
        <w:t>ed</w:t>
      </w:r>
      <w:proofErr w:type="spellEnd"/>
      <w:r>
        <w:rPr>
          <w:rFonts w:eastAsia="宋体"/>
        </w:rPr>
        <w:t xml:space="preserve"> to estimate the difference in survival rates between patients in the LRG and the HRG, and survival curves were plotted accordingly. The log-rank test was employed to compare the survival curves between these two groups. To evaluate the correlation between </w:t>
      </w:r>
      <w:proofErr w:type="spellStart"/>
      <w:r>
        <w:rPr>
          <w:rFonts w:eastAsia="宋体"/>
        </w:rPr>
        <w:t>ChemoScore</w:t>
      </w:r>
      <w:proofErr w:type="spellEnd"/>
      <w:r>
        <w:rPr>
          <w:rFonts w:eastAsia="宋体"/>
        </w:rPr>
        <w:t xml:space="preserve"> and patient survival rate, the hazard ratio (HR) and the corresponding 95% confidence interval (CI) were obtained through Cox proportional hazards regression. Furthermore, the predictive performance of </w:t>
      </w:r>
      <w:proofErr w:type="spellStart"/>
      <w:r>
        <w:rPr>
          <w:rFonts w:eastAsia="宋体"/>
        </w:rPr>
        <w:t>ChemoScore</w:t>
      </w:r>
      <w:proofErr w:type="spellEnd"/>
      <w:r>
        <w:rPr>
          <w:rFonts w:eastAsia="宋体"/>
        </w:rPr>
        <w:t xml:space="preserve"> for 3-, 5-, and 10-year survival rates was determined by calculating the area under the receiver operating characteristic (ROC) curve (AUC). The Kruskal–Wallis test was employed to examine categorical clinical features of </w:t>
      </w:r>
      <w:proofErr w:type="spellStart"/>
      <w:r>
        <w:rPr>
          <w:rFonts w:eastAsia="宋体"/>
        </w:rPr>
        <w:t>ChemoScore</w:t>
      </w:r>
      <w:proofErr w:type="spellEnd"/>
      <w:r>
        <w:rPr>
          <w:rFonts w:eastAsia="宋体"/>
        </w:rPr>
        <w:t xml:space="preserve"> across multiple groups. Conversely, the Wilcoxon test was employed to compare the </w:t>
      </w:r>
      <w:proofErr w:type="spellStart"/>
      <w:r>
        <w:rPr>
          <w:rFonts w:eastAsia="宋体"/>
        </w:rPr>
        <w:t>ChemoScore</w:t>
      </w:r>
      <w:proofErr w:type="spellEnd"/>
      <w:r>
        <w:rPr>
          <w:rFonts w:eastAsia="宋体"/>
        </w:rPr>
        <w:t xml:space="preserve"> between the two groups. The association of numerical clinical features or immune features with </w:t>
      </w:r>
      <w:proofErr w:type="spellStart"/>
      <w:r>
        <w:rPr>
          <w:rFonts w:eastAsia="宋体"/>
        </w:rPr>
        <w:t>ChemoScore</w:t>
      </w:r>
      <w:proofErr w:type="spellEnd"/>
      <w:r>
        <w:rPr>
          <w:rFonts w:eastAsia="宋体"/>
        </w:rPr>
        <w:t xml:space="preserve"> was assessed using the Spearman correlation test, with the results reported as correlation coefficients and </w:t>
      </w:r>
      <w:r>
        <w:rPr>
          <w:rFonts w:eastAsia="宋体"/>
          <w:i/>
          <w:iCs/>
        </w:rPr>
        <w:t>p</w:t>
      </w:r>
      <w:r>
        <w:rPr>
          <w:rFonts w:eastAsia="宋体"/>
        </w:rPr>
        <w:t xml:space="preserve">-values. A multivariable Cox regression analysis was initially conducted to construct and substantiate a prognostic nomogram illustrating the relationship </w:t>
      </w:r>
      <w:r>
        <w:rPr>
          <w:rFonts w:eastAsia="宋体"/>
        </w:rPr>
        <w:lastRenderedPageBreak/>
        <w:t xml:space="preserve">between predictor variables and outcomes. Multiple predictive indicators, including clinical factors, were then integrated to provide </w:t>
      </w:r>
      <w:proofErr w:type="spellStart"/>
      <w:r>
        <w:rPr>
          <w:rFonts w:eastAsia="宋体" w:hint="eastAsia"/>
        </w:rPr>
        <w:t>personalis</w:t>
      </w:r>
      <w:r>
        <w:rPr>
          <w:rFonts w:eastAsia="宋体"/>
        </w:rPr>
        <w:t>ed</w:t>
      </w:r>
      <w:proofErr w:type="spellEnd"/>
      <w:r>
        <w:rPr>
          <w:rFonts w:eastAsia="宋体"/>
        </w:rPr>
        <w:t xml:space="preserve"> survival predictions for each patient. The clinical benefit of incorporating clinical features into the </w:t>
      </w:r>
      <w:proofErr w:type="spellStart"/>
      <w:r>
        <w:rPr>
          <w:rFonts w:eastAsia="宋体"/>
        </w:rPr>
        <w:t>ChemoScore</w:t>
      </w:r>
      <w:proofErr w:type="spellEnd"/>
      <w:r>
        <w:rPr>
          <w:rFonts w:eastAsia="宋体"/>
        </w:rPr>
        <w:t xml:space="preserve"> model was assessed using decision curve analysis (DCA). Unless otherwise specified, all reported </w:t>
      </w:r>
      <w:r>
        <w:rPr>
          <w:rFonts w:eastAsia="宋体"/>
          <w:i/>
          <w:iCs/>
        </w:rPr>
        <w:t>p</w:t>
      </w:r>
      <w:r>
        <w:rPr>
          <w:rFonts w:eastAsia="宋体"/>
        </w:rPr>
        <w:t>-values were two-sided, and a significance level of 0.05 was applied for all analyses. Statistical analysis and graphical representations were performed using the R/Bioconductor programming environment (R version 4.2).</w:t>
      </w:r>
    </w:p>
    <w:p w14:paraId="321B7AB8" w14:textId="77777777" w:rsidR="00B53071" w:rsidRDefault="00B53071" w:rsidP="00B53071">
      <w:pPr>
        <w:adjustRightInd w:val="0"/>
        <w:snapToGrid w:val="0"/>
        <w:spacing w:line="360" w:lineRule="auto"/>
        <w:ind w:firstLineChars="200" w:firstLine="480"/>
        <w:jc w:val="both"/>
        <w:rPr>
          <w:rFonts w:eastAsia="宋体"/>
        </w:rPr>
      </w:pPr>
      <w:r>
        <w:rPr>
          <w:rFonts w:eastAsia="宋体"/>
        </w:rPr>
        <w:t xml:space="preserve">In the analysis of clinical data from blood routine and PB neutrophil chemotaxis tests, differences between the two groups were compared using Student's </w:t>
      </w:r>
      <w:r>
        <w:rPr>
          <w:rFonts w:eastAsia="宋体"/>
          <w:i/>
          <w:iCs/>
        </w:rPr>
        <w:t>t</w:t>
      </w:r>
      <w:r>
        <w:rPr>
          <w:rFonts w:eastAsia="宋体"/>
        </w:rPr>
        <w:t xml:space="preserve">-test and Mann–Whitney U test. IF images of tissue microarrays were examined using the APTIME software developed by 3D Medicines. The proportions of three </w:t>
      </w:r>
      <w:proofErr w:type="spellStart"/>
      <w:r>
        <w:rPr>
          <w:rFonts w:eastAsia="宋体"/>
        </w:rPr>
        <w:t>tumour</w:t>
      </w:r>
      <w:proofErr w:type="spellEnd"/>
      <w:r>
        <w:rPr>
          <w:rFonts w:eastAsia="宋体"/>
        </w:rPr>
        <w:t>-infiltrating CD66b</w:t>
      </w:r>
      <w:r>
        <w:rPr>
          <w:rFonts w:eastAsia="宋体"/>
          <w:vertAlign w:val="superscript"/>
        </w:rPr>
        <w:t>+</w:t>
      </w:r>
      <w:r>
        <w:rPr>
          <w:rFonts w:eastAsia="宋体"/>
        </w:rPr>
        <w:t xml:space="preserve"> cells were compared using one-way analysis of variance (ANOVA) with median-based grouping. KM analysis was used to evaluate the probability of survival outcomes for high CD66b expression (CD66b</w:t>
      </w:r>
      <w:r>
        <w:rPr>
          <w:rFonts w:eastAsia="宋体"/>
          <w:vertAlign w:val="subscript"/>
        </w:rPr>
        <w:t>high</w:t>
      </w:r>
      <w:r>
        <w:rPr>
          <w:rFonts w:eastAsia="宋体"/>
        </w:rPr>
        <w:t>) and low CD66b expression (CD66b</w:t>
      </w:r>
      <w:r>
        <w:rPr>
          <w:rFonts w:eastAsia="宋体"/>
          <w:vertAlign w:val="subscript"/>
        </w:rPr>
        <w:t>low</w:t>
      </w:r>
      <w:r>
        <w:rPr>
          <w:rFonts w:eastAsia="宋体"/>
        </w:rPr>
        <w:t xml:space="preserve">), with significance between groups determined using the log-rank test. Multivariable Cox regression was used to </w:t>
      </w:r>
      <w:proofErr w:type="spellStart"/>
      <w:r>
        <w:rPr>
          <w:rFonts w:eastAsia="宋体"/>
        </w:rPr>
        <w:t>analyse</w:t>
      </w:r>
      <w:proofErr w:type="spellEnd"/>
      <w:r>
        <w:rPr>
          <w:rFonts w:eastAsia="宋体"/>
        </w:rPr>
        <w:t xml:space="preserve"> the significance of neutrophil infiltration in predicting patient mortality. All statistical analyses and figures were generated using GraphPad Prism software (version 9.4).</w:t>
      </w:r>
    </w:p>
    <w:p w14:paraId="633FA44E" w14:textId="2C38F226" w:rsidR="00B53071" w:rsidRDefault="00B53071" w:rsidP="00B53071">
      <w:pPr>
        <w:adjustRightInd w:val="0"/>
        <w:snapToGrid w:val="0"/>
        <w:spacing w:line="360" w:lineRule="auto"/>
        <w:ind w:firstLineChars="200" w:firstLine="480"/>
        <w:rPr>
          <w:rFonts w:eastAsia="宋体"/>
        </w:rPr>
      </w:pPr>
    </w:p>
    <w:p w14:paraId="1FAE6FF4" w14:textId="0209AD73" w:rsidR="00B53071" w:rsidRDefault="00B53071" w:rsidP="00B53071">
      <w:pPr>
        <w:adjustRightInd w:val="0"/>
        <w:snapToGrid w:val="0"/>
        <w:spacing w:line="360" w:lineRule="auto"/>
        <w:ind w:firstLineChars="200" w:firstLine="480"/>
        <w:rPr>
          <w:rFonts w:eastAsia="宋体"/>
        </w:rPr>
      </w:pPr>
    </w:p>
    <w:p w14:paraId="484FC508" w14:textId="37469CD9" w:rsidR="00B53071" w:rsidRDefault="00B53071" w:rsidP="00B53071">
      <w:pPr>
        <w:adjustRightInd w:val="0"/>
        <w:snapToGrid w:val="0"/>
        <w:spacing w:line="360" w:lineRule="auto"/>
        <w:ind w:firstLineChars="200" w:firstLine="480"/>
        <w:rPr>
          <w:rFonts w:eastAsia="宋体"/>
        </w:rPr>
      </w:pPr>
    </w:p>
    <w:p w14:paraId="2AFC129D" w14:textId="2362EC73" w:rsidR="00B53071" w:rsidRDefault="00B53071" w:rsidP="00B53071">
      <w:pPr>
        <w:adjustRightInd w:val="0"/>
        <w:snapToGrid w:val="0"/>
        <w:spacing w:line="360" w:lineRule="auto"/>
        <w:ind w:firstLineChars="200" w:firstLine="480"/>
        <w:rPr>
          <w:rFonts w:eastAsia="宋体"/>
        </w:rPr>
      </w:pPr>
    </w:p>
    <w:p w14:paraId="2515C255" w14:textId="4ECD0674" w:rsidR="00B53071" w:rsidRDefault="00B53071" w:rsidP="00B53071">
      <w:pPr>
        <w:adjustRightInd w:val="0"/>
        <w:snapToGrid w:val="0"/>
        <w:spacing w:line="360" w:lineRule="auto"/>
        <w:ind w:firstLineChars="200" w:firstLine="480"/>
        <w:rPr>
          <w:rFonts w:eastAsia="宋体"/>
        </w:rPr>
      </w:pPr>
    </w:p>
    <w:p w14:paraId="2A7D663C" w14:textId="27C7DA53" w:rsidR="00B53071" w:rsidRDefault="00B53071" w:rsidP="00B53071">
      <w:pPr>
        <w:adjustRightInd w:val="0"/>
        <w:snapToGrid w:val="0"/>
        <w:spacing w:line="360" w:lineRule="auto"/>
        <w:ind w:firstLineChars="200" w:firstLine="480"/>
        <w:rPr>
          <w:rFonts w:eastAsia="宋体"/>
        </w:rPr>
      </w:pPr>
    </w:p>
    <w:p w14:paraId="390F636A" w14:textId="1E65BB5E" w:rsidR="00B53071" w:rsidRDefault="00B53071" w:rsidP="00B53071">
      <w:pPr>
        <w:adjustRightInd w:val="0"/>
        <w:snapToGrid w:val="0"/>
        <w:spacing w:line="360" w:lineRule="auto"/>
        <w:ind w:firstLineChars="200" w:firstLine="480"/>
        <w:rPr>
          <w:rFonts w:eastAsia="宋体"/>
        </w:rPr>
      </w:pPr>
    </w:p>
    <w:p w14:paraId="3FD1C12B" w14:textId="6CEC550D" w:rsidR="00B53071" w:rsidRDefault="00B53071" w:rsidP="00B53071">
      <w:pPr>
        <w:adjustRightInd w:val="0"/>
        <w:snapToGrid w:val="0"/>
        <w:spacing w:line="360" w:lineRule="auto"/>
        <w:ind w:firstLineChars="200" w:firstLine="480"/>
        <w:rPr>
          <w:rFonts w:eastAsia="宋体"/>
        </w:rPr>
      </w:pPr>
    </w:p>
    <w:p w14:paraId="4187CA09" w14:textId="115E8DEB" w:rsidR="00B53071" w:rsidRDefault="00B53071" w:rsidP="00B53071">
      <w:pPr>
        <w:adjustRightInd w:val="0"/>
        <w:snapToGrid w:val="0"/>
        <w:spacing w:line="360" w:lineRule="auto"/>
        <w:ind w:firstLineChars="200" w:firstLine="480"/>
        <w:rPr>
          <w:rFonts w:eastAsia="宋体"/>
        </w:rPr>
      </w:pPr>
    </w:p>
    <w:p w14:paraId="73773142" w14:textId="3EA9965B" w:rsidR="00B53071" w:rsidRDefault="00B53071" w:rsidP="00B53071">
      <w:pPr>
        <w:adjustRightInd w:val="0"/>
        <w:snapToGrid w:val="0"/>
        <w:spacing w:line="360" w:lineRule="auto"/>
        <w:ind w:firstLineChars="200" w:firstLine="480"/>
        <w:rPr>
          <w:rFonts w:eastAsia="宋体"/>
        </w:rPr>
      </w:pPr>
    </w:p>
    <w:p w14:paraId="0AF9F1C3" w14:textId="31BC6B01" w:rsidR="00B53071" w:rsidRDefault="00B53071" w:rsidP="00B53071">
      <w:pPr>
        <w:adjustRightInd w:val="0"/>
        <w:snapToGrid w:val="0"/>
        <w:spacing w:line="360" w:lineRule="auto"/>
        <w:ind w:firstLineChars="200" w:firstLine="480"/>
        <w:rPr>
          <w:rFonts w:eastAsia="宋体"/>
        </w:rPr>
      </w:pPr>
    </w:p>
    <w:p w14:paraId="2461E2CD" w14:textId="5A46995B" w:rsidR="00B53071" w:rsidRDefault="00B53071" w:rsidP="00B53071">
      <w:pPr>
        <w:adjustRightInd w:val="0"/>
        <w:snapToGrid w:val="0"/>
        <w:spacing w:line="360" w:lineRule="auto"/>
        <w:ind w:firstLineChars="200" w:firstLine="480"/>
        <w:rPr>
          <w:rFonts w:eastAsia="宋体"/>
        </w:rPr>
      </w:pPr>
    </w:p>
    <w:p w14:paraId="61760B74" w14:textId="08A2415A" w:rsidR="00B53071" w:rsidRDefault="00B53071" w:rsidP="00B53071">
      <w:pPr>
        <w:adjustRightInd w:val="0"/>
        <w:snapToGrid w:val="0"/>
        <w:spacing w:line="360" w:lineRule="auto"/>
        <w:ind w:firstLineChars="200" w:firstLine="480"/>
        <w:rPr>
          <w:rFonts w:eastAsia="宋体"/>
        </w:rPr>
      </w:pPr>
    </w:p>
    <w:p w14:paraId="0AC8F4FC" w14:textId="738F6B96" w:rsidR="00B53071" w:rsidRDefault="00B53071" w:rsidP="00B53071">
      <w:pPr>
        <w:spacing w:line="360" w:lineRule="exact"/>
        <w:rPr>
          <w:b/>
          <w:bCs/>
          <w:sz w:val="28"/>
          <w:szCs w:val="28"/>
        </w:rPr>
      </w:pPr>
      <w:proofErr w:type="gramStart"/>
      <w:r w:rsidRPr="00B53071">
        <w:rPr>
          <w:b/>
          <w:bCs/>
          <w:sz w:val="28"/>
          <w:szCs w:val="28"/>
        </w:rPr>
        <w:lastRenderedPageBreak/>
        <w:t>SI  Figures</w:t>
      </w:r>
      <w:proofErr w:type="gramEnd"/>
      <w:r w:rsidRPr="00B53071">
        <w:rPr>
          <w:b/>
          <w:bCs/>
          <w:sz w:val="28"/>
          <w:szCs w:val="28"/>
        </w:rPr>
        <w:t xml:space="preserve"> S1 to S10</w:t>
      </w:r>
    </w:p>
    <w:p w14:paraId="601F4AA2" w14:textId="77777777" w:rsidR="00B53071" w:rsidRPr="00B53071" w:rsidRDefault="00B53071" w:rsidP="00B53071">
      <w:pPr>
        <w:spacing w:line="360" w:lineRule="exact"/>
        <w:rPr>
          <w:b/>
          <w:bCs/>
          <w:sz w:val="28"/>
          <w:szCs w:val="28"/>
        </w:rPr>
      </w:pPr>
    </w:p>
    <w:p w14:paraId="38A41BBD" w14:textId="77777777" w:rsidR="00B53071" w:rsidRPr="0038543D" w:rsidRDefault="00B53071" w:rsidP="00B53071">
      <w:pPr>
        <w:adjustRightInd w:val="0"/>
        <w:snapToGrid w:val="0"/>
        <w:spacing w:line="360" w:lineRule="auto"/>
        <w:ind w:firstLineChars="200" w:firstLine="480"/>
        <w:rPr>
          <w:rFonts w:eastAsia="宋体"/>
        </w:rPr>
      </w:pPr>
    </w:p>
    <w:p w14:paraId="52F50DD4" w14:textId="77777777" w:rsidR="00B53071" w:rsidRDefault="00B53071" w:rsidP="00B53071">
      <w:pPr>
        <w:rPr>
          <w:b/>
          <w:color w:val="000000" w:themeColor="text1"/>
        </w:rPr>
      </w:pPr>
      <w:r>
        <w:rPr>
          <w:noProof/>
        </w:rPr>
        <w:drawing>
          <wp:inline distT="0" distB="0" distL="0" distR="0" wp14:anchorId="4E847374" wp14:editId="4A4E1676">
            <wp:extent cx="5270500" cy="3665220"/>
            <wp:effectExtent l="0" t="0" r="0" b="0"/>
            <wp:docPr id="1078051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0500" cy="3665220"/>
                    </a:xfrm>
                    <a:prstGeom prst="rect">
                      <a:avLst/>
                    </a:prstGeom>
                    <a:noFill/>
                    <a:ln>
                      <a:noFill/>
                    </a:ln>
                  </pic:spPr>
                </pic:pic>
              </a:graphicData>
            </a:graphic>
          </wp:inline>
        </w:drawing>
      </w:r>
    </w:p>
    <w:p w14:paraId="1E205FA6" w14:textId="77777777" w:rsidR="00B53071" w:rsidRDefault="00B53071" w:rsidP="00B53071">
      <w:pPr>
        <w:adjustRightInd w:val="0"/>
        <w:snapToGrid w:val="0"/>
        <w:spacing w:line="360" w:lineRule="auto"/>
        <w:rPr>
          <w:rFonts w:eastAsia="宋体"/>
          <w:b/>
          <w:bCs/>
        </w:rPr>
      </w:pPr>
      <w:r>
        <w:rPr>
          <w:rFonts w:eastAsia="宋体"/>
          <w:b/>
          <w:bCs/>
        </w:rPr>
        <w:t>Figure S1.</w:t>
      </w:r>
      <w:r w:rsidRPr="007E424E">
        <w:rPr>
          <w:rFonts w:eastAsia="宋体"/>
          <w:bCs/>
        </w:rPr>
        <w:t xml:space="preserve"> Distribution of CFS percentage in various </w:t>
      </w:r>
      <w:proofErr w:type="spellStart"/>
      <w:r w:rsidRPr="007E424E">
        <w:rPr>
          <w:rFonts w:eastAsia="宋体" w:hint="eastAsia"/>
          <w:bCs/>
        </w:rPr>
        <w:t>tumour</w:t>
      </w:r>
      <w:proofErr w:type="spellEnd"/>
      <w:r w:rsidRPr="007E424E">
        <w:rPr>
          <w:rFonts w:eastAsia="宋体"/>
          <w:bCs/>
        </w:rPr>
        <w:t xml:space="preserve"> types.</w:t>
      </w:r>
    </w:p>
    <w:p w14:paraId="5B0230C7" w14:textId="77777777" w:rsidR="00B53071" w:rsidRDefault="00B53071" w:rsidP="00B53071">
      <w:pPr>
        <w:pStyle w:val="aa"/>
      </w:pPr>
    </w:p>
    <w:p w14:paraId="7E163B73" w14:textId="77777777" w:rsidR="00B53071" w:rsidRDefault="00B53071" w:rsidP="00B53071">
      <w:pPr>
        <w:pStyle w:val="aa"/>
      </w:pPr>
    </w:p>
    <w:p w14:paraId="35F39FF7" w14:textId="7FB58A98" w:rsidR="00B53071" w:rsidRDefault="00B53071" w:rsidP="00B53071">
      <w:pPr>
        <w:pStyle w:val="aa"/>
      </w:pPr>
    </w:p>
    <w:p w14:paraId="7292D783" w14:textId="0662A4D2" w:rsidR="00B53071" w:rsidRDefault="00B53071" w:rsidP="00B53071">
      <w:pPr>
        <w:pStyle w:val="aa"/>
      </w:pPr>
    </w:p>
    <w:p w14:paraId="1159B2E1" w14:textId="39302A1F" w:rsidR="00B53071" w:rsidRDefault="00B53071" w:rsidP="00B53071">
      <w:pPr>
        <w:pStyle w:val="aa"/>
      </w:pPr>
    </w:p>
    <w:p w14:paraId="07CCAC93" w14:textId="5205378D" w:rsidR="00B53071" w:rsidRDefault="00B53071" w:rsidP="00B53071">
      <w:pPr>
        <w:pStyle w:val="aa"/>
      </w:pPr>
    </w:p>
    <w:p w14:paraId="2D31063F" w14:textId="4CC9798D" w:rsidR="00B53071" w:rsidRDefault="00B53071" w:rsidP="00B53071">
      <w:pPr>
        <w:pStyle w:val="aa"/>
      </w:pPr>
    </w:p>
    <w:p w14:paraId="6848E7D1" w14:textId="4FF235B6" w:rsidR="00B53071" w:rsidRDefault="00B53071" w:rsidP="00B53071">
      <w:pPr>
        <w:pStyle w:val="aa"/>
      </w:pPr>
    </w:p>
    <w:p w14:paraId="1A035977" w14:textId="0D8BF59D" w:rsidR="00B53071" w:rsidRDefault="00B53071" w:rsidP="00B53071">
      <w:pPr>
        <w:pStyle w:val="aa"/>
      </w:pPr>
    </w:p>
    <w:p w14:paraId="4D5A312C" w14:textId="181D341D" w:rsidR="00B53071" w:rsidRDefault="00B53071" w:rsidP="00B53071">
      <w:pPr>
        <w:pStyle w:val="aa"/>
      </w:pPr>
    </w:p>
    <w:p w14:paraId="3364E8D2" w14:textId="4144812D" w:rsidR="00B53071" w:rsidRDefault="00B53071" w:rsidP="00B53071">
      <w:pPr>
        <w:pStyle w:val="aa"/>
      </w:pPr>
    </w:p>
    <w:p w14:paraId="7C1C80B9" w14:textId="6C833031" w:rsidR="00B53071" w:rsidRDefault="00B53071" w:rsidP="00B53071">
      <w:pPr>
        <w:pStyle w:val="aa"/>
      </w:pPr>
    </w:p>
    <w:p w14:paraId="7FDCB2B8" w14:textId="50C144D7" w:rsidR="00B53071" w:rsidRDefault="00B53071" w:rsidP="00B53071">
      <w:pPr>
        <w:pStyle w:val="aa"/>
      </w:pPr>
    </w:p>
    <w:p w14:paraId="217AB9A9" w14:textId="77777777" w:rsidR="00B53071" w:rsidRDefault="00B53071" w:rsidP="00B53071">
      <w:pPr>
        <w:pStyle w:val="aa"/>
      </w:pPr>
    </w:p>
    <w:p w14:paraId="5E4CA3DD" w14:textId="77777777" w:rsidR="00B53071" w:rsidRDefault="00B53071" w:rsidP="00B53071">
      <w:pPr>
        <w:pStyle w:val="aa"/>
      </w:pPr>
    </w:p>
    <w:p w14:paraId="3D374D05" w14:textId="77777777" w:rsidR="00B53071" w:rsidRDefault="00B53071" w:rsidP="00B53071">
      <w:pPr>
        <w:pStyle w:val="aa"/>
      </w:pPr>
      <w:r>
        <w:rPr>
          <w:noProof/>
        </w:rPr>
        <w:drawing>
          <wp:inline distT="0" distB="0" distL="0" distR="0" wp14:anchorId="30C0873B" wp14:editId="6510BE85">
            <wp:extent cx="5270500" cy="2526665"/>
            <wp:effectExtent l="0" t="0" r="0" b="0"/>
            <wp:docPr id="17891546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2526665"/>
                    </a:xfrm>
                    <a:prstGeom prst="rect">
                      <a:avLst/>
                    </a:prstGeom>
                    <a:noFill/>
                    <a:ln>
                      <a:noFill/>
                    </a:ln>
                  </pic:spPr>
                </pic:pic>
              </a:graphicData>
            </a:graphic>
          </wp:inline>
        </w:drawing>
      </w:r>
    </w:p>
    <w:p w14:paraId="0D929CB3" w14:textId="77777777" w:rsidR="00B53071" w:rsidRPr="0096772C" w:rsidRDefault="00B53071" w:rsidP="00B53071">
      <w:pPr>
        <w:adjustRightInd w:val="0"/>
        <w:snapToGrid w:val="0"/>
        <w:spacing w:line="360" w:lineRule="auto"/>
        <w:rPr>
          <w:rFonts w:eastAsia="宋体"/>
          <w:bCs/>
        </w:rPr>
      </w:pPr>
      <w:r>
        <w:rPr>
          <w:rFonts w:eastAsia="宋体"/>
          <w:b/>
          <w:bCs/>
        </w:rPr>
        <w:t xml:space="preserve">Figure S2. </w:t>
      </w:r>
      <w:r w:rsidRPr="007E424E">
        <w:rPr>
          <w:rFonts w:eastAsia="宋体"/>
          <w:bCs/>
        </w:rPr>
        <w:t xml:space="preserve">Flowchart depicting the construction and validation process of the </w:t>
      </w:r>
      <w:proofErr w:type="spellStart"/>
      <w:r w:rsidRPr="007E424E">
        <w:rPr>
          <w:rFonts w:eastAsia="宋体"/>
          <w:bCs/>
        </w:rPr>
        <w:t>ChemoScore</w:t>
      </w:r>
      <w:proofErr w:type="spellEnd"/>
      <w:r w:rsidRPr="007E424E">
        <w:rPr>
          <w:rFonts w:eastAsia="宋体"/>
          <w:bCs/>
        </w:rPr>
        <w:t xml:space="preserve"> model.</w:t>
      </w:r>
    </w:p>
    <w:p w14:paraId="4C92375F" w14:textId="77777777" w:rsidR="00B53071" w:rsidRPr="00954BBC" w:rsidRDefault="00B53071" w:rsidP="00B53071">
      <w:pPr>
        <w:pStyle w:val="aa"/>
      </w:pPr>
      <w:r>
        <w:rPr>
          <w:noProof/>
        </w:rPr>
        <w:lastRenderedPageBreak/>
        <w:drawing>
          <wp:inline distT="0" distB="0" distL="0" distR="0" wp14:anchorId="4E69D739" wp14:editId="06EE7094">
            <wp:extent cx="5372100" cy="6890385"/>
            <wp:effectExtent l="0" t="0" r="0" b="5715"/>
            <wp:docPr id="6120306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0552" cy="6901226"/>
                    </a:xfrm>
                    <a:prstGeom prst="rect">
                      <a:avLst/>
                    </a:prstGeom>
                    <a:noFill/>
                    <a:ln>
                      <a:noFill/>
                    </a:ln>
                  </pic:spPr>
                </pic:pic>
              </a:graphicData>
            </a:graphic>
          </wp:inline>
        </w:drawing>
      </w:r>
    </w:p>
    <w:p w14:paraId="20632822" w14:textId="77777777" w:rsidR="00B53071" w:rsidRPr="003870BC" w:rsidRDefault="00B53071" w:rsidP="00B53071">
      <w:pPr>
        <w:adjustRightInd w:val="0"/>
        <w:snapToGrid w:val="0"/>
        <w:spacing w:line="360" w:lineRule="auto"/>
        <w:rPr>
          <w:rFonts w:eastAsia="宋体"/>
        </w:rPr>
      </w:pPr>
      <w:r>
        <w:rPr>
          <w:rFonts w:eastAsia="宋体"/>
          <w:b/>
          <w:bCs/>
        </w:rPr>
        <w:t>Figure S3.</w:t>
      </w:r>
      <w:r>
        <w:rPr>
          <w:b/>
          <w:bCs/>
        </w:rPr>
        <w:t xml:space="preserve"> </w:t>
      </w:r>
      <w:r w:rsidRPr="00574308">
        <w:rPr>
          <w:rFonts w:eastAsia="宋体"/>
          <w:b/>
          <w:bCs/>
        </w:rPr>
        <w:t xml:space="preserve">Strong predictive capabilities of </w:t>
      </w:r>
      <w:proofErr w:type="spellStart"/>
      <w:r w:rsidRPr="00574308">
        <w:rPr>
          <w:rFonts w:eastAsia="宋体"/>
          <w:b/>
          <w:bCs/>
        </w:rPr>
        <w:t>ChemoScore</w:t>
      </w:r>
      <w:proofErr w:type="spellEnd"/>
      <w:r w:rsidRPr="00574308">
        <w:rPr>
          <w:rFonts w:eastAsia="宋体"/>
          <w:b/>
          <w:bCs/>
        </w:rPr>
        <w:t xml:space="preserve"> exhibited in various </w:t>
      </w:r>
      <w:proofErr w:type="spellStart"/>
      <w:r w:rsidRPr="00574308">
        <w:rPr>
          <w:rFonts w:eastAsia="宋体"/>
          <w:b/>
          <w:bCs/>
        </w:rPr>
        <w:t>tumours</w:t>
      </w:r>
      <w:proofErr w:type="spellEnd"/>
      <w:r w:rsidRPr="00574308">
        <w:rPr>
          <w:rFonts w:eastAsia="宋体"/>
          <w:b/>
          <w:bCs/>
        </w:rPr>
        <w:t xml:space="preserve"> in TGGA test set</w:t>
      </w:r>
      <w:r>
        <w:rPr>
          <w:rFonts w:eastAsia="宋体"/>
          <w:b/>
          <w:bCs/>
        </w:rPr>
        <w:t xml:space="preserve">. </w:t>
      </w:r>
      <w:r w:rsidRPr="00C506BD">
        <w:rPr>
          <w:rFonts w:eastAsia="宋体"/>
        </w:rPr>
        <w:t>(</w:t>
      </w:r>
      <w:r w:rsidRPr="007E424E">
        <w:rPr>
          <w:rFonts w:eastAsia="宋体"/>
          <w:bCs/>
        </w:rPr>
        <w:t>A-</w:t>
      </w:r>
      <w:r>
        <w:rPr>
          <w:rFonts w:eastAsia="宋体"/>
          <w:bCs/>
        </w:rPr>
        <w:t>H)</w:t>
      </w:r>
      <w:r w:rsidRPr="007E424E">
        <w:rPr>
          <w:rFonts w:eastAsia="宋体"/>
          <w:bCs/>
        </w:rPr>
        <w:t xml:space="preserve"> </w:t>
      </w:r>
      <w:r w:rsidRPr="007E424E">
        <w:rPr>
          <w:rFonts w:eastAsia="宋体"/>
        </w:rPr>
        <w:t xml:space="preserve">KM survival curves for COAD, LUAD, LGG, KIRC, </w:t>
      </w:r>
      <w:r w:rsidRPr="007E424E">
        <w:rPr>
          <w:rFonts w:eastAsia="宋体" w:hint="eastAsia"/>
        </w:rPr>
        <w:t xml:space="preserve">and </w:t>
      </w:r>
      <w:r w:rsidRPr="007E424E">
        <w:rPr>
          <w:rFonts w:eastAsia="宋体"/>
        </w:rPr>
        <w:t xml:space="preserve">KIRP classified based on </w:t>
      </w:r>
      <w:proofErr w:type="spellStart"/>
      <w:r w:rsidRPr="007E424E">
        <w:rPr>
          <w:rFonts w:eastAsia="宋体"/>
        </w:rPr>
        <w:t>ChemoScore</w:t>
      </w:r>
      <w:proofErr w:type="spellEnd"/>
      <w:r w:rsidRPr="007E424E">
        <w:rPr>
          <w:rFonts w:eastAsia="宋体"/>
        </w:rPr>
        <w:t xml:space="preserve">. </w:t>
      </w:r>
      <w:r>
        <w:rPr>
          <w:rFonts w:eastAsia="宋体"/>
        </w:rPr>
        <w:t>(</w:t>
      </w:r>
      <w:r>
        <w:rPr>
          <w:rFonts w:eastAsia="宋体"/>
          <w:bCs/>
        </w:rPr>
        <w:t>I</w:t>
      </w:r>
      <w:r w:rsidRPr="007E424E">
        <w:rPr>
          <w:rFonts w:eastAsia="宋体"/>
          <w:bCs/>
        </w:rPr>
        <w:t>-</w:t>
      </w:r>
      <w:r>
        <w:rPr>
          <w:rFonts w:eastAsia="宋体"/>
          <w:bCs/>
        </w:rPr>
        <w:t>T)</w:t>
      </w:r>
      <w:r w:rsidRPr="007E424E">
        <w:rPr>
          <w:rFonts w:eastAsia="宋体"/>
        </w:rPr>
        <w:t xml:space="preserve"> Time-dependent ROC curves for ACC, LGG, KICH, KIRP, MESO, PAAD, PCPG, SKCM, THCA,</w:t>
      </w:r>
      <w:r w:rsidRPr="007E424E">
        <w:rPr>
          <w:rFonts w:eastAsia="宋体" w:hint="eastAsia"/>
        </w:rPr>
        <w:t xml:space="preserve"> and</w:t>
      </w:r>
      <w:r w:rsidRPr="007E424E">
        <w:rPr>
          <w:rFonts w:eastAsia="宋体"/>
        </w:rPr>
        <w:t xml:space="preserve"> UCS classified based on </w:t>
      </w:r>
      <w:proofErr w:type="spellStart"/>
      <w:r w:rsidRPr="007E424E">
        <w:rPr>
          <w:rFonts w:eastAsia="宋体"/>
        </w:rPr>
        <w:t>ChemoScore</w:t>
      </w:r>
      <w:proofErr w:type="spellEnd"/>
      <w:r w:rsidRPr="007E424E">
        <w:rPr>
          <w:rFonts w:eastAsia="宋体"/>
        </w:rPr>
        <w:t>.</w:t>
      </w:r>
    </w:p>
    <w:p w14:paraId="1707540E" w14:textId="77777777" w:rsidR="00B53071" w:rsidRDefault="00B53071" w:rsidP="00B53071">
      <w:pPr>
        <w:adjustRightInd w:val="0"/>
        <w:snapToGrid w:val="0"/>
        <w:spacing w:line="360" w:lineRule="auto"/>
        <w:jc w:val="center"/>
        <w:rPr>
          <w:rFonts w:eastAsia="宋体"/>
          <w:b/>
          <w:bCs/>
        </w:rPr>
      </w:pPr>
      <w:r>
        <w:rPr>
          <w:noProof/>
        </w:rPr>
        <w:lastRenderedPageBreak/>
        <w:drawing>
          <wp:inline distT="0" distB="0" distL="0" distR="0" wp14:anchorId="3B3AFF0D" wp14:editId="214549B7">
            <wp:extent cx="4647998" cy="7452360"/>
            <wp:effectExtent l="0" t="0" r="635" b="0"/>
            <wp:docPr id="19611501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6417" cy="7481892"/>
                    </a:xfrm>
                    <a:prstGeom prst="rect">
                      <a:avLst/>
                    </a:prstGeom>
                    <a:noFill/>
                    <a:ln>
                      <a:noFill/>
                    </a:ln>
                  </pic:spPr>
                </pic:pic>
              </a:graphicData>
            </a:graphic>
          </wp:inline>
        </w:drawing>
      </w:r>
    </w:p>
    <w:p w14:paraId="0F305D4E" w14:textId="77777777" w:rsidR="00B53071" w:rsidRPr="003870BC" w:rsidRDefault="00B53071" w:rsidP="00B53071">
      <w:pPr>
        <w:adjustRightInd w:val="0"/>
        <w:snapToGrid w:val="0"/>
        <w:spacing w:line="360" w:lineRule="auto"/>
        <w:rPr>
          <w:rFonts w:eastAsia="宋体"/>
          <w:bCs/>
        </w:rPr>
      </w:pPr>
      <w:r>
        <w:rPr>
          <w:rFonts w:eastAsia="宋体"/>
          <w:b/>
          <w:bCs/>
        </w:rPr>
        <w:t xml:space="preserve">Figure S4. </w:t>
      </w:r>
      <w:r w:rsidRPr="007E424E">
        <w:rPr>
          <w:rFonts w:eastAsia="宋体"/>
          <w:bCs/>
        </w:rPr>
        <w:t>KM survival curves</w:t>
      </w:r>
      <w:r w:rsidRPr="007E424E">
        <w:rPr>
          <w:rFonts w:eastAsia="宋体" w:hint="eastAsia"/>
          <w:bCs/>
        </w:rPr>
        <w:t xml:space="preserve"> </w:t>
      </w:r>
      <w:r w:rsidRPr="007E424E">
        <w:rPr>
          <w:rFonts w:eastAsia="宋体"/>
          <w:bCs/>
        </w:rPr>
        <w:t xml:space="preserve">for DSS in patients with 32 </w:t>
      </w:r>
      <w:proofErr w:type="spellStart"/>
      <w:r w:rsidRPr="007E424E">
        <w:rPr>
          <w:rFonts w:eastAsia="宋体"/>
          <w:bCs/>
        </w:rPr>
        <w:t>tumour</w:t>
      </w:r>
      <w:proofErr w:type="spellEnd"/>
      <w:r w:rsidRPr="007E424E">
        <w:rPr>
          <w:rFonts w:eastAsia="宋体"/>
          <w:bCs/>
        </w:rPr>
        <w:t xml:space="preserve"> types in the TCGA training set.</w:t>
      </w:r>
    </w:p>
    <w:p w14:paraId="4D782000" w14:textId="77777777" w:rsidR="00B53071" w:rsidRPr="00954BBC" w:rsidRDefault="00B53071" w:rsidP="00B53071">
      <w:pPr>
        <w:pStyle w:val="aa"/>
        <w:jc w:val="center"/>
      </w:pPr>
      <w:r>
        <w:rPr>
          <w:noProof/>
        </w:rPr>
        <w:lastRenderedPageBreak/>
        <w:drawing>
          <wp:inline distT="0" distB="0" distL="0" distR="0" wp14:anchorId="71AD8100" wp14:editId="283ACFB8">
            <wp:extent cx="5270500" cy="6512560"/>
            <wp:effectExtent l="0" t="0" r="0" b="0"/>
            <wp:docPr id="221766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0500" cy="6512560"/>
                    </a:xfrm>
                    <a:prstGeom prst="rect">
                      <a:avLst/>
                    </a:prstGeom>
                    <a:noFill/>
                    <a:ln>
                      <a:noFill/>
                    </a:ln>
                  </pic:spPr>
                </pic:pic>
              </a:graphicData>
            </a:graphic>
          </wp:inline>
        </w:drawing>
      </w:r>
    </w:p>
    <w:p w14:paraId="14706F5A" w14:textId="77777777" w:rsidR="00B53071" w:rsidRDefault="00B53071" w:rsidP="00B53071">
      <w:pPr>
        <w:adjustRightInd w:val="0"/>
        <w:snapToGrid w:val="0"/>
        <w:spacing w:line="360" w:lineRule="auto"/>
        <w:rPr>
          <w:rFonts w:eastAsia="宋体"/>
          <w:b/>
          <w:bCs/>
        </w:rPr>
      </w:pPr>
      <w:r>
        <w:rPr>
          <w:rFonts w:eastAsia="宋体"/>
          <w:b/>
          <w:bCs/>
        </w:rPr>
        <w:t xml:space="preserve">Figure S5. </w:t>
      </w:r>
      <w:r w:rsidRPr="007E424E">
        <w:rPr>
          <w:rFonts w:eastAsia="宋体"/>
          <w:bCs/>
        </w:rPr>
        <w:t xml:space="preserve">Time-dependent ROC curves for DSS in patients with 32 </w:t>
      </w:r>
      <w:proofErr w:type="spellStart"/>
      <w:r w:rsidRPr="007E424E">
        <w:rPr>
          <w:rFonts w:eastAsia="宋体"/>
          <w:bCs/>
        </w:rPr>
        <w:t>tumour</w:t>
      </w:r>
      <w:proofErr w:type="spellEnd"/>
      <w:r w:rsidRPr="007E424E">
        <w:rPr>
          <w:rFonts w:eastAsia="宋体"/>
          <w:bCs/>
        </w:rPr>
        <w:t xml:space="preserve"> types in the TCGA training set.</w:t>
      </w:r>
    </w:p>
    <w:p w14:paraId="386C90E2" w14:textId="77777777" w:rsidR="00B53071" w:rsidRDefault="00B53071" w:rsidP="00B53071">
      <w:pPr>
        <w:pStyle w:val="aa"/>
      </w:pPr>
    </w:p>
    <w:p w14:paraId="37FF08FE" w14:textId="77777777" w:rsidR="00B53071" w:rsidRPr="00954BBC" w:rsidRDefault="00B53071" w:rsidP="00B53071">
      <w:pPr>
        <w:pStyle w:val="aa"/>
        <w:jc w:val="center"/>
      </w:pPr>
      <w:r>
        <w:rPr>
          <w:noProof/>
        </w:rPr>
        <w:lastRenderedPageBreak/>
        <w:drawing>
          <wp:inline distT="0" distB="0" distL="0" distR="0" wp14:anchorId="733F7CEA" wp14:editId="7D429AD8">
            <wp:extent cx="4429087" cy="7618730"/>
            <wp:effectExtent l="0" t="0" r="0" b="1270"/>
            <wp:docPr id="13355627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8576" cy="7652254"/>
                    </a:xfrm>
                    <a:prstGeom prst="rect">
                      <a:avLst/>
                    </a:prstGeom>
                    <a:noFill/>
                    <a:ln>
                      <a:noFill/>
                    </a:ln>
                  </pic:spPr>
                </pic:pic>
              </a:graphicData>
            </a:graphic>
          </wp:inline>
        </w:drawing>
      </w:r>
    </w:p>
    <w:p w14:paraId="4E08B869" w14:textId="77777777" w:rsidR="00B53071" w:rsidRDefault="00B53071" w:rsidP="00B53071">
      <w:pPr>
        <w:adjustRightInd w:val="0"/>
        <w:snapToGrid w:val="0"/>
        <w:spacing w:line="360" w:lineRule="auto"/>
        <w:rPr>
          <w:rFonts w:eastAsia="宋体"/>
          <w:bCs/>
        </w:rPr>
      </w:pPr>
      <w:r>
        <w:rPr>
          <w:rFonts w:eastAsia="宋体"/>
          <w:b/>
          <w:bCs/>
        </w:rPr>
        <w:t xml:space="preserve">Figure S6. </w:t>
      </w:r>
      <w:r w:rsidRPr="007E424E">
        <w:rPr>
          <w:rFonts w:eastAsia="宋体"/>
          <w:bCs/>
        </w:rPr>
        <w:t xml:space="preserve">KM survival curves for OS in patients with 32 </w:t>
      </w:r>
      <w:proofErr w:type="spellStart"/>
      <w:r w:rsidRPr="007E424E">
        <w:rPr>
          <w:rFonts w:eastAsia="宋体"/>
          <w:bCs/>
        </w:rPr>
        <w:t>tumour</w:t>
      </w:r>
      <w:proofErr w:type="spellEnd"/>
      <w:r w:rsidRPr="007E424E">
        <w:rPr>
          <w:rFonts w:eastAsia="宋体"/>
          <w:bCs/>
        </w:rPr>
        <w:t xml:space="preserve"> types in the TCGA training set.</w:t>
      </w:r>
    </w:p>
    <w:p w14:paraId="3F978091" w14:textId="77777777" w:rsidR="00B53071" w:rsidRPr="00A271C1" w:rsidRDefault="00B53071" w:rsidP="00B53071">
      <w:pPr>
        <w:adjustRightInd w:val="0"/>
        <w:snapToGrid w:val="0"/>
        <w:spacing w:line="360" w:lineRule="auto"/>
        <w:jc w:val="center"/>
        <w:rPr>
          <w:rFonts w:eastAsia="宋体"/>
          <w:b/>
          <w:bCs/>
        </w:rPr>
      </w:pPr>
      <w:r>
        <w:rPr>
          <w:noProof/>
        </w:rPr>
        <w:lastRenderedPageBreak/>
        <w:drawing>
          <wp:inline distT="0" distB="0" distL="0" distR="0" wp14:anchorId="7A9E3328" wp14:editId="221D73AE">
            <wp:extent cx="5270500" cy="6597650"/>
            <wp:effectExtent l="0" t="0" r="0" b="0"/>
            <wp:docPr id="3595955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6597650"/>
                    </a:xfrm>
                    <a:prstGeom prst="rect">
                      <a:avLst/>
                    </a:prstGeom>
                    <a:noFill/>
                    <a:ln>
                      <a:noFill/>
                    </a:ln>
                  </pic:spPr>
                </pic:pic>
              </a:graphicData>
            </a:graphic>
          </wp:inline>
        </w:drawing>
      </w:r>
    </w:p>
    <w:p w14:paraId="322C0E26" w14:textId="77777777" w:rsidR="00B53071" w:rsidRDefault="00B53071" w:rsidP="00B53071">
      <w:pPr>
        <w:adjustRightInd w:val="0"/>
        <w:snapToGrid w:val="0"/>
        <w:spacing w:line="360" w:lineRule="auto"/>
        <w:rPr>
          <w:rFonts w:eastAsia="宋体"/>
          <w:b/>
          <w:bCs/>
        </w:rPr>
      </w:pPr>
      <w:r>
        <w:rPr>
          <w:rFonts w:eastAsia="宋体"/>
          <w:b/>
          <w:bCs/>
        </w:rPr>
        <w:t xml:space="preserve">Figure S7. </w:t>
      </w:r>
      <w:r w:rsidRPr="007E424E">
        <w:rPr>
          <w:rFonts w:eastAsia="宋体"/>
          <w:bCs/>
        </w:rPr>
        <w:t xml:space="preserve">Time-dependent ROC curves for OS in patients with 32 </w:t>
      </w:r>
      <w:proofErr w:type="spellStart"/>
      <w:r w:rsidRPr="007E424E">
        <w:rPr>
          <w:rFonts w:eastAsia="宋体"/>
          <w:bCs/>
        </w:rPr>
        <w:t>tumour</w:t>
      </w:r>
      <w:proofErr w:type="spellEnd"/>
      <w:r w:rsidRPr="007E424E">
        <w:rPr>
          <w:rFonts w:eastAsia="宋体"/>
          <w:bCs/>
        </w:rPr>
        <w:t xml:space="preserve"> types in the TCGA training set.</w:t>
      </w:r>
    </w:p>
    <w:p w14:paraId="5F27889E" w14:textId="77777777" w:rsidR="00B53071" w:rsidRDefault="00B53071" w:rsidP="00B53071">
      <w:pPr>
        <w:pStyle w:val="aa"/>
      </w:pPr>
    </w:p>
    <w:p w14:paraId="0AB0F3D0" w14:textId="77777777" w:rsidR="00B53071" w:rsidRDefault="00B53071" w:rsidP="00B53071">
      <w:pPr>
        <w:pStyle w:val="aa"/>
      </w:pPr>
    </w:p>
    <w:p w14:paraId="418620F1" w14:textId="77777777" w:rsidR="00B53071" w:rsidRDefault="00B53071" w:rsidP="00B53071">
      <w:pPr>
        <w:pStyle w:val="aa"/>
      </w:pPr>
    </w:p>
    <w:p w14:paraId="51AAA819" w14:textId="77777777" w:rsidR="00B53071" w:rsidRPr="00BE12D4" w:rsidRDefault="00B53071" w:rsidP="00B53071">
      <w:pPr>
        <w:pStyle w:val="aa"/>
        <w:jc w:val="center"/>
      </w:pPr>
      <w:r>
        <w:rPr>
          <w:noProof/>
        </w:rPr>
        <w:lastRenderedPageBreak/>
        <w:drawing>
          <wp:inline distT="0" distB="0" distL="0" distR="0" wp14:anchorId="5EEB8E49" wp14:editId="0D726933">
            <wp:extent cx="4493603" cy="7581265"/>
            <wp:effectExtent l="0" t="0" r="2540" b="635"/>
            <wp:docPr id="21310943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3168" cy="7614274"/>
                    </a:xfrm>
                    <a:prstGeom prst="rect">
                      <a:avLst/>
                    </a:prstGeom>
                    <a:noFill/>
                    <a:ln>
                      <a:noFill/>
                    </a:ln>
                  </pic:spPr>
                </pic:pic>
              </a:graphicData>
            </a:graphic>
          </wp:inline>
        </w:drawing>
      </w:r>
    </w:p>
    <w:p w14:paraId="1AFFAC2A" w14:textId="77777777" w:rsidR="00B53071" w:rsidRPr="007E424E" w:rsidRDefault="00B53071" w:rsidP="00B53071">
      <w:pPr>
        <w:adjustRightInd w:val="0"/>
        <w:snapToGrid w:val="0"/>
        <w:spacing w:line="360" w:lineRule="auto"/>
        <w:rPr>
          <w:rFonts w:eastAsia="宋体"/>
          <w:bCs/>
        </w:rPr>
      </w:pPr>
      <w:r>
        <w:rPr>
          <w:rFonts w:eastAsia="宋体"/>
          <w:b/>
          <w:bCs/>
        </w:rPr>
        <w:t xml:space="preserve">Figure S8. </w:t>
      </w:r>
      <w:r w:rsidRPr="007E424E">
        <w:rPr>
          <w:rFonts w:eastAsia="宋体"/>
          <w:bCs/>
        </w:rPr>
        <w:t xml:space="preserve">KM survival curves for PFI in patients </w:t>
      </w:r>
      <w:r w:rsidRPr="007E424E">
        <w:rPr>
          <w:rFonts w:eastAsia="宋体" w:hint="eastAsia"/>
          <w:bCs/>
        </w:rPr>
        <w:t xml:space="preserve">with </w:t>
      </w:r>
      <w:r w:rsidRPr="007E424E">
        <w:rPr>
          <w:rFonts w:eastAsia="宋体"/>
          <w:bCs/>
        </w:rPr>
        <w:t xml:space="preserve">32 </w:t>
      </w:r>
      <w:proofErr w:type="spellStart"/>
      <w:r w:rsidRPr="007E424E">
        <w:rPr>
          <w:rFonts w:eastAsia="宋体"/>
          <w:bCs/>
        </w:rPr>
        <w:t>tumo</w:t>
      </w:r>
      <w:r w:rsidRPr="007E424E">
        <w:rPr>
          <w:rFonts w:eastAsia="宋体" w:hint="eastAsia"/>
          <w:bCs/>
        </w:rPr>
        <w:t>u</w:t>
      </w:r>
      <w:r w:rsidRPr="007E424E">
        <w:rPr>
          <w:rFonts w:eastAsia="宋体"/>
          <w:bCs/>
        </w:rPr>
        <w:t>r</w:t>
      </w:r>
      <w:proofErr w:type="spellEnd"/>
      <w:r w:rsidRPr="007E424E">
        <w:rPr>
          <w:rFonts w:eastAsia="宋体" w:hint="eastAsia"/>
          <w:bCs/>
        </w:rPr>
        <w:t xml:space="preserve"> types</w:t>
      </w:r>
      <w:r w:rsidRPr="007E424E">
        <w:rPr>
          <w:rFonts w:eastAsia="宋体"/>
          <w:bCs/>
        </w:rPr>
        <w:t xml:space="preserve"> in the TCGA training set.</w:t>
      </w:r>
    </w:p>
    <w:p w14:paraId="5D7C7C02" w14:textId="77777777" w:rsidR="00B53071" w:rsidRPr="00BE12D4" w:rsidRDefault="00B53071" w:rsidP="00B53071">
      <w:pPr>
        <w:pStyle w:val="aa"/>
      </w:pPr>
      <w:r>
        <w:rPr>
          <w:noProof/>
        </w:rPr>
        <w:lastRenderedPageBreak/>
        <w:drawing>
          <wp:inline distT="0" distB="0" distL="0" distR="0" wp14:anchorId="5CE50B2F" wp14:editId="59EB01A9">
            <wp:extent cx="5270500" cy="6586855"/>
            <wp:effectExtent l="0" t="0" r="0" b="0"/>
            <wp:docPr id="25143878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0" cy="6586855"/>
                    </a:xfrm>
                    <a:prstGeom prst="rect">
                      <a:avLst/>
                    </a:prstGeom>
                    <a:noFill/>
                    <a:ln>
                      <a:noFill/>
                    </a:ln>
                  </pic:spPr>
                </pic:pic>
              </a:graphicData>
            </a:graphic>
          </wp:inline>
        </w:drawing>
      </w:r>
    </w:p>
    <w:p w14:paraId="0BAE2DC6" w14:textId="77777777" w:rsidR="00B53071" w:rsidRDefault="00B53071" w:rsidP="00B53071">
      <w:pPr>
        <w:adjustRightInd w:val="0"/>
        <w:snapToGrid w:val="0"/>
        <w:spacing w:line="360" w:lineRule="auto"/>
        <w:rPr>
          <w:rFonts w:eastAsia="宋体"/>
          <w:b/>
          <w:bCs/>
        </w:rPr>
      </w:pPr>
      <w:r>
        <w:rPr>
          <w:rFonts w:eastAsia="宋体"/>
          <w:b/>
          <w:bCs/>
        </w:rPr>
        <w:t xml:space="preserve">Figure S9. </w:t>
      </w:r>
      <w:r w:rsidRPr="007E424E">
        <w:rPr>
          <w:rFonts w:eastAsia="宋体"/>
          <w:bCs/>
        </w:rPr>
        <w:t xml:space="preserve">Time-dependent ROC curves for PFI in patients </w:t>
      </w:r>
      <w:r w:rsidRPr="007E424E">
        <w:rPr>
          <w:rFonts w:eastAsia="宋体" w:hint="eastAsia"/>
          <w:bCs/>
        </w:rPr>
        <w:t xml:space="preserve">with </w:t>
      </w:r>
      <w:r w:rsidRPr="007E424E">
        <w:rPr>
          <w:rFonts w:eastAsia="宋体"/>
          <w:bCs/>
        </w:rPr>
        <w:t xml:space="preserve">32 </w:t>
      </w:r>
      <w:proofErr w:type="spellStart"/>
      <w:r w:rsidRPr="007E424E">
        <w:rPr>
          <w:rFonts w:eastAsia="宋体"/>
          <w:bCs/>
        </w:rPr>
        <w:t>tumo</w:t>
      </w:r>
      <w:r w:rsidRPr="007E424E">
        <w:rPr>
          <w:rFonts w:eastAsia="宋体" w:hint="eastAsia"/>
          <w:bCs/>
        </w:rPr>
        <w:t>u</w:t>
      </w:r>
      <w:r w:rsidRPr="007E424E">
        <w:rPr>
          <w:rFonts w:eastAsia="宋体"/>
          <w:bCs/>
        </w:rPr>
        <w:t>r</w:t>
      </w:r>
      <w:proofErr w:type="spellEnd"/>
      <w:r w:rsidRPr="007E424E">
        <w:rPr>
          <w:rFonts w:eastAsia="宋体" w:hint="eastAsia"/>
          <w:bCs/>
        </w:rPr>
        <w:t xml:space="preserve"> types</w:t>
      </w:r>
      <w:r w:rsidRPr="007E424E">
        <w:rPr>
          <w:rFonts w:eastAsia="宋体"/>
          <w:bCs/>
        </w:rPr>
        <w:t xml:space="preserve"> in the TCGA training set.</w:t>
      </w:r>
    </w:p>
    <w:p w14:paraId="341EBEA0" w14:textId="77777777" w:rsidR="00B53071" w:rsidRPr="00876E3B" w:rsidRDefault="00B53071" w:rsidP="00B53071">
      <w:pPr>
        <w:pStyle w:val="aa"/>
      </w:pPr>
    </w:p>
    <w:p w14:paraId="1A83D4B9" w14:textId="77777777" w:rsidR="00B53071" w:rsidRDefault="00B53071" w:rsidP="00B53071">
      <w:pPr>
        <w:pStyle w:val="aa"/>
        <w:rPr>
          <w:bCs/>
        </w:rPr>
      </w:pPr>
      <w:r>
        <w:rPr>
          <w:noProof/>
        </w:rPr>
        <w:lastRenderedPageBreak/>
        <w:drawing>
          <wp:inline distT="0" distB="0" distL="0" distR="0" wp14:anchorId="27AB8657" wp14:editId="7A4D7831">
            <wp:extent cx="5270500" cy="7860665"/>
            <wp:effectExtent l="0" t="0" r="0" b="0"/>
            <wp:docPr id="7054348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0500" cy="7860665"/>
                    </a:xfrm>
                    <a:prstGeom prst="rect">
                      <a:avLst/>
                    </a:prstGeom>
                    <a:noFill/>
                    <a:ln>
                      <a:noFill/>
                    </a:ln>
                  </pic:spPr>
                </pic:pic>
              </a:graphicData>
            </a:graphic>
          </wp:inline>
        </w:drawing>
      </w:r>
      <w:r>
        <w:rPr>
          <w:b/>
          <w:bCs/>
        </w:rPr>
        <w:t xml:space="preserve"> Figure S10. </w:t>
      </w:r>
      <w:r w:rsidRPr="007E424E">
        <w:rPr>
          <w:bCs/>
        </w:rPr>
        <w:t xml:space="preserve">Correlation between </w:t>
      </w:r>
      <w:proofErr w:type="spellStart"/>
      <w:r w:rsidRPr="007E424E">
        <w:rPr>
          <w:bCs/>
        </w:rPr>
        <w:t>ChemoScore</w:t>
      </w:r>
      <w:proofErr w:type="spellEnd"/>
      <w:r w:rsidRPr="007E424E">
        <w:rPr>
          <w:bCs/>
        </w:rPr>
        <w:t xml:space="preserve"> and clinical baseline characteristics of patients</w:t>
      </w:r>
      <w:r w:rsidRPr="007E424E">
        <w:rPr>
          <w:rFonts w:hint="eastAsia"/>
          <w:bCs/>
        </w:rPr>
        <w:t xml:space="preserve"> with </w:t>
      </w:r>
      <w:proofErr w:type="spellStart"/>
      <w:r w:rsidRPr="007E424E">
        <w:rPr>
          <w:rFonts w:hint="eastAsia"/>
          <w:bCs/>
        </w:rPr>
        <w:t>tumours</w:t>
      </w:r>
      <w:proofErr w:type="spellEnd"/>
      <w:r w:rsidRPr="007E424E">
        <w:rPr>
          <w:bCs/>
        </w:rPr>
        <w:t>.</w:t>
      </w:r>
    </w:p>
    <w:p w14:paraId="6C96BED5" w14:textId="4B2FC6DA" w:rsidR="00820484" w:rsidRPr="00B53071" w:rsidRDefault="00F514EC" w:rsidP="00477182">
      <w:pPr>
        <w:pStyle w:val="SMcaption"/>
        <w:rPr>
          <w:rFonts w:ascii="Arial" w:hAnsi="Arial" w:cs="Arial"/>
          <w:b/>
          <w:szCs w:val="24"/>
        </w:rPr>
      </w:pPr>
      <w:r w:rsidRPr="00B53071">
        <w:rPr>
          <w:rFonts w:ascii="Arial" w:hAnsi="Arial" w:cs="Arial"/>
          <w:b/>
          <w:szCs w:val="24"/>
        </w:rPr>
        <w:lastRenderedPageBreak/>
        <w:t xml:space="preserve">SI </w:t>
      </w:r>
      <w:r w:rsidR="00820484" w:rsidRPr="00B53071">
        <w:rPr>
          <w:rFonts w:ascii="Arial" w:hAnsi="Arial" w:cs="Arial"/>
          <w:b/>
          <w:szCs w:val="24"/>
        </w:rPr>
        <w:t>References</w:t>
      </w:r>
    </w:p>
    <w:p w14:paraId="59D77E69" w14:textId="7EA1072C" w:rsidR="002C667A" w:rsidRPr="00DC623A" w:rsidRDefault="002C667A" w:rsidP="00477182">
      <w:pPr>
        <w:pStyle w:val="SMcaption"/>
        <w:rPr>
          <w:rFonts w:ascii="Arial" w:hAnsi="Arial" w:cs="Arial"/>
          <w:b/>
          <w:sz w:val="20"/>
        </w:rPr>
      </w:pPr>
    </w:p>
    <w:p w14:paraId="0C399210" w14:textId="77777777" w:rsidR="00B53071" w:rsidRPr="00BE09CC" w:rsidRDefault="00B53071" w:rsidP="00B53071">
      <w:pPr>
        <w:pStyle w:val="aa"/>
        <w:widowControl w:val="0"/>
        <w:numPr>
          <w:ilvl w:val="0"/>
          <w:numId w:val="17"/>
        </w:numPr>
        <w:spacing w:line="360" w:lineRule="auto"/>
        <w:ind w:left="442" w:hanging="442"/>
        <w:jc w:val="both"/>
      </w:pPr>
      <w:r w:rsidRPr="00BE09CC">
        <w:t xml:space="preserve">Yang Y, et al. (2021) A novel computer vision-based assessment of neutrophil chemotaxis in patients with severe infection. Clin </w:t>
      </w:r>
      <w:proofErr w:type="spellStart"/>
      <w:r>
        <w:t>T</w:t>
      </w:r>
      <w:r w:rsidRPr="00BE09CC">
        <w:t>ransl</w:t>
      </w:r>
      <w:proofErr w:type="spellEnd"/>
      <w:r>
        <w:t xml:space="preserve"> I</w:t>
      </w:r>
      <w:r w:rsidRPr="00BE09CC">
        <w:t>mmunology 10(8</w:t>
      </w:r>
      <w:proofErr w:type="gramStart"/>
      <w:r w:rsidRPr="00BE09CC">
        <w:t>):e</w:t>
      </w:r>
      <w:proofErr w:type="gramEnd"/>
      <w:r w:rsidRPr="00BE09CC">
        <w:t>1333.</w:t>
      </w:r>
    </w:p>
    <w:p w14:paraId="17A53533" w14:textId="77777777" w:rsidR="00B53071" w:rsidRPr="00BE09CC" w:rsidRDefault="00B53071" w:rsidP="00B53071">
      <w:pPr>
        <w:pStyle w:val="aa"/>
        <w:widowControl w:val="0"/>
        <w:numPr>
          <w:ilvl w:val="0"/>
          <w:numId w:val="17"/>
        </w:numPr>
        <w:spacing w:line="360" w:lineRule="auto"/>
        <w:ind w:left="442" w:hanging="442"/>
        <w:jc w:val="both"/>
      </w:pPr>
      <w:proofErr w:type="spellStart"/>
      <w:r w:rsidRPr="00BE09CC">
        <w:t>Şenbabao</w:t>
      </w:r>
      <w:r w:rsidRPr="00BE09CC">
        <w:rPr>
          <w:rFonts w:hint="cs"/>
        </w:rPr>
        <w:t>ğ</w:t>
      </w:r>
      <w:r w:rsidRPr="00BE09CC">
        <w:t>lu</w:t>
      </w:r>
      <w:proofErr w:type="spellEnd"/>
      <w:r w:rsidRPr="00BE09CC">
        <w:t xml:space="preserve"> Y, et al. (2016) Tumor immune microenvironment characterization in clear cell renal cell carcinoma identifies prognostic and </w:t>
      </w:r>
      <w:proofErr w:type="spellStart"/>
      <w:r w:rsidRPr="00BE09CC">
        <w:t>immunotherapeutically</w:t>
      </w:r>
      <w:proofErr w:type="spellEnd"/>
      <w:r w:rsidRPr="00BE09CC">
        <w:t xml:space="preserve"> relevant messenger RNA signatures. Genome bio 17(1):231.</w:t>
      </w:r>
    </w:p>
    <w:p w14:paraId="37F6A0A6" w14:textId="77777777" w:rsidR="00B53071" w:rsidRPr="00BE09CC" w:rsidRDefault="00B53071" w:rsidP="00B53071">
      <w:pPr>
        <w:pStyle w:val="aa"/>
        <w:widowControl w:val="0"/>
        <w:numPr>
          <w:ilvl w:val="0"/>
          <w:numId w:val="17"/>
        </w:numPr>
        <w:spacing w:line="360" w:lineRule="auto"/>
        <w:ind w:left="442" w:hanging="442"/>
        <w:jc w:val="both"/>
      </w:pPr>
      <w:r w:rsidRPr="00BE09CC">
        <w:t xml:space="preserve">Tay JK, Narasimhan B, &amp; Hastie T (2023) Elastic Net Regularization Paths for All Generalized Linear Models. </w:t>
      </w:r>
      <w:r w:rsidRPr="00423950">
        <w:rPr>
          <w:iCs/>
        </w:rPr>
        <w:t xml:space="preserve">J Stat </w:t>
      </w:r>
      <w:proofErr w:type="spellStart"/>
      <w:r w:rsidRPr="00423950">
        <w:rPr>
          <w:iCs/>
        </w:rPr>
        <w:t>Softw</w:t>
      </w:r>
      <w:proofErr w:type="spellEnd"/>
      <w:r w:rsidRPr="00423950">
        <w:rPr>
          <w:iCs/>
        </w:rPr>
        <w:t xml:space="preserve"> </w:t>
      </w:r>
      <w:r w:rsidRPr="00BE09CC">
        <w:t>106.</w:t>
      </w:r>
    </w:p>
    <w:p w14:paraId="0B7DBFD9" w14:textId="77777777" w:rsidR="00B53071" w:rsidRPr="00BE09CC" w:rsidRDefault="00B53071" w:rsidP="00B53071">
      <w:pPr>
        <w:pStyle w:val="aa"/>
        <w:widowControl w:val="0"/>
        <w:numPr>
          <w:ilvl w:val="0"/>
          <w:numId w:val="17"/>
        </w:numPr>
        <w:spacing w:line="360" w:lineRule="auto"/>
        <w:ind w:left="442" w:hanging="442"/>
        <w:jc w:val="both"/>
      </w:pPr>
      <w:proofErr w:type="spellStart"/>
      <w:r w:rsidRPr="00BE09CC">
        <w:t>Bindea</w:t>
      </w:r>
      <w:proofErr w:type="spellEnd"/>
      <w:r w:rsidRPr="00BE09CC">
        <w:t xml:space="preserve"> G, et al. (2013) Spatiotemporal dynamics of </w:t>
      </w:r>
      <w:proofErr w:type="spellStart"/>
      <w:r w:rsidRPr="00BE09CC">
        <w:t>intratumoral</w:t>
      </w:r>
      <w:proofErr w:type="spellEnd"/>
      <w:r w:rsidRPr="00BE09CC">
        <w:t xml:space="preserve"> immune cells reveal the immune landscape in human cancer. Immunity 39(4):782-795.</w:t>
      </w:r>
    </w:p>
    <w:p w14:paraId="10C22F57" w14:textId="1CA50D93" w:rsidR="007843C9" w:rsidRPr="00B53071" w:rsidRDefault="00B53071" w:rsidP="00B53071">
      <w:pPr>
        <w:pStyle w:val="aa"/>
        <w:widowControl w:val="0"/>
        <w:numPr>
          <w:ilvl w:val="0"/>
          <w:numId w:val="17"/>
        </w:numPr>
        <w:spacing w:line="360" w:lineRule="auto"/>
        <w:ind w:left="442" w:hanging="442"/>
        <w:jc w:val="both"/>
      </w:pPr>
      <w:r w:rsidRPr="00BE09CC">
        <w:t xml:space="preserve">Zhang Y, et al. (2022) A signature for pan-cancer prognosis based on neutrophil extracellular traps. </w:t>
      </w:r>
      <w:r w:rsidRPr="003A5550">
        <w:rPr>
          <w:iCs/>
        </w:rPr>
        <w:t xml:space="preserve">J </w:t>
      </w:r>
      <w:proofErr w:type="spellStart"/>
      <w:r w:rsidRPr="003A5550">
        <w:rPr>
          <w:iCs/>
        </w:rPr>
        <w:t>Immunother</w:t>
      </w:r>
      <w:proofErr w:type="spellEnd"/>
      <w:r w:rsidRPr="003A5550">
        <w:rPr>
          <w:iCs/>
        </w:rPr>
        <w:t xml:space="preserve"> Cance</w:t>
      </w:r>
      <w:r w:rsidRPr="000B38A4">
        <w:rPr>
          <w:i/>
        </w:rPr>
        <w:t>r</w:t>
      </w:r>
      <w:r w:rsidRPr="00BE09CC">
        <w:t xml:space="preserve"> 10(6)</w:t>
      </w:r>
      <w:r>
        <w:t>: e004210</w:t>
      </w:r>
      <w:r w:rsidRPr="00BE09CC">
        <w:t>.</w:t>
      </w:r>
    </w:p>
    <w:sectPr w:rsidR="007843C9" w:rsidRPr="00B53071" w:rsidSect="00F125EE">
      <w:headerReference w:type="default" r:id="rId18"/>
      <w:footerReference w:type="default" r:id="rId19"/>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1126A" w16cex:dateUtc="2020-08-26T23:55:00Z"/>
  <w16cex:commentExtensible w16cex:durableId="22F112F1" w16cex:dateUtc="2020-08-26T23:57:00Z"/>
  <w16cex:commentExtensible w16cex:durableId="22F113C6" w16cex:dateUtc="2020-08-27T00:00:00Z"/>
  <w16cex:commentExtensible w16cex:durableId="22F114E9" w16cex:dateUtc="2020-08-27T0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BC3F8" w14:textId="77777777" w:rsidR="0060639B" w:rsidRDefault="0060639B">
      <w:r>
        <w:separator/>
      </w:r>
    </w:p>
  </w:endnote>
  <w:endnote w:type="continuationSeparator" w:id="0">
    <w:p w14:paraId="1B19C6E2" w14:textId="77777777" w:rsidR="0060639B" w:rsidRDefault="0060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6907" w14:textId="193174C0" w:rsidR="00F125EE" w:rsidRDefault="00114193">
    <w:pPr>
      <w:pStyle w:val="aff1"/>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86898" w14:textId="77777777" w:rsidR="0060639B" w:rsidRDefault="0060639B">
      <w:r>
        <w:separator/>
      </w:r>
    </w:p>
  </w:footnote>
  <w:footnote w:type="continuationSeparator" w:id="0">
    <w:p w14:paraId="4022D1BA" w14:textId="77777777" w:rsidR="0060639B" w:rsidRDefault="00606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8C73D6"/>
    <w:multiLevelType w:val="hybridMultilevel"/>
    <w:tmpl w:val="6EF2A99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64380E75"/>
    <w:multiLevelType w:val="hybridMultilevel"/>
    <w:tmpl w:val="D0888B4C"/>
    <w:lvl w:ilvl="0" w:tplc="132AA420">
      <w:numFmt w:val="bullet"/>
      <w:lvlText w:val=""/>
      <w:lvlJc w:val="left"/>
      <w:pPr>
        <w:ind w:left="360" w:hanging="360"/>
      </w:pPr>
      <w:rPr>
        <w:rFonts w:ascii="Wingdings" w:eastAsiaTheme="minorEastAsia" w:hAnsi="Wingdings" w:cs="Times New Roman" w:hint="default"/>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6C873ADD"/>
    <w:multiLevelType w:val="hybridMultilevel"/>
    <w:tmpl w:val="69BE1A0E"/>
    <w:lvl w:ilvl="0" w:tplc="EBA49960">
      <w:numFmt w:val="bullet"/>
      <w:lvlText w:val=""/>
      <w:lvlJc w:val="left"/>
      <w:pPr>
        <w:ind w:left="360" w:hanging="360"/>
      </w:pPr>
      <w:rPr>
        <w:rFonts w:ascii="Wingdings" w:eastAsiaTheme="minorEastAsia" w:hAnsi="Wingdings" w:cs="Times New Roman" w:hint="default"/>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6"/>
  </w:num>
  <w:num w:numId="14">
    <w:abstractNumId w:val="11"/>
  </w:num>
  <w:num w:numId="15">
    <w:abstractNumId w:val="14"/>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83B44"/>
    <w:rsid w:val="000850DC"/>
    <w:rsid w:val="000A41E4"/>
    <w:rsid w:val="000C2771"/>
    <w:rsid w:val="000C5F36"/>
    <w:rsid w:val="000D4D0D"/>
    <w:rsid w:val="000F0DCE"/>
    <w:rsid w:val="00112C5B"/>
    <w:rsid w:val="00114193"/>
    <w:rsid w:val="00115A38"/>
    <w:rsid w:val="0011687B"/>
    <w:rsid w:val="00124F82"/>
    <w:rsid w:val="0016337A"/>
    <w:rsid w:val="00164269"/>
    <w:rsid w:val="001A1BDE"/>
    <w:rsid w:val="001C0520"/>
    <w:rsid w:val="001C0975"/>
    <w:rsid w:val="001C2D47"/>
    <w:rsid w:val="001F0876"/>
    <w:rsid w:val="001F167C"/>
    <w:rsid w:val="001F5E91"/>
    <w:rsid w:val="002077B9"/>
    <w:rsid w:val="002628EB"/>
    <w:rsid w:val="00262D72"/>
    <w:rsid w:val="00294FBB"/>
    <w:rsid w:val="002C030F"/>
    <w:rsid w:val="002C667A"/>
    <w:rsid w:val="0030039A"/>
    <w:rsid w:val="00325D90"/>
    <w:rsid w:val="00331D75"/>
    <w:rsid w:val="00332BFB"/>
    <w:rsid w:val="00355362"/>
    <w:rsid w:val="00363E44"/>
    <w:rsid w:val="00387114"/>
    <w:rsid w:val="00395E86"/>
    <w:rsid w:val="00397983"/>
    <w:rsid w:val="003A2FD8"/>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609E9"/>
    <w:rsid w:val="005A558C"/>
    <w:rsid w:val="005C52D5"/>
    <w:rsid w:val="005D088E"/>
    <w:rsid w:val="005E28F8"/>
    <w:rsid w:val="005E6513"/>
    <w:rsid w:val="0060639B"/>
    <w:rsid w:val="006069C6"/>
    <w:rsid w:val="00611A19"/>
    <w:rsid w:val="006140DF"/>
    <w:rsid w:val="00651114"/>
    <w:rsid w:val="0065772A"/>
    <w:rsid w:val="00670299"/>
    <w:rsid w:val="00690668"/>
    <w:rsid w:val="00691985"/>
    <w:rsid w:val="006A1B64"/>
    <w:rsid w:val="006D169A"/>
    <w:rsid w:val="006E3E68"/>
    <w:rsid w:val="007108F5"/>
    <w:rsid w:val="00713E5B"/>
    <w:rsid w:val="00732993"/>
    <w:rsid w:val="007402FC"/>
    <w:rsid w:val="007411A1"/>
    <w:rsid w:val="00763345"/>
    <w:rsid w:val="007843C9"/>
    <w:rsid w:val="00797F24"/>
    <w:rsid w:val="007B5946"/>
    <w:rsid w:val="007F5297"/>
    <w:rsid w:val="00807D35"/>
    <w:rsid w:val="00820484"/>
    <w:rsid w:val="00824DF3"/>
    <w:rsid w:val="00840BB2"/>
    <w:rsid w:val="00885C9B"/>
    <w:rsid w:val="008C069B"/>
    <w:rsid w:val="008D5D2A"/>
    <w:rsid w:val="00914B63"/>
    <w:rsid w:val="009258B8"/>
    <w:rsid w:val="009354F3"/>
    <w:rsid w:val="00943C3C"/>
    <w:rsid w:val="009447DC"/>
    <w:rsid w:val="009519CF"/>
    <w:rsid w:val="00961BA5"/>
    <w:rsid w:val="009743A9"/>
    <w:rsid w:val="009A5287"/>
    <w:rsid w:val="009A670E"/>
    <w:rsid w:val="009B2AC5"/>
    <w:rsid w:val="009B7984"/>
    <w:rsid w:val="009D6B1C"/>
    <w:rsid w:val="009F4BED"/>
    <w:rsid w:val="009F7D93"/>
    <w:rsid w:val="00A3403B"/>
    <w:rsid w:val="00A51A12"/>
    <w:rsid w:val="00A627D4"/>
    <w:rsid w:val="00A72B81"/>
    <w:rsid w:val="00A74DA2"/>
    <w:rsid w:val="00AC15B4"/>
    <w:rsid w:val="00AD499C"/>
    <w:rsid w:val="00AE5A70"/>
    <w:rsid w:val="00B003EE"/>
    <w:rsid w:val="00B038F4"/>
    <w:rsid w:val="00B15008"/>
    <w:rsid w:val="00B16F99"/>
    <w:rsid w:val="00B36869"/>
    <w:rsid w:val="00B42F9C"/>
    <w:rsid w:val="00B43B31"/>
    <w:rsid w:val="00B47CFA"/>
    <w:rsid w:val="00B53071"/>
    <w:rsid w:val="00B57F00"/>
    <w:rsid w:val="00B73A1C"/>
    <w:rsid w:val="00B77B2A"/>
    <w:rsid w:val="00B82C22"/>
    <w:rsid w:val="00B8723B"/>
    <w:rsid w:val="00B93DBA"/>
    <w:rsid w:val="00B9440A"/>
    <w:rsid w:val="00BB2D2A"/>
    <w:rsid w:val="00BD58CF"/>
    <w:rsid w:val="00BD64FE"/>
    <w:rsid w:val="00C046DC"/>
    <w:rsid w:val="00C04CC1"/>
    <w:rsid w:val="00C364C5"/>
    <w:rsid w:val="00C47714"/>
    <w:rsid w:val="00C50C6D"/>
    <w:rsid w:val="00C600D9"/>
    <w:rsid w:val="00CC1384"/>
    <w:rsid w:val="00CD3720"/>
    <w:rsid w:val="00CF16C9"/>
    <w:rsid w:val="00CF1848"/>
    <w:rsid w:val="00CF5C2F"/>
    <w:rsid w:val="00D04BCF"/>
    <w:rsid w:val="00D143D9"/>
    <w:rsid w:val="00D269AB"/>
    <w:rsid w:val="00D346C2"/>
    <w:rsid w:val="00DA22DA"/>
    <w:rsid w:val="00DA59EA"/>
    <w:rsid w:val="00DB0B1D"/>
    <w:rsid w:val="00DC623A"/>
    <w:rsid w:val="00DD421A"/>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basedOn w:val="a2"/>
    <w:link w:val="1"/>
    <w:semiHidden/>
    <w:rsid w:val="00FF04E3"/>
    <w:rPr>
      <w:b/>
      <w:bCs/>
      <w:kern w:val="32"/>
      <w:sz w:val="24"/>
      <w:szCs w:val="24"/>
    </w:rPr>
  </w:style>
  <w:style w:type="character" w:customStyle="1" w:styleId="22">
    <w:name w:val="标题 2 字符"/>
    <w:basedOn w:val="a2"/>
    <w:link w:val="21"/>
    <w:semiHidden/>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rsid w:val="009258B8"/>
    <w:rPr>
      <w:sz w:val="16"/>
      <w:szCs w:val="16"/>
    </w:rPr>
  </w:style>
  <w:style w:type="character" w:styleId="affff8">
    <w:name w:val="FollowedHyperlink"/>
    <w:basedOn w:val="a2"/>
    <w:semiHidden/>
    <w:unhideWhenUsed/>
    <w:rsid w:val="00611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800137">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8/08/relationships/commentsExtensible" Target="commentsExtensi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80BB-292D-4AAC-AE6A-9BB3CC67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13429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SSKZRB</cp:lastModifiedBy>
  <cp:revision>4</cp:revision>
  <cp:lastPrinted>2018-02-26T17:19:00Z</cp:lastPrinted>
  <dcterms:created xsi:type="dcterms:W3CDTF">2023-09-18T07:04:00Z</dcterms:created>
  <dcterms:modified xsi:type="dcterms:W3CDTF">2024-06-12T00:49:00Z</dcterms:modified>
</cp:coreProperties>
</file>