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1BA32" w14:textId="58DBFD1B" w:rsidR="005B730F" w:rsidRPr="007E1C75" w:rsidRDefault="007E1C75" w:rsidP="002913D2">
      <w:pPr>
        <w:spacing w:line="480" w:lineRule="auto"/>
        <w:jc w:val="both"/>
        <w:rPr>
          <w:b/>
          <w:bCs/>
        </w:rPr>
      </w:pPr>
      <w:r w:rsidRPr="007E1C75">
        <w:rPr>
          <w:b/>
          <w:bCs/>
        </w:rPr>
        <w:t xml:space="preserve">Online Resource </w:t>
      </w:r>
      <w:r w:rsidR="00A17435">
        <w:rPr>
          <w:b/>
          <w:bCs/>
        </w:rPr>
        <w:t>2</w:t>
      </w:r>
    </w:p>
    <w:p w14:paraId="4AF12B06" w14:textId="381F076C" w:rsidR="007E1C75" w:rsidRDefault="007E1C75" w:rsidP="002913D2">
      <w:pPr>
        <w:spacing w:line="480" w:lineRule="auto"/>
        <w:jc w:val="both"/>
      </w:pPr>
      <w:r>
        <w:t xml:space="preserve">Online Resource </w:t>
      </w:r>
      <w:r w:rsidR="00A17435">
        <w:t>2</w:t>
      </w:r>
      <w:r>
        <w:t xml:space="preserve"> includes: maps showing variation of cumulative detection probability of the Togean babirusa for 15 and 21 days of surveys, sampling effort estimation to detect general state of the Togean babirusa’s occupancy decline</w:t>
      </w:r>
      <w:r w:rsidR="00F715AB">
        <w:t>, and comparison of sampling efforts when two vs. one camera traps are used per station.</w:t>
      </w:r>
    </w:p>
    <w:p w14:paraId="7EDAEA6D" w14:textId="77777777" w:rsidR="007E1C75" w:rsidRDefault="007E1C75" w:rsidP="002913D2">
      <w:pPr>
        <w:spacing w:line="480" w:lineRule="auto"/>
        <w:jc w:val="both"/>
      </w:pPr>
    </w:p>
    <w:p w14:paraId="1B1E475D" w14:textId="77777777" w:rsidR="007E1C75" w:rsidRDefault="007E1C75" w:rsidP="002913D2">
      <w:pPr>
        <w:spacing w:line="480" w:lineRule="auto"/>
        <w:jc w:val="both"/>
      </w:pPr>
    </w:p>
    <w:p w14:paraId="0931CEF8" w14:textId="7BDAA173" w:rsidR="007E1C75" w:rsidRDefault="007E1C75" w:rsidP="002913D2">
      <w:pPr>
        <w:spacing w:line="480" w:lineRule="auto"/>
        <w:jc w:val="both"/>
      </w:pPr>
      <w:r w:rsidRPr="007E1C75">
        <w:t>Developing a monitoring protocol for a threatened species in a developing country: lessons learned from monitoring the Togean Islands babirusa</w:t>
      </w:r>
    </w:p>
    <w:p w14:paraId="6AA7994D" w14:textId="77777777" w:rsidR="007E1C75" w:rsidRDefault="007E1C75" w:rsidP="002913D2">
      <w:pPr>
        <w:spacing w:line="480" w:lineRule="auto"/>
        <w:jc w:val="both"/>
      </w:pPr>
    </w:p>
    <w:p w14:paraId="77AA7817" w14:textId="77777777" w:rsidR="00F673B6" w:rsidRPr="00654548" w:rsidRDefault="00F673B6" w:rsidP="00F673B6">
      <w:pPr>
        <w:spacing w:line="480" w:lineRule="auto"/>
        <w:jc w:val="both"/>
        <w:rPr>
          <w:rFonts w:cstheme="minorHAnsi"/>
          <w:bCs/>
        </w:rPr>
      </w:pPr>
      <w:r w:rsidRPr="00654548">
        <w:rPr>
          <w:rFonts w:cstheme="minorHAnsi"/>
          <w:bCs/>
        </w:rPr>
        <w:t xml:space="preserve">Agus Sudibyo </w:t>
      </w:r>
      <w:proofErr w:type="spellStart"/>
      <w:r w:rsidRPr="00654548">
        <w:rPr>
          <w:rFonts w:cstheme="minorHAnsi"/>
          <w:bCs/>
        </w:rPr>
        <w:t>Jati</w:t>
      </w:r>
      <w:r w:rsidRPr="00654548">
        <w:rPr>
          <w:rFonts w:cstheme="minorHAnsi"/>
          <w:bCs/>
          <w:vertAlign w:val="superscript"/>
        </w:rPr>
        <w:t>a</w:t>
      </w:r>
      <w:r>
        <w:rPr>
          <w:rFonts w:cstheme="minorHAnsi"/>
          <w:bCs/>
          <w:vertAlign w:val="superscript"/>
        </w:rPr>
        <w:t>b</w:t>
      </w:r>
      <w:proofErr w:type="spellEnd"/>
      <w:r w:rsidRPr="00654548">
        <w:rPr>
          <w:rFonts w:cstheme="minorHAnsi"/>
          <w:bCs/>
        </w:rPr>
        <w:t xml:space="preserve">, Bayu Wisnu </w:t>
      </w:r>
      <w:proofErr w:type="spellStart"/>
      <w:r w:rsidRPr="00654548">
        <w:rPr>
          <w:rFonts w:cstheme="minorHAnsi"/>
          <w:bCs/>
        </w:rPr>
        <w:t>Broto</w:t>
      </w:r>
      <w:r>
        <w:rPr>
          <w:rFonts w:cstheme="minorHAnsi"/>
          <w:bCs/>
          <w:vertAlign w:val="superscript"/>
        </w:rPr>
        <w:t>c</w:t>
      </w:r>
      <w:proofErr w:type="spellEnd"/>
      <w:r w:rsidRPr="00654548">
        <w:rPr>
          <w:rFonts w:cstheme="minorHAnsi"/>
          <w:bCs/>
        </w:rPr>
        <w:t xml:space="preserve">, Gabriela Franzoi </w:t>
      </w:r>
      <w:proofErr w:type="spellStart"/>
      <w:r w:rsidRPr="00654548">
        <w:rPr>
          <w:rFonts w:cstheme="minorHAnsi"/>
          <w:bCs/>
        </w:rPr>
        <w:t>Dri</w:t>
      </w:r>
      <w:r w:rsidRPr="00654548">
        <w:rPr>
          <w:rFonts w:cstheme="minorHAnsi"/>
          <w:bCs/>
          <w:vertAlign w:val="superscript"/>
        </w:rPr>
        <w:t>a</w:t>
      </w:r>
      <w:proofErr w:type="spellEnd"/>
      <w:r w:rsidRPr="00654548">
        <w:rPr>
          <w:rFonts w:cstheme="minorHAnsi"/>
          <w:bCs/>
        </w:rPr>
        <w:t xml:space="preserve">, Ikeu Sri </w:t>
      </w:r>
      <w:proofErr w:type="spellStart"/>
      <w:r w:rsidRPr="00654548">
        <w:rPr>
          <w:rFonts w:cstheme="minorHAnsi"/>
          <w:bCs/>
        </w:rPr>
        <w:t>Rejeki</w:t>
      </w:r>
      <w:r>
        <w:rPr>
          <w:rFonts w:cstheme="minorHAnsi"/>
          <w:bCs/>
          <w:vertAlign w:val="superscript"/>
        </w:rPr>
        <w:t>d</w:t>
      </w:r>
      <w:proofErr w:type="spellEnd"/>
      <w:r w:rsidRPr="00654548">
        <w:rPr>
          <w:rFonts w:cstheme="minorHAnsi"/>
          <w:bCs/>
        </w:rPr>
        <w:t xml:space="preserve">, Alessio </w:t>
      </w:r>
      <w:proofErr w:type="spellStart"/>
      <w:r w:rsidRPr="00654548">
        <w:rPr>
          <w:rFonts w:cstheme="minorHAnsi"/>
          <w:bCs/>
        </w:rPr>
        <w:t>Mortelliti</w:t>
      </w:r>
      <w:r w:rsidRPr="00654548">
        <w:rPr>
          <w:rFonts w:cstheme="minorHAnsi"/>
          <w:bCs/>
          <w:vertAlign w:val="superscript"/>
        </w:rPr>
        <w:t>a</w:t>
      </w:r>
      <w:r>
        <w:rPr>
          <w:rFonts w:cstheme="minorHAnsi"/>
          <w:bCs/>
          <w:vertAlign w:val="superscript"/>
        </w:rPr>
        <w:t>e</w:t>
      </w:r>
      <w:proofErr w:type="spellEnd"/>
      <w:r w:rsidRPr="00654548">
        <w:rPr>
          <w:rFonts w:cstheme="minorHAnsi"/>
          <w:bCs/>
        </w:rPr>
        <w:t>*</w:t>
      </w:r>
    </w:p>
    <w:p w14:paraId="61CDFD4B" w14:textId="77777777" w:rsidR="00F673B6" w:rsidRPr="00654548" w:rsidRDefault="00F673B6" w:rsidP="00F673B6">
      <w:pPr>
        <w:spacing w:line="480" w:lineRule="auto"/>
        <w:jc w:val="both"/>
        <w:rPr>
          <w:rFonts w:cstheme="minorHAnsi"/>
          <w:bCs/>
        </w:rPr>
      </w:pPr>
    </w:p>
    <w:p w14:paraId="367B18AA" w14:textId="77777777" w:rsidR="00F673B6" w:rsidRDefault="00F673B6" w:rsidP="00F673B6">
      <w:pPr>
        <w:spacing w:line="480" w:lineRule="auto"/>
        <w:jc w:val="both"/>
        <w:rPr>
          <w:bCs/>
        </w:rPr>
      </w:pPr>
      <w:proofErr w:type="spellStart"/>
      <w:r w:rsidRPr="008E212A">
        <w:rPr>
          <w:bCs/>
          <w:vertAlign w:val="superscript"/>
        </w:rPr>
        <w:t>a</w:t>
      </w:r>
      <w:r>
        <w:rPr>
          <w:bCs/>
        </w:rPr>
        <w:t>Department</w:t>
      </w:r>
      <w:proofErr w:type="spellEnd"/>
      <w:r>
        <w:rPr>
          <w:bCs/>
        </w:rPr>
        <w:t xml:space="preserve"> of Wildlife, Fisheries, and Conservation Biology, University of Maine, Orono, Maine, USA</w:t>
      </w:r>
    </w:p>
    <w:p w14:paraId="2B6DF33F" w14:textId="77777777" w:rsidR="00F673B6" w:rsidRDefault="00F673B6" w:rsidP="00F673B6">
      <w:pPr>
        <w:spacing w:line="480" w:lineRule="auto"/>
        <w:jc w:val="both"/>
        <w:rPr>
          <w:bCs/>
        </w:rPr>
      </w:pPr>
      <w:proofErr w:type="spellStart"/>
      <w:r>
        <w:rPr>
          <w:bCs/>
          <w:vertAlign w:val="superscript"/>
        </w:rPr>
        <w:t>b</w:t>
      </w:r>
      <w:r>
        <w:rPr>
          <w:bCs/>
        </w:rPr>
        <w:t>IUCN</w:t>
      </w:r>
      <w:proofErr w:type="spellEnd"/>
      <w:r>
        <w:rPr>
          <w:bCs/>
        </w:rPr>
        <w:t xml:space="preserve"> SSC Wild Pig Specialist Group</w:t>
      </w:r>
    </w:p>
    <w:p w14:paraId="34198849" w14:textId="77777777" w:rsidR="00F673B6" w:rsidRDefault="00F673B6" w:rsidP="00F673B6">
      <w:pPr>
        <w:spacing w:line="480" w:lineRule="auto"/>
        <w:jc w:val="both"/>
        <w:rPr>
          <w:bCs/>
        </w:rPr>
      </w:pPr>
      <w:proofErr w:type="spellStart"/>
      <w:r>
        <w:rPr>
          <w:vertAlign w:val="superscript"/>
        </w:rPr>
        <w:t>c</w:t>
      </w:r>
      <w:r w:rsidRPr="001D687B">
        <w:t>Institute</w:t>
      </w:r>
      <w:proofErr w:type="spellEnd"/>
      <w:r w:rsidRPr="001D687B">
        <w:t xml:space="preserve"> for the Implementation of Standards for Environment and Forestry Instrument Makassar</w:t>
      </w:r>
      <w:r>
        <w:t>,</w:t>
      </w:r>
      <w:r w:rsidRPr="001D687B">
        <w:t xml:space="preserve"> Ministry of Environment and Forestry,</w:t>
      </w:r>
      <w:r>
        <w:t xml:space="preserve"> </w:t>
      </w:r>
      <w:r>
        <w:rPr>
          <w:bCs/>
        </w:rPr>
        <w:t>Makassar, Sulawesi Selatan, Indonesia</w:t>
      </w:r>
    </w:p>
    <w:p w14:paraId="528E2E89" w14:textId="77777777" w:rsidR="00F673B6" w:rsidRDefault="00F673B6" w:rsidP="00F673B6">
      <w:pPr>
        <w:spacing w:line="480" w:lineRule="auto"/>
        <w:jc w:val="both"/>
      </w:pPr>
      <w:proofErr w:type="spellStart"/>
      <w:r>
        <w:rPr>
          <w:vertAlign w:val="superscript"/>
        </w:rPr>
        <w:t>d</w:t>
      </w:r>
      <w:r>
        <w:t>Directorate</w:t>
      </w:r>
      <w:proofErr w:type="spellEnd"/>
      <w:r>
        <w:t xml:space="preserve"> of Biodiversity Conservation, Ministry of Environment and Forestry, Gedung Manggala </w:t>
      </w:r>
      <w:proofErr w:type="spellStart"/>
      <w:r>
        <w:t>Wanabhakti</w:t>
      </w:r>
      <w:proofErr w:type="spellEnd"/>
      <w:r>
        <w:t xml:space="preserve"> Blok 1 Lt. 8, Jakarta, Indonesia</w:t>
      </w:r>
    </w:p>
    <w:p w14:paraId="339C2BB1" w14:textId="77777777" w:rsidR="00F673B6" w:rsidRPr="004810AC" w:rsidRDefault="00F673B6" w:rsidP="00F673B6">
      <w:pPr>
        <w:spacing w:line="480" w:lineRule="auto"/>
        <w:jc w:val="both"/>
        <w:rPr>
          <w:bCs/>
        </w:rPr>
      </w:pPr>
      <w:proofErr w:type="spellStart"/>
      <w:r>
        <w:rPr>
          <w:bCs/>
          <w:vertAlign w:val="superscript"/>
        </w:rPr>
        <w:t>e</w:t>
      </w:r>
      <w:r w:rsidRPr="00B55C19">
        <w:rPr>
          <w:bCs/>
        </w:rPr>
        <w:t>Department</w:t>
      </w:r>
      <w:proofErr w:type="spellEnd"/>
      <w:r w:rsidRPr="00B55C19">
        <w:rPr>
          <w:bCs/>
        </w:rPr>
        <w:t xml:space="preserve"> of Life Sciences, University of Trieste</w:t>
      </w:r>
      <w:r>
        <w:rPr>
          <w:bCs/>
        </w:rPr>
        <w:t xml:space="preserve">, </w:t>
      </w:r>
      <w:proofErr w:type="spellStart"/>
      <w:r w:rsidRPr="00B55C19">
        <w:rPr>
          <w:bCs/>
        </w:rPr>
        <w:t>Edificio</w:t>
      </w:r>
      <w:proofErr w:type="spellEnd"/>
      <w:r w:rsidRPr="00B55C19">
        <w:rPr>
          <w:bCs/>
        </w:rPr>
        <w:t xml:space="preserve"> M, Via </w:t>
      </w:r>
      <w:proofErr w:type="spellStart"/>
      <w:r w:rsidRPr="00B55C19">
        <w:rPr>
          <w:bCs/>
        </w:rPr>
        <w:t>Licio</w:t>
      </w:r>
      <w:proofErr w:type="spellEnd"/>
      <w:r w:rsidRPr="00B55C19">
        <w:rPr>
          <w:bCs/>
        </w:rPr>
        <w:t xml:space="preserve"> </w:t>
      </w:r>
      <w:proofErr w:type="spellStart"/>
      <w:r w:rsidRPr="00B55C19">
        <w:rPr>
          <w:bCs/>
        </w:rPr>
        <w:t>Giorgieri</w:t>
      </w:r>
      <w:proofErr w:type="spellEnd"/>
      <w:r w:rsidRPr="00B55C19">
        <w:rPr>
          <w:bCs/>
        </w:rPr>
        <w:t xml:space="preserve"> 10, Trieste</w:t>
      </w:r>
      <w:r>
        <w:rPr>
          <w:bCs/>
        </w:rPr>
        <w:t>,</w:t>
      </w:r>
      <w:r w:rsidRPr="00B55C19">
        <w:rPr>
          <w:bCs/>
        </w:rPr>
        <w:t xml:space="preserve"> Italy</w:t>
      </w:r>
    </w:p>
    <w:p w14:paraId="0944EAB0" w14:textId="77777777" w:rsidR="00F673B6" w:rsidRPr="00FA0D73" w:rsidRDefault="00F673B6" w:rsidP="00F673B6">
      <w:pPr>
        <w:spacing w:line="480" w:lineRule="auto"/>
        <w:jc w:val="both"/>
        <w:rPr>
          <w:rFonts w:cstheme="minorHAnsi"/>
        </w:rPr>
      </w:pPr>
      <w:r w:rsidRPr="00654548">
        <w:rPr>
          <w:rFonts w:cstheme="minorHAnsi"/>
        </w:rPr>
        <w:t>*Corresponding author: alessio.mortelliti@</w:t>
      </w:r>
      <w:r>
        <w:rPr>
          <w:rFonts w:cstheme="minorHAnsi"/>
        </w:rPr>
        <w:t>units</w:t>
      </w:r>
      <w:r w:rsidRPr="00654548">
        <w:rPr>
          <w:rFonts w:cstheme="minorHAnsi"/>
        </w:rPr>
        <w:t>.</w:t>
      </w:r>
      <w:r>
        <w:rPr>
          <w:rFonts w:cstheme="minorHAnsi"/>
        </w:rPr>
        <w:t>it</w:t>
      </w:r>
    </w:p>
    <w:p w14:paraId="5466FD59" w14:textId="77777777" w:rsidR="007E1C75" w:rsidRDefault="007E1C75" w:rsidP="002913D2">
      <w:pPr>
        <w:spacing w:line="480" w:lineRule="auto"/>
        <w:jc w:val="both"/>
      </w:pPr>
      <w:r>
        <w:br w:type="page"/>
      </w:r>
    </w:p>
    <w:p w14:paraId="028D3FC1" w14:textId="5FF743C8" w:rsidR="007E1C75" w:rsidRDefault="007E1C75" w:rsidP="00A17435">
      <w:pPr>
        <w:spacing w:after="0" w:line="480" w:lineRule="auto"/>
        <w:jc w:val="both"/>
      </w:pPr>
      <w:r w:rsidRPr="007E1C75">
        <w:rPr>
          <w:b/>
          <w:bCs/>
        </w:rPr>
        <w:lastRenderedPageBreak/>
        <w:t>Fig. S1</w:t>
      </w:r>
      <w:r>
        <w:t xml:space="preserve"> Probability of detecting the Togean Islands babirusa at least once (cumulative detection probability; p*) for 15 days (panel A; mean=0.982) and 21 days (panel B; mean=0.995).</w:t>
      </w:r>
      <w:r w:rsidR="00A17435">
        <w:t xml:space="preserve"> The p* of 15 and 21 days were relatively similar, indicating that surveys longer than 15 days are redundant.</w:t>
      </w:r>
      <w:r>
        <w:t xml:space="preserve"> Calculation of p* followed </w:t>
      </w:r>
      <w:sdt>
        <w:sdtPr>
          <w:tag w:val="MENDELEY_CITATION_v3_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"/>
          <w:id w:val="-1735226739"/>
          <w:placeholder>
            <w:docPart w:val="841E5668ED5F422B9BBD434AD619E1D9"/>
          </w:placeholder>
        </w:sdtPr>
        <w:sdtContent>
          <w:r w:rsidR="002913D2">
            <w:rPr>
              <w:rFonts w:eastAsia="Times New Roman"/>
            </w:rPr>
            <w:t>Mackenzie &amp; Royle (2005)</w:t>
          </w:r>
        </w:sdtContent>
      </w:sdt>
      <w:r>
        <w:t xml:space="preserve"> with initial detection probability from </w:t>
      </w:r>
      <w:sdt>
        <w:sdtPr>
          <w:tag w:val="MENDELEY_CITATION_v3_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"/>
          <w:id w:val="-228537738"/>
          <w:placeholder>
            <w:docPart w:val="841E5668ED5F422B9BBD434AD619E1D9"/>
          </w:placeholder>
        </w:sdtPr>
        <w:sdtContent>
          <w:r w:rsidR="00F715AB" w:rsidRPr="00F715AB">
            <w:t>Jati et al. (2024)</w:t>
          </w:r>
        </w:sdtContent>
      </w:sdt>
    </w:p>
    <w:p w14:paraId="1D546BD6" w14:textId="77777777" w:rsidR="002913D2" w:rsidRDefault="002913D2" w:rsidP="00A17435">
      <w:pPr>
        <w:spacing w:after="0" w:line="480" w:lineRule="auto"/>
        <w:jc w:val="both"/>
      </w:pPr>
    </w:p>
    <w:p w14:paraId="0CAA0BB7" w14:textId="1EEE4B34" w:rsidR="002913D2" w:rsidRDefault="002913D2" w:rsidP="00A17435">
      <w:pPr>
        <w:spacing w:after="0" w:line="480" w:lineRule="auto"/>
        <w:jc w:val="both"/>
      </w:pPr>
      <w:r w:rsidRPr="002913D2">
        <w:rPr>
          <w:b/>
          <w:bCs/>
        </w:rPr>
        <w:t>Fig. S</w:t>
      </w:r>
      <w:r>
        <w:rPr>
          <w:b/>
          <w:bCs/>
        </w:rPr>
        <w:t>2</w:t>
      </w:r>
      <w:r w:rsidRPr="002913D2">
        <w:t xml:space="preserve"> Required sampling efforts to detect </w:t>
      </w:r>
      <w:r w:rsidR="0058126A">
        <w:t xml:space="preserve">a decline in occupancy of the </w:t>
      </w:r>
      <w:r w:rsidRPr="002913D2">
        <w:t xml:space="preserve">Togean Islands babirusa’s (i.e., the spatial variation of occupancy probabilities was disregarded). Under this scenario, the camera stations should be distributed throughout the entire study area, regardless of the initial occupancy probabilities. Two camera traps are required per station. These sampling efforts were estimated through power analysis using the following parameters: power = 0.8, alpha = 0.1, number of survey days = 15, initial occupancy = 0.755 (predicted using </w:t>
      </w:r>
      <w:r w:rsidR="0058126A">
        <w:t xml:space="preserve">the null </w:t>
      </w:r>
      <w:r w:rsidRPr="002913D2">
        <w:t>occupancy model</w:t>
      </w:r>
      <w:r w:rsidR="0058126A">
        <w:t>, that is the model with constant occupancy across the range</w:t>
      </w:r>
      <w:r w:rsidRPr="002913D2">
        <w:t>), initial detectability = 0.298 (average detectability, predicted using detection model with island, proportion of pioneer vegetation within 4 km, and canopy openness as covariates), and effect sizes ranges from 0.15 to 0.5 (i.e., percent occupancy decline to be detected)</w:t>
      </w:r>
    </w:p>
    <w:p w14:paraId="1DE116A4" w14:textId="77777777" w:rsidR="00F715AB" w:rsidRDefault="00F715AB" w:rsidP="00A17435">
      <w:pPr>
        <w:spacing w:after="0" w:line="480" w:lineRule="auto"/>
        <w:jc w:val="both"/>
      </w:pPr>
    </w:p>
    <w:p w14:paraId="4826C6F2" w14:textId="4496DF7A" w:rsidR="002913D2" w:rsidRDefault="00F715AB" w:rsidP="00A17435">
      <w:pPr>
        <w:spacing w:after="0" w:line="480" w:lineRule="auto"/>
        <w:jc w:val="both"/>
      </w:pPr>
      <w:r w:rsidRPr="00F715AB">
        <w:rPr>
          <w:b/>
          <w:bCs/>
        </w:rPr>
        <w:t>Fig. S3</w:t>
      </w:r>
      <w:r>
        <w:t xml:space="preserve"> Comparison of required sampling efforts to detect the Togean babirusa occupancy decline in high occupancy (</w:t>
      </w:r>
      <w:r w:rsidR="00F673B6">
        <w:rPr>
          <w:rFonts w:cstheme="minorHAnsi"/>
        </w:rPr>
        <w:t>Ψ</w:t>
      </w:r>
      <w:r w:rsidR="00F673B6" w:rsidRPr="00F673B6">
        <w:t xml:space="preserve"> </w:t>
      </w:r>
      <w:r w:rsidR="00F673B6">
        <w:t xml:space="preserve">= </w:t>
      </w:r>
      <w:r w:rsidR="00F673B6" w:rsidRPr="00F673B6">
        <w:t>0.897 ± SD 0.044</w:t>
      </w:r>
      <w:r w:rsidR="00F673B6">
        <w:t xml:space="preserve">; </w:t>
      </w:r>
      <w:r>
        <w:t xml:space="preserve">panel </w:t>
      </w:r>
      <w:r w:rsidR="00F673B6">
        <w:t>a</w:t>
      </w:r>
      <w:r>
        <w:t>) and medium occupancy area (</w:t>
      </w:r>
      <w:r w:rsidR="00F673B6">
        <w:rPr>
          <w:rFonts w:cstheme="minorHAnsi"/>
        </w:rPr>
        <w:t>Ψ</w:t>
      </w:r>
      <w:r w:rsidR="00F673B6" w:rsidRPr="00F673B6">
        <w:t xml:space="preserve"> </w:t>
      </w:r>
      <w:r w:rsidR="00F673B6">
        <w:t xml:space="preserve">= </w:t>
      </w:r>
      <w:r w:rsidR="00F673B6" w:rsidRPr="00F673B6">
        <w:t>0.615 ± SD 0.111</w:t>
      </w:r>
      <w:r w:rsidR="00F673B6">
        <w:t xml:space="preserve">; </w:t>
      </w:r>
      <w:r>
        <w:t xml:space="preserve">panel </w:t>
      </w:r>
      <w:r w:rsidR="00F673B6">
        <w:t>b</w:t>
      </w:r>
      <w:r>
        <w:t xml:space="preserve">) using one vs. two camera traps per station. Only sampling efforts for high and medium occupancy areas are shown here. To estimate the required sampling efforts for surveys with only one camera per station, first, we randomly selected one camera trap of each station from Jati et al. (2024) and created the babirusa detection history using the new dataset. We run occupancy modeling following the same procedure with Jati et al. (2024), then used the estimated occupancy and detection probability to create </w:t>
      </w:r>
      <w:proofErr w:type="spellStart"/>
      <w:r>
        <w:t>rasters</w:t>
      </w:r>
      <w:proofErr w:type="spellEnd"/>
      <w:r>
        <w:t xml:space="preserve"> of the required sampling effort to detect occupancy decline of the Togean Islands babirusa following the procedure described in the main text. We masked the </w:t>
      </w:r>
      <w:proofErr w:type="spellStart"/>
      <w:r>
        <w:t>rasters</w:t>
      </w:r>
      <w:proofErr w:type="spellEnd"/>
      <w:r>
        <w:t xml:space="preserve"> with the monitoring area boundaries (Fig. 1 of the main text) in ArcGIS Pro and averaged the pixel values to get </w:t>
      </w:r>
      <w:r w:rsidRPr="00A032D7">
        <w:t>the estimate of required sampling effort per area group per effect size</w:t>
      </w:r>
      <w:r w:rsidR="002913D2">
        <w:br w:type="page"/>
      </w:r>
    </w:p>
    <w:p w14:paraId="0C49149E" w14:textId="0BCFB566" w:rsidR="002913D2" w:rsidRPr="002913D2" w:rsidRDefault="002913D2" w:rsidP="002913D2">
      <w:pPr>
        <w:spacing w:line="480" w:lineRule="auto"/>
        <w:jc w:val="both"/>
        <w:rPr>
          <w:b/>
          <w:bCs/>
        </w:rPr>
      </w:pPr>
      <w:r w:rsidRPr="002913D2">
        <w:rPr>
          <w:b/>
          <w:bCs/>
        </w:rPr>
        <w:lastRenderedPageBreak/>
        <w:t>Fig. S1</w:t>
      </w:r>
    </w:p>
    <w:p w14:paraId="7F4CF903" w14:textId="62052FCF" w:rsidR="002913D2" w:rsidRDefault="00671928" w:rsidP="002913D2">
      <w:pPr>
        <w:spacing w:line="480" w:lineRule="auto"/>
        <w:jc w:val="both"/>
      </w:pPr>
      <w:r>
        <w:rPr>
          <w:noProof/>
        </w:rPr>
        <w:drawing>
          <wp:inline distT="0" distB="0" distL="0" distR="0" wp14:anchorId="6C46DEE2" wp14:editId="031296FD">
            <wp:extent cx="5731510" cy="6439419"/>
            <wp:effectExtent l="0" t="0" r="2540" b="0"/>
            <wp:docPr id="2058497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9743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31510" cy="6439419"/>
                    </a:xfrm>
                    <a:prstGeom prst="rect">
                      <a:avLst/>
                    </a:prstGeom>
                    <a:noFill/>
                    <a:ln>
                      <a:noFill/>
                    </a:ln>
                  </pic:spPr>
                </pic:pic>
              </a:graphicData>
            </a:graphic>
          </wp:inline>
        </w:drawing>
      </w:r>
    </w:p>
    <w:p w14:paraId="5CE5D393" w14:textId="290BE9DB" w:rsidR="002913D2" w:rsidRDefault="002913D2" w:rsidP="002913D2">
      <w:pPr>
        <w:spacing w:line="480" w:lineRule="auto"/>
        <w:jc w:val="both"/>
      </w:pPr>
      <w:r>
        <w:br w:type="page"/>
      </w:r>
    </w:p>
    <w:p w14:paraId="4917411D" w14:textId="6A04639C" w:rsidR="002913D2" w:rsidRPr="002913D2" w:rsidRDefault="002913D2" w:rsidP="002913D2">
      <w:pPr>
        <w:spacing w:line="480" w:lineRule="auto"/>
        <w:jc w:val="both"/>
        <w:rPr>
          <w:b/>
          <w:bCs/>
        </w:rPr>
      </w:pPr>
      <w:r w:rsidRPr="002913D2">
        <w:rPr>
          <w:b/>
          <w:bCs/>
        </w:rPr>
        <w:lastRenderedPageBreak/>
        <w:t>Fig. S2</w:t>
      </w:r>
    </w:p>
    <w:p w14:paraId="607AA729" w14:textId="4A3AAB00" w:rsidR="002913D2" w:rsidRDefault="00671928" w:rsidP="002913D2">
      <w:pPr>
        <w:spacing w:line="480" w:lineRule="auto"/>
        <w:jc w:val="both"/>
      </w:pPr>
      <w:r>
        <w:rPr>
          <w:noProof/>
        </w:rPr>
        <w:drawing>
          <wp:inline distT="0" distB="0" distL="0" distR="0" wp14:anchorId="22D488A1" wp14:editId="293E4C93">
            <wp:extent cx="4167169" cy="4934607"/>
            <wp:effectExtent l="0" t="0" r="5080" b="0"/>
            <wp:docPr id="1574663189" name="Picture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63189" name="Picture 2" descr="A graph with a 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7963" cy="4947389"/>
                    </a:xfrm>
                    <a:prstGeom prst="rect">
                      <a:avLst/>
                    </a:prstGeom>
                    <a:noFill/>
                    <a:ln>
                      <a:noFill/>
                    </a:ln>
                  </pic:spPr>
                </pic:pic>
              </a:graphicData>
            </a:graphic>
          </wp:inline>
        </w:drawing>
      </w:r>
    </w:p>
    <w:p w14:paraId="2AB42ED9" w14:textId="19BEFD2D" w:rsidR="00F715AB" w:rsidRDefault="00F715AB" w:rsidP="002913D2">
      <w:pPr>
        <w:spacing w:line="480" w:lineRule="auto"/>
        <w:jc w:val="both"/>
      </w:pPr>
      <w:r>
        <w:br w:type="page"/>
      </w:r>
    </w:p>
    <w:p w14:paraId="4F035CD9" w14:textId="7D439003" w:rsidR="00F715AB" w:rsidRPr="00F715AB" w:rsidRDefault="00F715AB" w:rsidP="002913D2">
      <w:pPr>
        <w:spacing w:line="480" w:lineRule="auto"/>
        <w:jc w:val="both"/>
        <w:rPr>
          <w:b/>
          <w:bCs/>
        </w:rPr>
      </w:pPr>
      <w:r w:rsidRPr="00F715AB">
        <w:rPr>
          <w:b/>
          <w:bCs/>
        </w:rPr>
        <w:lastRenderedPageBreak/>
        <w:t>Fig. S3</w:t>
      </w:r>
    </w:p>
    <w:p w14:paraId="6BF7ECC7" w14:textId="60CA837D" w:rsidR="00F715AB" w:rsidRDefault="00F715AB" w:rsidP="002913D2">
      <w:pPr>
        <w:spacing w:line="480" w:lineRule="auto"/>
        <w:jc w:val="both"/>
      </w:pPr>
      <w:r>
        <w:rPr>
          <w:noProof/>
        </w:rPr>
        <w:drawing>
          <wp:inline distT="0" distB="0" distL="0" distR="0" wp14:anchorId="5423499F" wp14:editId="46815FA7">
            <wp:extent cx="5731510" cy="3786316"/>
            <wp:effectExtent l="0" t="0" r="2540" b="5080"/>
            <wp:docPr id="2059093565" name="Picture 1" descr="A graph of different types of camer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93565" name="Picture 1" descr="A graph of different types of cameras&#10;&#10;Description automatically generated with medium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l="2181" r="1441" b="2705"/>
                    <a:stretch/>
                  </pic:blipFill>
                  <pic:spPr bwMode="auto">
                    <a:xfrm>
                      <a:off x="0" y="0"/>
                      <a:ext cx="5731510" cy="3786316"/>
                    </a:xfrm>
                    <a:prstGeom prst="rect">
                      <a:avLst/>
                    </a:prstGeom>
                    <a:noFill/>
                    <a:ln>
                      <a:noFill/>
                    </a:ln>
                    <a:extLst>
                      <a:ext uri="{53640926-AAD7-44D8-BBD7-CCE9431645EC}">
                        <a14:shadowObscured xmlns:a14="http://schemas.microsoft.com/office/drawing/2010/main"/>
                      </a:ext>
                    </a:extLst>
                  </pic:spPr>
                </pic:pic>
              </a:graphicData>
            </a:graphic>
          </wp:inline>
        </w:drawing>
      </w:r>
    </w:p>
    <w:p w14:paraId="3AF68AF2" w14:textId="4B454545" w:rsidR="00F715AB" w:rsidRDefault="00F715AB" w:rsidP="002913D2">
      <w:pPr>
        <w:spacing w:line="480" w:lineRule="auto"/>
        <w:jc w:val="both"/>
      </w:pPr>
      <w:r>
        <w:br w:type="page"/>
      </w:r>
    </w:p>
    <w:p w14:paraId="3B7F4F78" w14:textId="40D6EF29" w:rsidR="00F715AB" w:rsidRPr="00F715AB" w:rsidRDefault="00F715AB" w:rsidP="00F715AB">
      <w:pPr>
        <w:spacing w:line="480" w:lineRule="auto"/>
        <w:jc w:val="both"/>
        <w:rPr>
          <w:b/>
          <w:bCs/>
        </w:rPr>
      </w:pPr>
      <w:r w:rsidRPr="00F715AB">
        <w:rPr>
          <w:b/>
          <w:bCs/>
        </w:rPr>
        <w:lastRenderedPageBreak/>
        <w:t>References</w:t>
      </w:r>
    </w:p>
    <w:sdt>
      <w:sdtPr>
        <w:tag w:val="MENDELEY_BIBLIOGRAPHY"/>
        <w:id w:val="-1520384276"/>
        <w:placeholder>
          <w:docPart w:val="DefaultPlaceholder_-1854013440"/>
        </w:placeholder>
      </w:sdtPr>
      <w:sdtContent>
        <w:p w14:paraId="43A26BFF" w14:textId="77777777" w:rsidR="00F715AB" w:rsidRDefault="00F715AB" w:rsidP="00F715AB">
          <w:pPr>
            <w:autoSpaceDE w:val="0"/>
            <w:autoSpaceDN w:val="0"/>
            <w:spacing w:line="480" w:lineRule="auto"/>
            <w:ind w:hanging="480"/>
            <w:divId w:val="1067530016"/>
            <w:rPr>
              <w:rFonts w:eastAsia="Times New Roman"/>
              <w:kern w:val="0"/>
              <w:sz w:val="24"/>
              <w:szCs w:val="24"/>
              <w14:ligatures w14:val="none"/>
            </w:rPr>
          </w:pPr>
          <w:r>
            <w:rPr>
              <w:rFonts w:eastAsia="Times New Roman"/>
            </w:rPr>
            <w:t xml:space="preserve">Jati AS, Broto BW, Dri GF, et al (2024) Conserving large mammals on small islands: A case study on one of the world’s most understudied pigs, the Togean islands babirusa. </w:t>
          </w:r>
          <w:proofErr w:type="spellStart"/>
          <w:r>
            <w:rPr>
              <w:rFonts w:eastAsia="Times New Roman"/>
            </w:rPr>
            <w:t>Biodivers</w:t>
          </w:r>
          <w:proofErr w:type="spellEnd"/>
          <w:r>
            <w:rPr>
              <w:rFonts w:eastAsia="Times New Roman"/>
            </w:rPr>
            <w:t xml:space="preserve"> </w:t>
          </w:r>
          <w:proofErr w:type="spellStart"/>
          <w:r>
            <w:rPr>
              <w:rFonts w:eastAsia="Times New Roman"/>
            </w:rPr>
            <w:t>Conserv</w:t>
          </w:r>
          <w:proofErr w:type="spellEnd"/>
          <w:r>
            <w:rPr>
              <w:rFonts w:eastAsia="Times New Roman"/>
            </w:rPr>
            <w:t>. https://doi.org/10.1007/s10531-024-02800-5</w:t>
          </w:r>
        </w:p>
        <w:p w14:paraId="4915DDB8" w14:textId="77777777" w:rsidR="00F715AB" w:rsidRDefault="00F715AB" w:rsidP="00F715AB">
          <w:pPr>
            <w:autoSpaceDE w:val="0"/>
            <w:autoSpaceDN w:val="0"/>
            <w:spacing w:line="480" w:lineRule="auto"/>
            <w:ind w:hanging="480"/>
            <w:divId w:val="823931399"/>
            <w:rPr>
              <w:rFonts w:eastAsia="Times New Roman"/>
            </w:rPr>
          </w:pPr>
          <w:r>
            <w:rPr>
              <w:rFonts w:eastAsia="Times New Roman"/>
            </w:rPr>
            <w:t>Mackenzie DI, Royle JA (2005) Designing occupancy studies: General advice and allocating survey effort. Journal of Applied Ecology 42:1105–1114. https://doi.org/10.1111/j.1365-2664.2005.01098.x</w:t>
          </w:r>
        </w:p>
        <w:p w14:paraId="665EA290" w14:textId="66E7ABA4" w:rsidR="00F715AB" w:rsidRDefault="00F715AB" w:rsidP="00F715AB">
          <w:pPr>
            <w:spacing w:line="480" w:lineRule="auto"/>
            <w:jc w:val="both"/>
          </w:pPr>
          <w:r>
            <w:rPr>
              <w:rFonts w:eastAsia="Times New Roman"/>
            </w:rPr>
            <w:t> </w:t>
          </w:r>
        </w:p>
      </w:sdtContent>
    </w:sdt>
    <w:sectPr w:rsidR="00F715AB" w:rsidSect="0067139B">
      <w:footerReference w:type="default" r:id="rId10"/>
      <w:pgSz w:w="11906" w:h="16838" w:code="9"/>
      <w:pgMar w:top="1440" w:right="1440" w:bottom="108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F136E" w14:textId="77777777" w:rsidR="00173AFF" w:rsidRDefault="00173AFF" w:rsidP="00A17435">
      <w:pPr>
        <w:spacing w:after="0" w:line="240" w:lineRule="auto"/>
      </w:pPr>
      <w:r>
        <w:separator/>
      </w:r>
    </w:p>
  </w:endnote>
  <w:endnote w:type="continuationSeparator" w:id="0">
    <w:p w14:paraId="03F788D8" w14:textId="77777777" w:rsidR="00173AFF" w:rsidRDefault="00173AFF" w:rsidP="00A1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42033" w14:textId="77777777" w:rsidR="00A17435" w:rsidRDefault="00A17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36E02" w14:textId="77777777" w:rsidR="00173AFF" w:rsidRDefault="00173AFF" w:rsidP="00A17435">
      <w:pPr>
        <w:spacing w:after="0" w:line="240" w:lineRule="auto"/>
      </w:pPr>
      <w:r>
        <w:separator/>
      </w:r>
    </w:p>
  </w:footnote>
  <w:footnote w:type="continuationSeparator" w:id="0">
    <w:p w14:paraId="24068AA8" w14:textId="77777777" w:rsidR="00173AFF" w:rsidRDefault="00173AFF" w:rsidP="00A174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0NjG1NLcwszC0NDJU0lEKTi0uzszPAykwqQUAfm6x4CwAAAA="/>
  </w:docVars>
  <w:rsids>
    <w:rsidRoot w:val="007E1C75"/>
    <w:rsid w:val="000E50F9"/>
    <w:rsid w:val="001426B9"/>
    <w:rsid w:val="00173AFF"/>
    <w:rsid w:val="002913D2"/>
    <w:rsid w:val="00573E31"/>
    <w:rsid w:val="0058126A"/>
    <w:rsid w:val="005B730F"/>
    <w:rsid w:val="006545F1"/>
    <w:rsid w:val="0067139B"/>
    <w:rsid w:val="00671928"/>
    <w:rsid w:val="006736D9"/>
    <w:rsid w:val="00777CAA"/>
    <w:rsid w:val="007E1C75"/>
    <w:rsid w:val="009B1A3A"/>
    <w:rsid w:val="00A17435"/>
    <w:rsid w:val="00A35849"/>
    <w:rsid w:val="00CC4ACD"/>
    <w:rsid w:val="00CE122A"/>
    <w:rsid w:val="00D76931"/>
    <w:rsid w:val="00E50A18"/>
    <w:rsid w:val="00F673B6"/>
    <w:rsid w:val="00F71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EA075"/>
  <w15:chartTrackingRefBased/>
  <w15:docId w15:val="{D144E038-BB27-4400-B9F5-CBD28099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C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C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E1C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E1C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1C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1C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E1C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C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C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C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C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E1C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E1C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1C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1C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E1C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E1C7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E1C75"/>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E1C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C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E1C75"/>
    <w:pPr>
      <w:spacing w:before="160"/>
      <w:jc w:val="center"/>
    </w:pPr>
    <w:rPr>
      <w:i/>
      <w:iCs/>
      <w:color w:val="404040" w:themeColor="text1" w:themeTint="BF"/>
    </w:rPr>
  </w:style>
  <w:style w:type="character" w:customStyle="1" w:styleId="QuoteChar">
    <w:name w:val="Quote Char"/>
    <w:basedOn w:val="DefaultParagraphFont"/>
    <w:link w:val="Quote"/>
    <w:uiPriority w:val="29"/>
    <w:rsid w:val="007E1C75"/>
    <w:rPr>
      <w:i/>
      <w:iCs/>
      <w:color w:val="404040" w:themeColor="text1" w:themeTint="BF"/>
    </w:rPr>
  </w:style>
  <w:style w:type="paragraph" w:styleId="ListParagraph">
    <w:name w:val="List Paragraph"/>
    <w:basedOn w:val="Normal"/>
    <w:uiPriority w:val="34"/>
    <w:qFormat/>
    <w:rsid w:val="007E1C75"/>
    <w:pPr>
      <w:ind w:left="720"/>
      <w:contextualSpacing/>
    </w:pPr>
  </w:style>
  <w:style w:type="character" w:styleId="IntenseEmphasis">
    <w:name w:val="Intense Emphasis"/>
    <w:basedOn w:val="DefaultParagraphFont"/>
    <w:uiPriority w:val="21"/>
    <w:qFormat/>
    <w:rsid w:val="007E1C75"/>
    <w:rPr>
      <w:i/>
      <w:iCs/>
      <w:color w:val="0F4761" w:themeColor="accent1" w:themeShade="BF"/>
    </w:rPr>
  </w:style>
  <w:style w:type="paragraph" w:styleId="IntenseQuote">
    <w:name w:val="Intense Quote"/>
    <w:basedOn w:val="Normal"/>
    <w:next w:val="Normal"/>
    <w:link w:val="IntenseQuoteChar"/>
    <w:uiPriority w:val="30"/>
    <w:qFormat/>
    <w:rsid w:val="007E1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C75"/>
    <w:rPr>
      <w:i/>
      <w:iCs/>
      <w:color w:val="0F4761" w:themeColor="accent1" w:themeShade="BF"/>
    </w:rPr>
  </w:style>
  <w:style w:type="character" w:styleId="IntenseReference">
    <w:name w:val="Intense Reference"/>
    <w:basedOn w:val="DefaultParagraphFont"/>
    <w:uiPriority w:val="32"/>
    <w:qFormat/>
    <w:rsid w:val="007E1C75"/>
    <w:rPr>
      <w:b/>
      <w:bCs/>
      <w:smallCaps/>
      <w:color w:val="0F4761" w:themeColor="accent1" w:themeShade="BF"/>
      <w:spacing w:val="5"/>
    </w:rPr>
  </w:style>
  <w:style w:type="character" w:styleId="LineNumber">
    <w:name w:val="line number"/>
    <w:basedOn w:val="DefaultParagraphFont"/>
    <w:uiPriority w:val="99"/>
    <w:semiHidden/>
    <w:unhideWhenUsed/>
    <w:rsid w:val="007E1C75"/>
  </w:style>
  <w:style w:type="character" w:styleId="PlaceholderText">
    <w:name w:val="Placeholder Text"/>
    <w:basedOn w:val="DefaultParagraphFont"/>
    <w:uiPriority w:val="99"/>
    <w:semiHidden/>
    <w:rsid w:val="00F715AB"/>
    <w:rPr>
      <w:color w:val="666666"/>
    </w:rPr>
  </w:style>
  <w:style w:type="paragraph" w:styleId="Header">
    <w:name w:val="header"/>
    <w:basedOn w:val="Normal"/>
    <w:link w:val="HeaderChar"/>
    <w:uiPriority w:val="99"/>
    <w:unhideWhenUsed/>
    <w:rsid w:val="00A17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35"/>
  </w:style>
  <w:style w:type="paragraph" w:styleId="Footer">
    <w:name w:val="footer"/>
    <w:basedOn w:val="Normal"/>
    <w:link w:val="FooterChar"/>
    <w:uiPriority w:val="99"/>
    <w:unhideWhenUsed/>
    <w:rsid w:val="00A17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35"/>
  </w:style>
  <w:style w:type="character" w:styleId="CommentReference">
    <w:name w:val="annotation reference"/>
    <w:basedOn w:val="DefaultParagraphFont"/>
    <w:uiPriority w:val="99"/>
    <w:semiHidden/>
    <w:unhideWhenUsed/>
    <w:rsid w:val="001426B9"/>
    <w:rPr>
      <w:sz w:val="16"/>
      <w:szCs w:val="16"/>
    </w:rPr>
  </w:style>
  <w:style w:type="paragraph" w:styleId="CommentText">
    <w:name w:val="annotation text"/>
    <w:basedOn w:val="Normal"/>
    <w:link w:val="CommentTextChar"/>
    <w:uiPriority w:val="99"/>
    <w:semiHidden/>
    <w:unhideWhenUsed/>
    <w:rsid w:val="001426B9"/>
    <w:pPr>
      <w:spacing w:line="240" w:lineRule="auto"/>
    </w:pPr>
    <w:rPr>
      <w:sz w:val="20"/>
      <w:szCs w:val="20"/>
    </w:rPr>
  </w:style>
  <w:style w:type="character" w:customStyle="1" w:styleId="CommentTextChar">
    <w:name w:val="Comment Text Char"/>
    <w:basedOn w:val="DefaultParagraphFont"/>
    <w:link w:val="CommentText"/>
    <w:uiPriority w:val="99"/>
    <w:semiHidden/>
    <w:rsid w:val="001426B9"/>
    <w:rPr>
      <w:sz w:val="20"/>
      <w:szCs w:val="20"/>
    </w:rPr>
  </w:style>
  <w:style w:type="paragraph" w:styleId="CommentSubject">
    <w:name w:val="annotation subject"/>
    <w:basedOn w:val="CommentText"/>
    <w:next w:val="CommentText"/>
    <w:link w:val="CommentSubjectChar"/>
    <w:uiPriority w:val="99"/>
    <w:semiHidden/>
    <w:unhideWhenUsed/>
    <w:rsid w:val="001426B9"/>
    <w:rPr>
      <w:b/>
      <w:bCs/>
    </w:rPr>
  </w:style>
  <w:style w:type="character" w:customStyle="1" w:styleId="CommentSubjectChar">
    <w:name w:val="Comment Subject Char"/>
    <w:basedOn w:val="CommentTextChar"/>
    <w:link w:val="CommentSubject"/>
    <w:uiPriority w:val="99"/>
    <w:semiHidden/>
    <w:rsid w:val="001426B9"/>
    <w:rPr>
      <w:b/>
      <w:bCs/>
      <w:sz w:val="20"/>
      <w:szCs w:val="20"/>
    </w:rPr>
  </w:style>
  <w:style w:type="paragraph" w:styleId="BalloonText">
    <w:name w:val="Balloon Text"/>
    <w:basedOn w:val="Normal"/>
    <w:link w:val="BalloonTextChar"/>
    <w:uiPriority w:val="99"/>
    <w:semiHidden/>
    <w:unhideWhenUsed/>
    <w:rsid w:val="00142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6B9"/>
    <w:rPr>
      <w:rFonts w:ascii="Segoe UI" w:hAnsi="Segoe UI" w:cs="Segoe UI"/>
      <w:sz w:val="18"/>
      <w:szCs w:val="18"/>
    </w:rPr>
  </w:style>
  <w:style w:type="paragraph" w:styleId="Revision">
    <w:name w:val="Revision"/>
    <w:hidden/>
    <w:uiPriority w:val="99"/>
    <w:semiHidden/>
    <w:rsid w:val="00F673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22485">
      <w:bodyDiv w:val="1"/>
      <w:marLeft w:val="0"/>
      <w:marRight w:val="0"/>
      <w:marTop w:val="0"/>
      <w:marBottom w:val="0"/>
      <w:divBdr>
        <w:top w:val="none" w:sz="0" w:space="0" w:color="auto"/>
        <w:left w:val="none" w:sz="0" w:space="0" w:color="auto"/>
        <w:bottom w:val="none" w:sz="0" w:space="0" w:color="auto"/>
        <w:right w:val="none" w:sz="0" w:space="0" w:color="auto"/>
      </w:divBdr>
    </w:div>
    <w:div w:id="371197457">
      <w:bodyDiv w:val="1"/>
      <w:marLeft w:val="0"/>
      <w:marRight w:val="0"/>
      <w:marTop w:val="0"/>
      <w:marBottom w:val="0"/>
      <w:divBdr>
        <w:top w:val="none" w:sz="0" w:space="0" w:color="auto"/>
        <w:left w:val="none" w:sz="0" w:space="0" w:color="auto"/>
        <w:bottom w:val="none" w:sz="0" w:space="0" w:color="auto"/>
        <w:right w:val="none" w:sz="0" w:space="0" w:color="auto"/>
      </w:divBdr>
    </w:div>
    <w:div w:id="594478906">
      <w:bodyDiv w:val="1"/>
      <w:marLeft w:val="0"/>
      <w:marRight w:val="0"/>
      <w:marTop w:val="0"/>
      <w:marBottom w:val="0"/>
      <w:divBdr>
        <w:top w:val="none" w:sz="0" w:space="0" w:color="auto"/>
        <w:left w:val="none" w:sz="0" w:space="0" w:color="auto"/>
        <w:bottom w:val="none" w:sz="0" w:space="0" w:color="auto"/>
        <w:right w:val="none" w:sz="0" w:space="0" w:color="auto"/>
      </w:divBdr>
    </w:div>
    <w:div w:id="768815387">
      <w:bodyDiv w:val="1"/>
      <w:marLeft w:val="0"/>
      <w:marRight w:val="0"/>
      <w:marTop w:val="0"/>
      <w:marBottom w:val="0"/>
      <w:divBdr>
        <w:top w:val="none" w:sz="0" w:space="0" w:color="auto"/>
        <w:left w:val="none" w:sz="0" w:space="0" w:color="auto"/>
        <w:bottom w:val="none" w:sz="0" w:space="0" w:color="auto"/>
        <w:right w:val="none" w:sz="0" w:space="0" w:color="auto"/>
      </w:divBdr>
    </w:div>
    <w:div w:id="1101531978">
      <w:bodyDiv w:val="1"/>
      <w:marLeft w:val="0"/>
      <w:marRight w:val="0"/>
      <w:marTop w:val="0"/>
      <w:marBottom w:val="0"/>
      <w:divBdr>
        <w:top w:val="none" w:sz="0" w:space="0" w:color="auto"/>
        <w:left w:val="none" w:sz="0" w:space="0" w:color="auto"/>
        <w:bottom w:val="none" w:sz="0" w:space="0" w:color="auto"/>
        <w:right w:val="none" w:sz="0" w:space="0" w:color="auto"/>
      </w:divBdr>
    </w:div>
    <w:div w:id="1382483030">
      <w:bodyDiv w:val="1"/>
      <w:marLeft w:val="0"/>
      <w:marRight w:val="0"/>
      <w:marTop w:val="0"/>
      <w:marBottom w:val="0"/>
      <w:divBdr>
        <w:top w:val="none" w:sz="0" w:space="0" w:color="auto"/>
        <w:left w:val="none" w:sz="0" w:space="0" w:color="auto"/>
        <w:bottom w:val="none" w:sz="0" w:space="0" w:color="auto"/>
        <w:right w:val="none" w:sz="0" w:space="0" w:color="auto"/>
      </w:divBdr>
      <w:divsChild>
        <w:div w:id="1067530016">
          <w:marLeft w:val="480"/>
          <w:marRight w:val="0"/>
          <w:marTop w:val="0"/>
          <w:marBottom w:val="0"/>
          <w:divBdr>
            <w:top w:val="none" w:sz="0" w:space="0" w:color="auto"/>
            <w:left w:val="none" w:sz="0" w:space="0" w:color="auto"/>
            <w:bottom w:val="none" w:sz="0" w:space="0" w:color="auto"/>
            <w:right w:val="none" w:sz="0" w:space="0" w:color="auto"/>
          </w:divBdr>
        </w:div>
        <w:div w:id="82393139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41E5668ED5F422B9BBD434AD619E1D9"/>
        <w:category>
          <w:name w:val="General"/>
          <w:gallery w:val="placeholder"/>
        </w:category>
        <w:types>
          <w:type w:val="bbPlcHdr"/>
        </w:types>
        <w:behaviors>
          <w:behavior w:val="content"/>
        </w:behaviors>
        <w:guid w:val="{99E34E3E-BAC5-4206-98DA-714B3E03A0DE}"/>
      </w:docPartPr>
      <w:docPartBody>
        <w:p w:rsidR="00B04EB9" w:rsidRDefault="001A5B8D" w:rsidP="001A5B8D">
          <w:pPr>
            <w:pStyle w:val="841E5668ED5F422B9BBD434AD619E1D9"/>
          </w:pPr>
          <w:r w:rsidRPr="00BA4AD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61170D6-7467-45A8-A40F-D45898A5B930}"/>
      </w:docPartPr>
      <w:docPartBody>
        <w:p w:rsidR="00B04EB9" w:rsidRDefault="001A5B8D">
          <w:r w:rsidRPr="000511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B8D"/>
    <w:rsid w:val="001A5B8D"/>
    <w:rsid w:val="00274CE2"/>
    <w:rsid w:val="00294046"/>
    <w:rsid w:val="006727DB"/>
    <w:rsid w:val="006F206F"/>
    <w:rsid w:val="00B04EB9"/>
    <w:rsid w:val="00B5431B"/>
    <w:rsid w:val="00CC4ACD"/>
    <w:rsid w:val="00F35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B8D"/>
    <w:rPr>
      <w:color w:val="666666"/>
    </w:rPr>
  </w:style>
  <w:style w:type="paragraph" w:customStyle="1" w:styleId="841E5668ED5F422B9BBD434AD619E1D9">
    <w:name w:val="841E5668ED5F422B9BBD434AD619E1D9"/>
    <w:rsid w:val="001A5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3CD531-4872-42E2-8510-A64E00EDD879}">
  <we:reference id="wa104382081" version="1.55.1.0" store="en-US" storeType="OMEX"/>
  <we:alternateReferences>
    <we:reference id="WA104382081" version="1.55.1.0" store="" storeType="OMEX"/>
  </we:alternateReferences>
  <we:properties>
    <we:property name="MENDELEY_CITATIONS" value="[{&quot;citationID&quot;:&quot;MENDELEY_CITATION_34a1a5bc-977e-46c8-9a56-a924ff6114d5&quot;,&quot;properties&quot;:{&quot;noteIndex&quot;:0},&quot;isEdited&quot;:false,&quot;manualOverride&quot;:{&quot;isManuallyOverridden&quot;:true,&quot;citeprocText&quot;:&quot;(Mackenzie and Royle 2005)&quot;,&quot;manualOverrideText&quot;:&quot;Mackenzie &amp; Royle (2005)&quot;},&quot;citationTag&quot;:&quot;MENDELEY_CITATION_v3_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&quot;,&quot;citationItems&quot;:[{&quot;id&quot;:&quot;2e676ca5-aef9-3baf-838e-09d76b124534&quot;,&quot;itemData&quot;:{&quot;type&quot;:&quot;article-journal&quot;,&quot;id&quot;:&quot;2e676ca5-aef9-3baf-838e-09d76b124534&quot;,&quot;title&quot;:&quot;Designing occupancy studies: General advice and allocating survey effort&quot;,&quot;author&quot;:[{&quot;family&quot;:&quot;Mackenzie&quot;,&quot;given&quot;:&quot;Darryl I.&quot;,&quot;parse-names&quot;:false,&quot;dropping-particle&quot;:&quot;&quot;,&quot;non-dropping-particle&quot;:&quot;&quot;},{&quot;family&quot;:&quot;Royle&quot;,&quot;given&quot;:&quot;J. Andrew&quot;,&quot;parse-names&quot;:false,&quot;dropping-particle&quot;:&quot;&quot;,&quot;non-dropping-particle&quot;:&quot;&quot;}],&quot;container-title&quot;:&quot;Journal of Applied Ecology&quot;,&quot;DOI&quot;:&quot;10.1111/j.1365-2664.2005.01098.x&quot;,&quot;ISSN&quot;:&quot;00218901&quot;,&quot;issued&quot;:{&quot;date-parts&quot;:[[2005]]},&quot;page&quot;:&quot;1105-1114&quot;,&quot;abstract&quot;:&quot;1. The fraction of sampling units in a landscape where a target species is present (occupancy) is an extensively used concept in ecology. Yet in many applications the species will not always be detected in a sampling unit even when present, resulting in biased estimates of occupancy. Given that sampling units are surveyed repeatedly within a relatively short timeframe, a number of similar methods have now been developed to provide unbiased occupancy estimates. However, practical guidance on the efficient design of occupancy studies has been lacking. 2. In this paper we comment on a number of general issues related to designing occupancy studies, including the need for clear objectives that are explicitly linked to science or management, selection of sampling units, timing of repeat surveys and allocation of survey effort. Advice on the number of repeat surveys per sampling unit is considered in terms of the variance of the occupancy estimator, for three possible study designs. 3. We recommend that sampling units should be surveyed a minimum of three times when detection probability is high (&gt; 0.5 survey-1), unless a removal design is used. 4. We found that an optimal removal design will generally be the most efficient, but we suggest it may be less robust to assumption violations than a standard design. 5. Our results suggest that for a rare species it is more efficient to survey more sampling units less intensively, while for a common species fewer sampling units should be surveyed more intensively. 6. Synthesis and applications. Reliable inferences can only result from quality data. To make the best use of logistical resources, study objectives must be clearly defined; sampling units must be selected, and repeated surveys timed appropriately; and a sufficient number of repeated surveys must be conducted. Failure to do so may compromise the integrity of the study. The guidance given here on study design issues is particularly applicable to studies of species occurrence and distribution, habitat selection and modelling, metapopulation studies and monitoring programmes. © 2005 British Ecological Society.&quot;,&quot;issue&quot;:&quot;6&quot;,&quot;volume&quot;:&quot;42&quot;,&quot;container-title-short&quot;:&quot;&quot;},&quot;isTemporary&quot;:false}]},{&quot;citationID&quot;:&quot;MENDELEY_CITATION_8f03449a-cb4b-4fe2-8567-8490e843e4ea&quot;,&quot;properties&quot;:{&quot;noteIndex&quot;:0},&quot;isEdited&quot;:false,&quot;manualOverride&quot;:{&quot;isManuallyOverridden&quot;:true,&quot;citeprocText&quot;:&quot;(Jati et al. 2024)&quot;,&quot;manualOverrideText&quot;:&quot;Jati et al. (2024)&quot;},&quot;citationItems&quot;:[{&quot;id&quot;:&quot;2efe1c7a-d5a1-3ba4-9d15-4ac2d4cb3249&quot;,&quot;itemData&quot;:{&quot;type&quot;:&quot;article-journal&quot;,&quot;id&quot;:&quot;2efe1c7a-d5a1-3ba4-9d15-4ac2d4cb3249&quot;,&quot;title&quot;:&quot;Conserving large mammals on small islands: A case study on one of the world’s most understudied pigs, the Togean islands babirusa&quot;,&quot;author&quot;:[{&quot;family&quot;:&quot;Jati&quot;,&quot;given&quot;:&quot;Agus Sudibyo&quot;,&quot;parse-names&quot;:false,&quot;dropping-particle&quot;:&quot;&quot;,&quot;non-dropping-particle&quot;:&quot;&quot;},{&quot;family&quot;:&quot;Broto&quot;,&quot;given&quot;:&quot;Bayu Wisnu&quot;,&quot;parse-names&quot;:false,&quot;dropping-particle&quot;:&quot;&quot;,&quot;non-dropping-particle&quot;:&quot;&quot;},{&quot;family&quot;:&quot;Dri&quot;,&quot;given&quot;:&quot;Gabriela Franzoi&quot;,&quot;parse-names&quot;:false,&quot;dropping-particle&quot;:&quot;&quot;,&quot;non-dropping-particle&quot;:&quot;&quot;},{&quot;family&quot;:&quot;Latifiana&quot;,&quot;given&quot;:&quot;Kurnia&quot;,&quot;parse-names&quot;:false,&quot;dropping-particle&quot;:&quot;&quot;,&quot;non-dropping-particle&quot;:&quot;&quot;},{&quot;family&quot;:&quot;Fraver&quot;,&quot;given&quot;:&quot;Shawn&quot;,&quot;parse-names&quot;:false,&quot;dropping-particle&quot;:&quot;&quot;,&quot;non-dropping-particle&quot;:&quot;&quot;},{&quot;family&quot;:&quot;Rejeki&quot;,&quot;given&quot;:&quot;Ikeu Sri&quot;,&quot;parse-names&quot;:false,&quot;dropping-particle&quot;:&quot;&quot;,&quot;non-dropping-particle&quot;:&quot;&quot;},{&quot;family&quot;:&quot;Bustang&quot;,&quot;given&quot;:&quot;&quot;,&quot;parse-names&quot;:false,&quot;dropping-particle&quot;:&quot;&quot;,&quot;non-dropping-particle&quot;:&quot;&quot;},{&quot;family&quot;:&quot;Mortelliti&quot;,&quot;given&quot;:&quot;Alessio&quot;,&quot;parse-names&quot;:false,&quot;dropping-particle&quot;:&quot;&quot;,&quot;non-dropping-particle&quot;:&quot;&quot;}],&quot;container-title&quot;:&quot;Biodiversity and Conservation&quot;,&quot;container-title-short&quot;:&quot;Biodivers Conserv&quot;,&quot;DOI&quot;:&quot;10.1007/s10531-024-02800-5&quot;,&quot;ISBN&quot;:&quot;1053102402&quot;,&quot;ISSN&quot;:&quot;0960-3115&quot;,&quot;URL&quot;:&quot;https://link.springer.com/10.1007/s10531-024-02800-5&quot;,&quot;issued&quot;:{&quot;date-parts&quot;:[[2024,2,9]]},&quot;abstract&quot;:&quot;Conserving large mammals on small islands poses a great challenge, given their high resource demand within the limited space available. The endangered Togean Islands babirusa ( Babyrousa togeanensis ) is one of these species, with a distribution range limited to four small islands in the Togean Archipelago, Indonesia. Despite being listed as endangered, very little information is available on the distribution and ecology of this species. To address this critical knowledge gap, we here report the first field-based ecological study of the Togean Islands babirusa across its entire distribution range. Following a stratified random sampling procedure, we distributed camera traps at 103 stations across four islands to collect data on the species distribution from July-October 2022. We performed an occupancy modeling analysis to assess the species’ habitat use, with various habitat features estimated through remote sensing and field measurements as covariates. We found that forest and mangrove availability over a large area positively influenced babirusa habitat selection. Babirusas only made use of agricultural areas when large forest areas were available nearby. Our results highlight the benefits of redesigning the national park area to accommodate babirusa habitat requirements, specifically by reassigning the non-forested park areas (about 30% of the park area) to non-protected forests currently outside the park boundary (about 50% of total forested area). Our case study exemplifies key challenges associated with conserving large mammals on small islands and highlights the importance of following an adaptive management approach, which in this case implies shifting 30% of the current protected area.&quot;},&quot;isTemporary&quot;:false}],&quot;citationTag&quot;:&quot;MENDELEY_CITATION_v3_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&quot;}]"/>
    <we:property name="MENDELEY_CITATIONS_LOCALE_CODE" value="&quot;en-US&quot;"/>
    <we:property name="MENDELEY_CITATIONS_STYLE" value="{&quot;id&quot;:&quot;https://www.zotero.org/styles/biodiversity-and-conservation&quot;,&quot;title&quot;:&quot;Biodiversity and Conservation&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E11D0-24F2-4728-A92E-D7D13450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6</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 Jati</dc:creator>
  <cp:keywords/>
  <dc:description/>
  <cp:lastModifiedBy>Agus Jati</cp:lastModifiedBy>
  <cp:revision>9</cp:revision>
  <dcterms:created xsi:type="dcterms:W3CDTF">2024-03-28T21:23:00Z</dcterms:created>
  <dcterms:modified xsi:type="dcterms:W3CDTF">2024-05-18T02:46:00Z</dcterms:modified>
</cp:coreProperties>
</file>