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9E240" w14:textId="681DBB50" w:rsidR="00B4037D" w:rsidRPr="00B109BD" w:rsidRDefault="0043725F">
      <w:pPr>
        <w:rPr>
          <w:rFonts w:ascii="Times New Roman" w:hAnsi="Times New Roman" w:cs="Times New Roman"/>
          <w:b/>
          <w:bCs/>
          <w:sz w:val="24"/>
          <w:szCs w:val="24"/>
        </w:rPr>
      </w:pPr>
      <w:r w:rsidRPr="00B109BD">
        <w:rPr>
          <w:rFonts w:ascii="Times New Roman" w:hAnsi="Times New Roman" w:cs="Times New Roman"/>
          <w:b/>
          <w:bCs/>
          <w:sz w:val="24"/>
          <w:szCs w:val="24"/>
        </w:rPr>
        <w:t xml:space="preserve">Table 1. </w:t>
      </w:r>
    </w:p>
    <w:p w14:paraId="5BECAEBE" w14:textId="560C0790" w:rsidR="0043725F" w:rsidRPr="00B109BD" w:rsidRDefault="0043725F">
      <w:pPr>
        <w:rPr>
          <w:rFonts w:ascii="Times New Roman" w:hAnsi="Times New Roman" w:cs="Times New Roman"/>
          <w:b/>
          <w:bCs/>
          <w:sz w:val="24"/>
          <w:szCs w:val="24"/>
        </w:rPr>
      </w:pPr>
      <w:r w:rsidRPr="00B109BD">
        <w:rPr>
          <w:rFonts w:ascii="Times New Roman" w:hAnsi="Times New Roman" w:cs="Times New Roman"/>
          <w:b/>
          <w:bCs/>
          <w:sz w:val="24"/>
          <w:szCs w:val="24"/>
        </w:rPr>
        <w:t xml:space="preserve"> Characteristics of critically ill patients </w:t>
      </w:r>
    </w:p>
    <w:tbl>
      <w:tblPr>
        <w:tblW w:w="8647" w:type="dxa"/>
        <w:tblInd w:w="-5" w:type="dxa"/>
        <w:tblLayout w:type="fixed"/>
        <w:tblLook w:val="04A0" w:firstRow="1" w:lastRow="0" w:firstColumn="1" w:lastColumn="0" w:noHBand="0" w:noVBand="1"/>
      </w:tblPr>
      <w:tblGrid>
        <w:gridCol w:w="1134"/>
        <w:gridCol w:w="1701"/>
        <w:gridCol w:w="426"/>
        <w:gridCol w:w="850"/>
        <w:gridCol w:w="992"/>
        <w:gridCol w:w="851"/>
        <w:gridCol w:w="236"/>
        <w:gridCol w:w="614"/>
        <w:gridCol w:w="212"/>
        <w:gridCol w:w="639"/>
        <w:gridCol w:w="177"/>
        <w:gridCol w:w="330"/>
        <w:gridCol w:w="485"/>
      </w:tblGrid>
      <w:tr w:rsidR="00873EE4" w:rsidRPr="00B109BD" w14:paraId="65780625" w14:textId="77777777" w:rsidTr="00E56286">
        <w:trPr>
          <w:trHeight w:val="239"/>
        </w:trPr>
        <w:tc>
          <w:tcPr>
            <w:tcW w:w="326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D09BF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 </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hideMark/>
          </w:tcPr>
          <w:p w14:paraId="15FC52C6" w14:textId="577C5E18"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Low risk</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00337D" w14:textId="63688958"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Total</w:t>
            </w:r>
          </w:p>
        </w:tc>
        <w:tc>
          <w:tcPr>
            <w:tcW w:w="1701" w:type="dxa"/>
            <w:gridSpan w:val="4"/>
            <w:tcBorders>
              <w:top w:val="single" w:sz="4" w:space="0" w:color="auto"/>
              <w:left w:val="nil"/>
              <w:bottom w:val="single" w:sz="4" w:space="0" w:color="auto"/>
              <w:right w:val="single" w:sz="4" w:space="0" w:color="auto"/>
            </w:tcBorders>
            <w:shd w:val="clear" w:color="000000" w:fill="FFFFFF"/>
            <w:vAlign w:val="center"/>
            <w:hideMark/>
          </w:tcPr>
          <w:p w14:paraId="3D1D79D3" w14:textId="032A5C98"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High risk</w:t>
            </w:r>
          </w:p>
        </w:tc>
        <w:tc>
          <w:tcPr>
            <w:tcW w:w="992"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D76DF1" w14:textId="164285CF"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Total</w:t>
            </w:r>
          </w:p>
        </w:tc>
      </w:tr>
      <w:tr w:rsidR="00380893" w:rsidRPr="00B109BD" w14:paraId="08C8C98F" w14:textId="77777777" w:rsidTr="00E56286">
        <w:trPr>
          <w:trHeight w:val="239"/>
        </w:trPr>
        <w:tc>
          <w:tcPr>
            <w:tcW w:w="3261" w:type="dxa"/>
            <w:gridSpan w:val="3"/>
            <w:vMerge/>
            <w:tcBorders>
              <w:top w:val="single" w:sz="4" w:space="0" w:color="auto"/>
              <w:left w:val="single" w:sz="4" w:space="0" w:color="auto"/>
              <w:bottom w:val="single" w:sz="4" w:space="0" w:color="auto"/>
              <w:right w:val="single" w:sz="4" w:space="0" w:color="auto"/>
            </w:tcBorders>
            <w:vAlign w:val="center"/>
            <w:hideMark/>
          </w:tcPr>
          <w:p w14:paraId="4890B04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850" w:type="dxa"/>
            <w:tcBorders>
              <w:top w:val="nil"/>
              <w:left w:val="nil"/>
              <w:bottom w:val="single" w:sz="4" w:space="0" w:color="auto"/>
              <w:right w:val="single" w:sz="4" w:space="0" w:color="auto"/>
            </w:tcBorders>
            <w:shd w:val="clear" w:color="000000" w:fill="FFFFFF"/>
            <w:vAlign w:val="center"/>
            <w:hideMark/>
          </w:tcPr>
          <w:p w14:paraId="71C770C7" w14:textId="07245FD4"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&lt; 600 k</w:t>
            </w:r>
            <w:r w:rsidR="00216EE5" w:rsidRPr="00B109BD">
              <w:rPr>
                <w:rFonts w:ascii="Times New Roman" w:eastAsia="Times New Roman" w:hAnsi="Times New Roman" w:cs="Times New Roman"/>
                <w:kern w:val="0"/>
                <w:sz w:val="18"/>
                <w:szCs w:val="18"/>
                <w14:ligatures w14:val="none"/>
              </w:rPr>
              <w:t>c</w:t>
            </w:r>
            <w:r w:rsidRPr="00B109BD">
              <w:rPr>
                <w:rFonts w:ascii="Times New Roman" w:eastAsia="Times New Roman" w:hAnsi="Times New Roman" w:cs="Times New Roman"/>
                <w:kern w:val="0"/>
                <w:sz w:val="18"/>
                <w:szCs w:val="18"/>
                <w14:ligatures w14:val="none"/>
              </w:rPr>
              <w:t>al</w:t>
            </w:r>
          </w:p>
        </w:tc>
        <w:tc>
          <w:tcPr>
            <w:tcW w:w="992" w:type="dxa"/>
            <w:tcBorders>
              <w:top w:val="nil"/>
              <w:left w:val="nil"/>
              <w:bottom w:val="single" w:sz="4" w:space="0" w:color="auto"/>
              <w:right w:val="single" w:sz="4" w:space="0" w:color="auto"/>
            </w:tcBorders>
            <w:shd w:val="clear" w:color="000000" w:fill="FFFFFF"/>
            <w:vAlign w:val="center"/>
            <w:hideMark/>
          </w:tcPr>
          <w:p w14:paraId="0B3E6C18" w14:textId="6C1093B3"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 600 k</w:t>
            </w:r>
            <w:r w:rsidR="00216EE5" w:rsidRPr="00B109BD">
              <w:rPr>
                <w:rFonts w:ascii="Times New Roman" w:eastAsia="Times New Roman" w:hAnsi="Times New Roman" w:cs="Times New Roman"/>
                <w:kern w:val="0"/>
                <w:sz w:val="18"/>
                <w:szCs w:val="18"/>
                <w14:ligatures w14:val="none"/>
              </w:rPr>
              <w:t>c</w:t>
            </w:r>
            <w:r w:rsidRPr="00B109BD">
              <w:rPr>
                <w:rFonts w:ascii="Times New Roman" w:eastAsia="Times New Roman" w:hAnsi="Times New Roman" w:cs="Times New Roman"/>
                <w:kern w:val="0"/>
                <w:sz w:val="18"/>
                <w:szCs w:val="18"/>
                <w14:ligatures w14:val="none"/>
              </w:rPr>
              <w:t>al</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4C59A79"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850" w:type="dxa"/>
            <w:gridSpan w:val="2"/>
            <w:tcBorders>
              <w:top w:val="nil"/>
              <w:left w:val="nil"/>
              <w:bottom w:val="single" w:sz="4" w:space="0" w:color="auto"/>
              <w:right w:val="single" w:sz="4" w:space="0" w:color="auto"/>
            </w:tcBorders>
            <w:shd w:val="clear" w:color="000000" w:fill="FFFFFF"/>
            <w:vAlign w:val="center"/>
            <w:hideMark/>
          </w:tcPr>
          <w:p w14:paraId="0CE4539B" w14:textId="1E97ABE5"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&lt; 600 k</w:t>
            </w:r>
            <w:r w:rsidR="00216EE5" w:rsidRPr="00B109BD">
              <w:rPr>
                <w:rFonts w:ascii="Times New Roman" w:eastAsia="Times New Roman" w:hAnsi="Times New Roman" w:cs="Times New Roman"/>
                <w:kern w:val="0"/>
                <w:sz w:val="18"/>
                <w:szCs w:val="18"/>
                <w14:ligatures w14:val="none"/>
              </w:rPr>
              <w:t>c</w:t>
            </w:r>
            <w:r w:rsidRPr="00B109BD">
              <w:rPr>
                <w:rFonts w:ascii="Times New Roman" w:eastAsia="Times New Roman" w:hAnsi="Times New Roman" w:cs="Times New Roman"/>
                <w:kern w:val="0"/>
                <w:sz w:val="18"/>
                <w:szCs w:val="18"/>
                <w14:ligatures w14:val="none"/>
              </w:rPr>
              <w:t>al</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E6825CB" w14:textId="0DBE77ED"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 600 k</w:t>
            </w:r>
            <w:r w:rsidR="00216EE5" w:rsidRPr="00B109BD">
              <w:rPr>
                <w:rFonts w:ascii="Times New Roman" w:eastAsia="Times New Roman" w:hAnsi="Times New Roman" w:cs="Times New Roman"/>
                <w:kern w:val="0"/>
                <w:sz w:val="18"/>
                <w:szCs w:val="18"/>
                <w14:ligatures w14:val="none"/>
              </w:rPr>
              <w:t>c</w:t>
            </w:r>
            <w:r w:rsidRPr="00B109BD">
              <w:rPr>
                <w:rFonts w:ascii="Times New Roman" w:eastAsia="Times New Roman" w:hAnsi="Times New Roman" w:cs="Times New Roman"/>
                <w:kern w:val="0"/>
                <w:sz w:val="18"/>
                <w:szCs w:val="18"/>
                <w14:ligatures w14:val="none"/>
              </w:rPr>
              <w:t>al</w:t>
            </w: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14:paraId="6C7EB755"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r>
      <w:tr w:rsidR="00873EE4" w:rsidRPr="00B109BD" w14:paraId="01FFDE4F" w14:textId="77777777" w:rsidTr="00E56286">
        <w:trPr>
          <w:trHeight w:val="239"/>
        </w:trPr>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91E8F" w14:textId="2BCA12ED"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Education</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622DA" w14:textId="6FEAAE0A"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Not educated</w:t>
            </w:r>
          </w:p>
        </w:tc>
        <w:tc>
          <w:tcPr>
            <w:tcW w:w="426" w:type="dxa"/>
            <w:tcBorders>
              <w:top w:val="nil"/>
              <w:left w:val="nil"/>
              <w:bottom w:val="single" w:sz="4" w:space="0" w:color="auto"/>
              <w:right w:val="single" w:sz="4" w:space="0" w:color="auto"/>
            </w:tcBorders>
            <w:shd w:val="clear" w:color="000000" w:fill="FFFFFF"/>
            <w:vAlign w:val="center"/>
            <w:hideMark/>
          </w:tcPr>
          <w:p w14:paraId="60B3C2E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6B4A3E7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w:t>
            </w:r>
          </w:p>
        </w:tc>
        <w:tc>
          <w:tcPr>
            <w:tcW w:w="992" w:type="dxa"/>
            <w:tcBorders>
              <w:top w:val="nil"/>
              <w:left w:val="nil"/>
              <w:bottom w:val="single" w:sz="4" w:space="0" w:color="auto"/>
              <w:right w:val="single" w:sz="4" w:space="0" w:color="auto"/>
            </w:tcBorders>
            <w:shd w:val="clear" w:color="000000" w:fill="FFFFFF"/>
            <w:noWrap/>
            <w:vAlign w:val="center"/>
            <w:hideMark/>
          </w:tcPr>
          <w:p w14:paraId="1A4A32F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2B9122E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B8ADE3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97B46B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5953809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r>
      <w:tr w:rsidR="00873EE4" w:rsidRPr="00B109BD" w14:paraId="2A6784A4"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5000209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2FEF1AEC"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2E8A6F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3259A29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3.2%</w:t>
            </w:r>
          </w:p>
        </w:tc>
        <w:tc>
          <w:tcPr>
            <w:tcW w:w="992" w:type="dxa"/>
            <w:tcBorders>
              <w:top w:val="nil"/>
              <w:left w:val="nil"/>
              <w:bottom w:val="single" w:sz="4" w:space="0" w:color="auto"/>
              <w:right w:val="single" w:sz="4" w:space="0" w:color="auto"/>
            </w:tcBorders>
            <w:shd w:val="clear" w:color="000000" w:fill="FFFFFF"/>
            <w:noWrap/>
            <w:vAlign w:val="center"/>
            <w:hideMark/>
          </w:tcPr>
          <w:p w14:paraId="33BFBE1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4.3%</w:t>
            </w:r>
          </w:p>
        </w:tc>
        <w:tc>
          <w:tcPr>
            <w:tcW w:w="851" w:type="dxa"/>
            <w:tcBorders>
              <w:top w:val="nil"/>
              <w:left w:val="nil"/>
              <w:bottom w:val="single" w:sz="4" w:space="0" w:color="auto"/>
              <w:right w:val="single" w:sz="4" w:space="0" w:color="auto"/>
            </w:tcBorders>
            <w:shd w:val="clear" w:color="000000" w:fill="FFFFFF"/>
            <w:noWrap/>
            <w:vAlign w:val="center"/>
            <w:hideMark/>
          </w:tcPr>
          <w:p w14:paraId="5DED836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3.7%</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8A8BCC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C5FF09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79DD52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3.1%</w:t>
            </w:r>
          </w:p>
        </w:tc>
      </w:tr>
      <w:tr w:rsidR="00873EE4" w:rsidRPr="00B109BD" w14:paraId="27257BD1"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6058440B"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374A3D" w14:textId="17986944" w:rsidR="00873EE4" w:rsidRPr="00B109BD" w:rsidRDefault="00873EE4" w:rsidP="00380893">
            <w:pPr>
              <w:spacing w:after="0" w:line="240" w:lineRule="auto"/>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Elementary</w:t>
            </w:r>
            <w:r w:rsidR="00380893" w:rsidRPr="00B109BD">
              <w:rPr>
                <w:rFonts w:ascii="Times New Roman" w:eastAsia="Times New Roman" w:hAnsi="Times New Roman" w:cs="Times New Roman"/>
                <w:kern w:val="0"/>
                <w:sz w:val="18"/>
                <w:szCs w:val="18"/>
                <w14:ligatures w14:val="none"/>
              </w:rPr>
              <w:t xml:space="preserve"> </w:t>
            </w:r>
            <w:r w:rsidRPr="00B109BD">
              <w:rPr>
                <w:rFonts w:ascii="Times New Roman" w:eastAsia="Times New Roman" w:hAnsi="Times New Roman" w:cs="Times New Roman"/>
                <w:kern w:val="0"/>
                <w:sz w:val="18"/>
                <w:szCs w:val="18"/>
                <w14:ligatures w14:val="none"/>
              </w:rPr>
              <w:t>school</w:t>
            </w:r>
          </w:p>
        </w:tc>
        <w:tc>
          <w:tcPr>
            <w:tcW w:w="426" w:type="dxa"/>
            <w:tcBorders>
              <w:top w:val="nil"/>
              <w:left w:val="nil"/>
              <w:bottom w:val="single" w:sz="4" w:space="0" w:color="auto"/>
              <w:right w:val="single" w:sz="4" w:space="0" w:color="auto"/>
            </w:tcBorders>
            <w:shd w:val="clear" w:color="000000" w:fill="FFFFFF"/>
            <w:vAlign w:val="center"/>
            <w:hideMark/>
          </w:tcPr>
          <w:p w14:paraId="2527E3B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0658EB3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23</w:t>
            </w:r>
          </w:p>
        </w:tc>
        <w:tc>
          <w:tcPr>
            <w:tcW w:w="992" w:type="dxa"/>
            <w:tcBorders>
              <w:top w:val="nil"/>
              <w:left w:val="nil"/>
              <w:bottom w:val="single" w:sz="4" w:space="0" w:color="auto"/>
              <w:right w:val="single" w:sz="4" w:space="0" w:color="auto"/>
            </w:tcBorders>
            <w:shd w:val="clear" w:color="000000" w:fill="FFFFFF"/>
            <w:noWrap/>
            <w:vAlign w:val="center"/>
            <w:hideMark/>
          </w:tcPr>
          <w:p w14:paraId="1C441B6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7BDC45B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41</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FBF666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CC84FD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4BABBD7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r>
      <w:tr w:rsidR="00873EE4" w:rsidRPr="00B109BD" w14:paraId="35ABD438"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640BD00C"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3439555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168CDE6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353CD46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18.5%</w:t>
            </w:r>
          </w:p>
        </w:tc>
        <w:tc>
          <w:tcPr>
            <w:tcW w:w="992" w:type="dxa"/>
            <w:tcBorders>
              <w:top w:val="nil"/>
              <w:left w:val="nil"/>
              <w:bottom w:val="single" w:sz="4" w:space="0" w:color="auto"/>
              <w:right w:val="single" w:sz="4" w:space="0" w:color="auto"/>
            </w:tcBorders>
            <w:shd w:val="clear" w:color="000000" w:fill="FFFFFF"/>
            <w:noWrap/>
            <w:vAlign w:val="center"/>
            <w:hideMark/>
          </w:tcPr>
          <w:p w14:paraId="79AE76F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19.1%</w:t>
            </w:r>
          </w:p>
        </w:tc>
        <w:tc>
          <w:tcPr>
            <w:tcW w:w="851" w:type="dxa"/>
            <w:tcBorders>
              <w:top w:val="nil"/>
              <w:left w:val="nil"/>
              <w:bottom w:val="single" w:sz="4" w:space="0" w:color="auto"/>
              <w:right w:val="single" w:sz="4" w:space="0" w:color="auto"/>
            </w:tcBorders>
            <w:shd w:val="clear" w:color="000000" w:fill="FFFFFF"/>
            <w:noWrap/>
            <w:vAlign w:val="center"/>
            <w:hideMark/>
          </w:tcPr>
          <w:p w14:paraId="35160CD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0FACE35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69AC67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26.7%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2ABD9E9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18.8%</w:t>
            </w:r>
          </w:p>
        </w:tc>
      </w:tr>
      <w:tr w:rsidR="00873EE4" w:rsidRPr="00B109BD" w14:paraId="10E21F60"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1BF925DD"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2E47A2" w14:textId="0B09D92F"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Junior high school</w:t>
            </w:r>
          </w:p>
        </w:tc>
        <w:tc>
          <w:tcPr>
            <w:tcW w:w="426" w:type="dxa"/>
            <w:tcBorders>
              <w:top w:val="nil"/>
              <w:left w:val="nil"/>
              <w:bottom w:val="single" w:sz="4" w:space="0" w:color="auto"/>
              <w:right w:val="single" w:sz="4" w:space="0" w:color="auto"/>
            </w:tcBorders>
            <w:shd w:val="clear" w:color="000000" w:fill="FFFFFF"/>
            <w:vAlign w:val="center"/>
            <w:hideMark/>
          </w:tcPr>
          <w:p w14:paraId="4A7EDC1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7FCED1D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w:t>
            </w:r>
          </w:p>
        </w:tc>
        <w:tc>
          <w:tcPr>
            <w:tcW w:w="992" w:type="dxa"/>
            <w:tcBorders>
              <w:top w:val="nil"/>
              <w:left w:val="nil"/>
              <w:bottom w:val="single" w:sz="4" w:space="0" w:color="auto"/>
              <w:right w:val="single" w:sz="4" w:space="0" w:color="auto"/>
            </w:tcBorders>
            <w:shd w:val="clear" w:color="000000" w:fill="FFFFFF"/>
            <w:noWrap/>
            <w:vAlign w:val="center"/>
            <w:hideMark/>
          </w:tcPr>
          <w:p w14:paraId="3C563E9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w:t>
            </w:r>
          </w:p>
        </w:tc>
        <w:tc>
          <w:tcPr>
            <w:tcW w:w="851" w:type="dxa"/>
            <w:tcBorders>
              <w:top w:val="nil"/>
              <w:left w:val="nil"/>
              <w:bottom w:val="single" w:sz="4" w:space="0" w:color="auto"/>
              <w:right w:val="single" w:sz="4" w:space="0" w:color="auto"/>
            </w:tcBorders>
            <w:shd w:val="clear" w:color="000000" w:fill="FFFFFF"/>
            <w:noWrap/>
            <w:vAlign w:val="center"/>
            <w:hideMark/>
          </w:tcPr>
          <w:p w14:paraId="53ABF3F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23</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870313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1D0C9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5C79794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r>
      <w:tr w:rsidR="00873EE4" w:rsidRPr="00B109BD" w14:paraId="0FE72A5F"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4DDA5514"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BFECABD"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8B492C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26F6EC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8.1%</w:t>
            </w:r>
          </w:p>
        </w:tc>
        <w:tc>
          <w:tcPr>
            <w:tcW w:w="992" w:type="dxa"/>
            <w:tcBorders>
              <w:top w:val="nil"/>
              <w:left w:val="nil"/>
              <w:bottom w:val="single" w:sz="4" w:space="0" w:color="auto"/>
              <w:right w:val="single" w:sz="4" w:space="0" w:color="auto"/>
            </w:tcBorders>
            <w:shd w:val="clear" w:color="000000" w:fill="FFFFFF"/>
            <w:noWrap/>
            <w:vAlign w:val="center"/>
            <w:hideMark/>
          </w:tcPr>
          <w:p w14:paraId="57FA832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13.8%</w:t>
            </w:r>
          </w:p>
        </w:tc>
        <w:tc>
          <w:tcPr>
            <w:tcW w:w="851" w:type="dxa"/>
            <w:tcBorders>
              <w:top w:val="nil"/>
              <w:left w:val="nil"/>
              <w:bottom w:val="single" w:sz="4" w:space="0" w:color="auto"/>
              <w:right w:val="single" w:sz="4" w:space="0" w:color="auto"/>
            </w:tcBorders>
            <w:shd w:val="clear" w:color="000000" w:fill="FFFFFF"/>
            <w:noWrap/>
            <w:vAlign w:val="center"/>
            <w:hideMark/>
          </w:tcPr>
          <w:p w14:paraId="4085DFA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10.6%</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EEEC72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29.4%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95BBBA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3F39BE7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21.9%</w:t>
            </w:r>
          </w:p>
        </w:tc>
      </w:tr>
      <w:tr w:rsidR="00873EE4" w:rsidRPr="00B109BD" w14:paraId="26C62A99"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32513642"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9B6135" w14:textId="2A360A08" w:rsidR="00873EE4" w:rsidRPr="00B109BD" w:rsidRDefault="00380893"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Senior high school</w:t>
            </w:r>
          </w:p>
        </w:tc>
        <w:tc>
          <w:tcPr>
            <w:tcW w:w="426" w:type="dxa"/>
            <w:tcBorders>
              <w:top w:val="nil"/>
              <w:left w:val="nil"/>
              <w:bottom w:val="single" w:sz="4" w:space="0" w:color="auto"/>
              <w:right w:val="single" w:sz="4" w:space="0" w:color="auto"/>
            </w:tcBorders>
            <w:shd w:val="clear" w:color="000000" w:fill="FFFFFF"/>
            <w:vAlign w:val="center"/>
            <w:hideMark/>
          </w:tcPr>
          <w:p w14:paraId="13ED294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0C55B94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49</w:t>
            </w:r>
          </w:p>
        </w:tc>
        <w:tc>
          <w:tcPr>
            <w:tcW w:w="992" w:type="dxa"/>
            <w:tcBorders>
              <w:top w:val="nil"/>
              <w:left w:val="nil"/>
              <w:bottom w:val="single" w:sz="4" w:space="0" w:color="auto"/>
              <w:right w:val="single" w:sz="4" w:space="0" w:color="auto"/>
            </w:tcBorders>
            <w:shd w:val="clear" w:color="000000" w:fill="FFFFFF"/>
            <w:noWrap/>
            <w:vAlign w:val="center"/>
            <w:hideMark/>
          </w:tcPr>
          <w:p w14:paraId="4FB09D0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35</w:t>
            </w:r>
          </w:p>
        </w:tc>
        <w:tc>
          <w:tcPr>
            <w:tcW w:w="851" w:type="dxa"/>
            <w:tcBorders>
              <w:top w:val="nil"/>
              <w:left w:val="nil"/>
              <w:bottom w:val="single" w:sz="4" w:space="0" w:color="auto"/>
              <w:right w:val="single" w:sz="4" w:space="0" w:color="auto"/>
            </w:tcBorders>
            <w:shd w:val="clear" w:color="000000" w:fill="FFFFFF"/>
            <w:noWrap/>
            <w:vAlign w:val="center"/>
            <w:hideMark/>
          </w:tcPr>
          <w:p w14:paraId="4584C1A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84</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045898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6B95CD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02AFC9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w:t>
            </w:r>
          </w:p>
        </w:tc>
      </w:tr>
      <w:tr w:rsidR="00873EE4" w:rsidRPr="00B109BD" w14:paraId="1AE40A95"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1B5D036E"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5A59504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2F68976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A85BA7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39.5%</w:t>
            </w:r>
          </w:p>
        </w:tc>
        <w:tc>
          <w:tcPr>
            <w:tcW w:w="992" w:type="dxa"/>
            <w:tcBorders>
              <w:top w:val="nil"/>
              <w:left w:val="nil"/>
              <w:bottom w:val="single" w:sz="4" w:space="0" w:color="auto"/>
              <w:right w:val="single" w:sz="4" w:space="0" w:color="auto"/>
            </w:tcBorders>
            <w:shd w:val="clear" w:color="000000" w:fill="FFFFFF"/>
            <w:noWrap/>
            <w:vAlign w:val="center"/>
            <w:hideMark/>
          </w:tcPr>
          <w:p w14:paraId="5750265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37.2%</w:t>
            </w:r>
          </w:p>
        </w:tc>
        <w:tc>
          <w:tcPr>
            <w:tcW w:w="851" w:type="dxa"/>
            <w:tcBorders>
              <w:top w:val="nil"/>
              <w:left w:val="nil"/>
              <w:bottom w:val="single" w:sz="4" w:space="0" w:color="auto"/>
              <w:right w:val="single" w:sz="4" w:space="0" w:color="auto"/>
            </w:tcBorders>
            <w:shd w:val="clear" w:color="000000" w:fill="FFFFFF"/>
            <w:noWrap/>
            <w:vAlign w:val="center"/>
            <w:hideMark/>
          </w:tcPr>
          <w:p w14:paraId="38DC157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38.5%</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B943D6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105018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1818286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12.5%</w:t>
            </w:r>
          </w:p>
        </w:tc>
      </w:tr>
      <w:tr w:rsidR="00873EE4" w:rsidRPr="00B109BD" w14:paraId="2066F6F2"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3976AE1A"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01E939" w14:textId="6927CD77" w:rsidR="00873EE4" w:rsidRPr="00B109BD" w:rsidRDefault="00380893"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College</w:t>
            </w:r>
          </w:p>
        </w:tc>
        <w:tc>
          <w:tcPr>
            <w:tcW w:w="426" w:type="dxa"/>
            <w:tcBorders>
              <w:top w:val="nil"/>
              <w:left w:val="nil"/>
              <w:bottom w:val="single" w:sz="4" w:space="0" w:color="auto"/>
              <w:right w:val="single" w:sz="4" w:space="0" w:color="auto"/>
            </w:tcBorders>
            <w:shd w:val="clear" w:color="000000" w:fill="FFFFFF"/>
            <w:vAlign w:val="center"/>
            <w:hideMark/>
          </w:tcPr>
          <w:p w14:paraId="795CF80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7EA36FC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38</w:t>
            </w:r>
          </w:p>
        </w:tc>
        <w:tc>
          <w:tcPr>
            <w:tcW w:w="992" w:type="dxa"/>
            <w:tcBorders>
              <w:top w:val="nil"/>
              <w:left w:val="nil"/>
              <w:bottom w:val="single" w:sz="4" w:space="0" w:color="auto"/>
              <w:right w:val="single" w:sz="4" w:space="0" w:color="auto"/>
            </w:tcBorders>
            <w:shd w:val="clear" w:color="000000" w:fill="FFFFFF"/>
            <w:noWrap/>
            <w:vAlign w:val="center"/>
            <w:hideMark/>
          </w:tcPr>
          <w:p w14:paraId="5F049D6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24</w:t>
            </w:r>
          </w:p>
        </w:tc>
        <w:tc>
          <w:tcPr>
            <w:tcW w:w="851" w:type="dxa"/>
            <w:tcBorders>
              <w:top w:val="nil"/>
              <w:left w:val="nil"/>
              <w:bottom w:val="single" w:sz="4" w:space="0" w:color="auto"/>
              <w:right w:val="single" w:sz="4" w:space="0" w:color="auto"/>
            </w:tcBorders>
            <w:shd w:val="clear" w:color="000000" w:fill="FFFFFF"/>
            <w:noWrap/>
            <w:vAlign w:val="center"/>
            <w:hideMark/>
          </w:tcPr>
          <w:p w14:paraId="4F167BF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62</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575DD6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5BB62F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20D0F14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14</w:t>
            </w:r>
          </w:p>
        </w:tc>
      </w:tr>
      <w:tr w:rsidR="00873EE4" w:rsidRPr="00B109BD" w14:paraId="2AD5CB26"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291C6AB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237EA24"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761E4F3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03D2505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30.6%</w:t>
            </w:r>
          </w:p>
        </w:tc>
        <w:tc>
          <w:tcPr>
            <w:tcW w:w="992" w:type="dxa"/>
            <w:tcBorders>
              <w:top w:val="nil"/>
              <w:left w:val="nil"/>
              <w:bottom w:val="single" w:sz="4" w:space="0" w:color="auto"/>
              <w:right w:val="single" w:sz="4" w:space="0" w:color="auto"/>
            </w:tcBorders>
            <w:shd w:val="clear" w:color="000000" w:fill="FFFFFF"/>
            <w:noWrap/>
            <w:vAlign w:val="center"/>
            <w:hideMark/>
          </w:tcPr>
          <w:p w14:paraId="3661059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25.5%</w:t>
            </w:r>
          </w:p>
        </w:tc>
        <w:tc>
          <w:tcPr>
            <w:tcW w:w="851" w:type="dxa"/>
            <w:tcBorders>
              <w:top w:val="nil"/>
              <w:left w:val="nil"/>
              <w:bottom w:val="single" w:sz="4" w:space="0" w:color="auto"/>
              <w:right w:val="single" w:sz="4" w:space="0" w:color="auto"/>
            </w:tcBorders>
            <w:shd w:val="clear" w:color="000000" w:fill="FFFFFF"/>
            <w:noWrap/>
            <w:vAlign w:val="center"/>
            <w:hideMark/>
          </w:tcPr>
          <w:p w14:paraId="431FCEC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28.4%</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15CDDE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47.1%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2B9841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420C4CE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43.8%</w:t>
            </w:r>
          </w:p>
        </w:tc>
      </w:tr>
      <w:tr w:rsidR="00873EE4" w:rsidRPr="00B109BD" w14:paraId="76F7EA65" w14:textId="77777777" w:rsidTr="00E56286">
        <w:trPr>
          <w:trHeight w:val="239"/>
        </w:trPr>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F4A58" w14:textId="291365BE"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Age</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3EE22" w14:textId="54099B7B"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 xml:space="preserve">18-59 </w:t>
            </w:r>
            <w:r w:rsidR="0002311F" w:rsidRPr="00B109BD">
              <w:rPr>
                <w:rFonts w:ascii="Times New Roman" w:eastAsia="Times New Roman" w:hAnsi="Times New Roman" w:cs="Times New Roman"/>
                <w:kern w:val="0"/>
                <w:sz w:val="18"/>
                <w:szCs w:val="18"/>
                <w14:ligatures w14:val="none"/>
              </w:rPr>
              <w:t>years</w:t>
            </w:r>
          </w:p>
        </w:tc>
        <w:tc>
          <w:tcPr>
            <w:tcW w:w="426" w:type="dxa"/>
            <w:tcBorders>
              <w:top w:val="nil"/>
              <w:left w:val="nil"/>
              <w:bottom w:val="single" w:sz="4" w:space="0" w:color="auto"/>
              <w:right w:val="single" w:sz="4" w:space="0" w:color="auto"/>
            </w:tcBorders>
            <w:shd w:val="clear" w:color="000000" w:fill="FFFFFF"/>
            <w:vAlign w:val="center"/>
            <w:hideMark/>
          </w:tcPr>
          <w:p w14:paraId="264351D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7FA8580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101</w:t>
            </w:r>
          </w:p>
        </w:tc>
        <w:tc>
          <w:tcPr>
            <w:tcW w:w="992" w:type="dxa"/>
            <w:tcBorders>
              <w:top w:val="nil"/>
              <w:left w:val="nil"/>
              <w:bottom w:val="single" w:sz="4" w:space="0" w:color="auto"/>
              <w:right w:val="single" w:sz="4" w:space="0" w:color="auto"/>
            </w:tcBorders>
            <w:shd w:val="clear" w:color="000000" w:fill="FFFFFF"/>
            <w:noWrap/>
            <w:vAlign w:val="center"/>
            <w:hideMark/>
          </w:tcPr>
          <w:p w14:paraId="784544E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81</w:t>
            </w:r>
          </w:p>
        </w:tc>
        <w:tc>
          <w:tcPr>
            <w:tcW w:w="851" w:type="dxa"/>
            <w:tcBorders>
              <w:top w:val="nil"/>
              <w:left w:val="nil"/>
              <w:bottom w:val="single" w:sz="4" w:space="0" w:color="auto"/>
              <w:right w:val="single" w:sz="4" w:space="0" w:color="auto"/>
            </w:tcBorders>
            <w:shd w:val="clear" w:color="000000" w:fill="FFFFFF"/>
            <w:noWrap/>
            <w:vAlign w:val="center"/>
            <w:hideMark/>
          </w:tcPr>
          <w:p w14:paraId="1472303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182</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3D4CE0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F0114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5D274A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15</w:t>
            </w:r>
          </w:p>
        </w:tc>
      </w:tr>
      <w:tr w:rsidR="00873EE4" w:rsidRPr="00B109BD" w14:paraId="4952B61C"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1FE809EC"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23D1657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332F8CE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23D7CF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81.5%</w:t>
            </w:r>
          </w:p>
        </w:tc>
        <w:tc>
          <w:tcPr>
            <w:tcW w:w="992" w:type="dxa"/>
            <w:tcBorders>
              <w:top w:val="nil"/>
              <w:left w:val="nil"/>
              <w:bottom w:val="single" w:sz="4" w:space="0" w:color="auto"/>
              <w:right w:val="single" w:sz="4" w:space="0" w:color="auto"/>
            </w:tcBorders>
            <w:shd w:val="clear" w:color="000000" w:fill="FFFFFF"/>
            <w:noWrap/>
            <w:vAlign w:val="center"/>
            <w:hideMark/>
          </w:tcPr>
          <w:p w14:paraId="4BF0040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86.2%</w:t>
            </w:r>
          </w:p>
        </w:tc>
        <w:tc>
          <w:tcPr>
            <w:tcW w:w="851" w:type="dxa"/>
            <w:tcBorders>
              <w:top w:val="nil"/>
              <w:left w:val="nil"/>
              <w:bottom w:val="single" w:sz="4" w:space="0" w:color="auto"/>
              <w:right w:val="single" w:sz="4" w:space="0" w:color="auto"/>
            </w:tcBorders>
            <w:shd w:val="clear" w:color="000000" w:fill="FFFFFF"/>
            <w:noWrap/>
            <w:vAlign w:val="center"/>
            <w:hideMark/>
          </w:tcPr>
          <w:p w14:paraId="51D70A0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83.5%</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E7730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41.2%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534B62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53.3%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023CAB2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46.9%</w:t>
            </w:r>
          </w:p>
        </w:tc>
      </w:tr>
      <w:tr w:rsidR="00873EE4" w:rsidRPr="00B109BD" w14:paraId="5C38539A"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052138DA"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8EAD27" w14:textId="6EAD8F6C"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 xml:space="preserve">≥ 60 </w:t>
            </w:r>
            <w:r w:rsidR="0002311F" w:rsidRPr="00B109BD">
              <w:rPr>
                <w:rFonts w:ascii="Times New Roman" w:eastAsia="Times New Roman" w:hAnsi="Times New Roman" w:cs="Times New Roman"/>
                <w:kern w:val="0"/>
                <w:sz w:val="18"/>
                <w:szCs w:val="18"/>
                <w14:ligatures w14:val="none"/>
              </w:rPr>
              <w:t>years</w:t>
            </w:r>
          </w:p>
        </w:tc>
        <w:tc>
          <w:tcPr>
            <w:tcW w:w="426" w:type="dxa"/>
            <w:tcBorders>
              <w:top w:val="nil"/>
              <w:left w:val="nil"/>
              <w:bottom w:val="single" w:sz="4" w:space="0" w:color="auto"/>
              <w:right w:val="single" w:sz="4" w:space="0" w:color="auto"/>
            </w:tcBorders>
            <w:shd w:val="clear" w:color="000000" w:fill="FFFFFF"/>
            <w:vAlign w:val="center"/>
            <w:hideMark/>
          </w:tcPr>
          <w:p w14:paraId="0A95A69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2A246DC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23</w:t>
            </w:r>
          </w:p>
        </w:tc>
        <w:tc>
          <w:tcPr>
            <w:tcW w:w="992" w:type="dxa"/>
            <w:tcBorders>
              <w:top w:val="nil"/>
              <w:left w:val="nil"/>
              <w:bottom w:val="single" w:sz="4" w:space="0" w:color="auto"/>
              <w:right w:val="single" w:sz="4" w:space="0" w:color="auto"/>
            </w:tcBorders>
            <w:shd w:val="clear" w:color="000000" w:fill="FFFFFF"/>
            <w:noWrap/>
            <w:vAlign w:val="center"/>
            <w:hideMark/>
          </w:tcPr>
          <w:p w14:paraId="5295633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w:t>
            </w:r>
          </w:p>
        </w:tc>
        <w:tc>
          <w:tcPr>
            <w:tcW w:w="851" w:type="dxa"/>
            <w:tcBorders>
              <w:top w:val="nil"/>
              <w:left w:val="nil"/>
              <w:bottom w:val="single" w:sz="4" w:space="0" w:color="auto"/>
              <w:right w:val="single" w:sz="4" w:space="0" w:color="auto"/>
            </w:tcBorders>
            <w:shd w:val="clear" w:color="000000" w:fill="FFFFFF"/>
            <w:noWrap/>
            <w:vAlign w:val="center"/>
            <w:hideMark/>
          </w:tcPr>
          <w:p w14:paraId="480BCD4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36</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0C3F4B6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3D744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17A2C64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17</w:t>
            </w:r>
          </w:p>
        </w:tc>
      </w:tr>
      <w:tr w:rsidR="00873EE4" w:rsidRPr="00B109BD" w14:paraId="022CE808"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77EC26EA"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399DD565"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77105D3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9D57C9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18.5%</w:t>
            </w:r>
          </w:p>
        </w:tc>
        <w:tc>
          <w:tcPr>
            <w:tcW w:w="992" w:type="dxa"/>
            <w:tcBorders>
              <w:top w:val="nil"/>
              <w:left w:val="nil"/>
              <w:bottom w:val="single" w:sz="4" w:space="0" w:color="auto"/>
              <w:right w:val="single" w:sz="4" w:space="0" w:color="auto"/>
            </w:tcBorders>
            <w:shd w:val="clear" w:color="000000" w:fill="FFFFFF"/>
            <w:noWrap/>
            <w:vAlign w:val="center"/>
            <w:hideMark/>
          </w:tcPr>
          <w:p w14:paraId="1E19BD3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13.8%</w:t>
            </w:r>
          </w:p>
        </w:tc>
        <w:tc>
          <w:tcPr>
            <w:tcW w:w="851" w:type="dxa"/>
            <w:tcBorders>
              <w:top w:val="nil"/>
              <w:left w:val="nil"/>
              <w:bottom w:val="single" w:sz="4" w:space="0" w:color="auto"/>
              <w:right w:val="single" w:sz="4" w:space="0" w:color="auto"/>
            </w:tcBorders>
            <w:shd w:val="clear" w:color="000000" w:fill="FFFFFF"/>
            <w:noWrap/>
            <w:vAlign w:val="center"/>
            <w:hideMark/>
          </w:tcPr>
          <w:p w14:paraId="5C7DCE2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16.5%</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BA200B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58.8%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0158A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46.7%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1BB2A3A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53.1%</w:t>
            </w:r>
          </w:p>
        </w:tc>
      </w:tr>
      <w:tr w:rsidR="00873EE4" w:rsidRPr="00B109BD" w14:paraId="74DCA7FD" w14:textId="77777777" w:rsidTr="00E56286">
        <w:trPr>
          <w:trHeight w:val="239"/>
        </w:trPr>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2731" w14:textId="55B38757"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Gender</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C243B0" w14:textId="0B292647"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Male</w:t>
            </w:r>
          </w:p>
        </w:tc>
        <w:tc>
          <w:tcPr>
            <w:tcW w:w="426" w:type="dxa"/>
            <w:tcBorders>
              <w:top w:val="nil"/>
              <w:left w:val="nil"/>
              <w:bottom w:val="single" w:sz="4" w:space="0" w:color="auto"/>
              <w:right w:val="single" w:sz="4" w:space="0" w:color="auto"/>
            </w:tcBorders>
            <w:shd w:val="clear" w:color="000000" w:fill="FFFFFF"/>
            <w:vAlign w:val="center"/>
            <w:hideMark/>
          </w:tcPr>
          <w:p w14:paraId="21ABB35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530B185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w:t>
            </w:r>
          </w:p>
        </w:tc>
        <w:tc>
          <w:tcPr>
            <w:tcW w:w="992" w:type="dxa"/>
            <w:tcBorders>
              <w:top w:val="nil"/>
              <w:left w:val="nil"/>
              <w:bottom w:val="single" w:sz="4" w:space="0" w:color="auto"/>
              <w:right w:val="single" w:sz="4" w:space="0" w:color="auto"/>
            </w:tcBorders>
            <w:shd w:val="clear" w:color="000000" w:fill="FFFFFF"/>
            <w:noWrap/>
            <w:vAlign w:val="center"/>
            <w:hideMark/>
          </w:tcPr>
          <w:p w14:paraId="6BB1D3B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54</w:t>
            </w:r>
          </w:p>
        </w:tc>
        <w:tc>
          <w:tcPr>
            <w:tcW w:w="851" w:type="dxa"/>
            <w:tcBorders>
              <w:top w:val="nil"/>
              <w:left w:val="nil"/>
              <w:bottom w:val="single" w:sz="4" w:space="0" w:color="auto"/>
              <w:right w:val="single" w:sz="4" w:space="0" w:color="auto"/>
            </w:tcBorders>
            <w:shd w:val="clear" w:color="000000" w:fill="FFFFFF"/>
            <w:noWrap/>
            <w:vAlign w:val="center"/>
            <w:hideMark/>
          </w:tcPr>
          <w:p w14:paraId="2013F4F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113</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5EE7CF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93D4CC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9</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7FB72C7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20</w:t>
            </w:r>
          </w:p>
        </w:tc>
      </w:tr>
      <w:tr w:rsidR="00873EE4" w:rsidRPr="00B109BD" w14:paraId="584D0CE4"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5025795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8ABDB3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404943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3EB691F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47.6%</w:t>
            </w:r>
          </w:p>
        </w:tc>
        <w:tc>
          <w:tcPr>
            <w:tcW w:w="992" w:type="dxa"/>
            <w:tcBorders>
              <w:top w:val="nil"/>
              <w:left w:val="nil"/>
              <w:bottom w:val="single" w:sz="4" w:space="0" w:color="auto"/>
              <w:right w:val="single" w:sz="4" w:space="0" w:color="auto"/>
            </w:tcBorders>
            <w:shd w:val="clear" w:color="000000" w:fill="FFFFFF"/>
            <w:noWrap/>
            <w:vAlign w:val="center"/>
            <w:hideMark/>
          </w:tcPr>
          <w:p w14:paraId="7D09987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57.4%</w:t>
            </w:r>
          </w:p>
        </w:tc>
        <w:tc>
          <w:tcPr>
            <w:tcW w:w="851" w:type="dxa"/>
            <w:tcBorders>
              <w:top w:val="nil"/>
              <w:left w:val="nil"/>
              <w:bottom w:val="single" w:sz="4" w:space="0" w:color="auto"/>
              <w:right w:val="single" w:sz="4" w:space="0" w:color="auto"/>
            </w:tcBorders>
            <w:shd w:val="clear" w:color="000000" w:fill="FFFFFF"/>
            <w:noWrap/>
            <w:vAlign w:val="center"/>
            <w:hideMark/>
          </w:tcPr>
          <w:p w14:paraId="742B568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51.8%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1D4A14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64.7%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3B466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4E09C1B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62.5%</w:t>
            </w:r>
          </w:p>
        </w:tc>
      </w:tr>
      <w:tr w:rsidR="00873EE4" w:rsidRPr="00B109BD" w14:paraId="3BA1CF69"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1EF470EE"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9D15BB" w14:textId="162C152A"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Female</w:t>
            </w:r>
          </w:p>
        </w:tc>
        <w:tc>
          <w:tcPr>
            <w:tcW w:w="426" w:type="dxa"/>
            <w:tcBorders>
              <w:top w:val="nil"/>
              <w:left w:val="nil"/>
              <w:bottom w:val="single" w:sz="4" w:space="0" w:color="auto"/>
              <w:right w:val="single" w:sz="4" w:space="0" w:color="auto"/>
            </w:tcBorders>
            <w:shd w:val="clear" w:color="000000" w:fill="FFFFFF"/>
            <w:vAlign w:val="center"/>
            <w:hideMark/>
          </w:tcPr>
          <w:p w14:paraId="7F57746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5919B2F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65</w:t>
            </w:r>
          </w:p>
        </w:tc>
        <w:tc>
          <w:tcPr>
            <w:tcW w:w="992" w:type="dxa"/>
            <w:tcBorders>
              <w:top w:val="nil"/>
              <w:left w:val="nil"/>
              <w:bottom w:val="single" w:sz="4" w:space="0" w:color="auto"/>
              <w:right w:val="single" w:sz="4" w:space="0" w:color="auto"/>
            </w:tcBorders>
            <w:shd w:val="clear" w:color="000000" w:fill="FFFFFF"/>
            <w:noWrap/>
            <w:vAlign w:val="center"/>
            <w:hideMark/>
          </w:tcPr>
          <w:p w14:paraId="49F2967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w:t>
            </w:r>
          </w:p>
        </w:tc>
        <w:tc>
          <w:tcPr>
            <w:tcW w:w="851" w:type="dxa"/>
            <w:tcBorders>
              <w:top w:val="nil"/>
              <w:left w:val="nil"/>
              <w:bottom w:val="single" w:sz="4" w:space="0" w:color="auto"/>
              <w:right w:val="single" w:sz="4" w:space="0" w:color="auto"/>
            </w:tcBorders>
            <w:shd w:val="clear" w:color="000000" w:fill="FFFFFF"/>
            <w:noWrap/>
            <w:vAlign w:val="center"/>
            <w:hideMark/>
          </w:tcPr>
          <w:p w14:paraId="7A829DE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105</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9E6C50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21596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3B6FF00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12</w:t>
            </w:r>
          </w:p>
        </w:tc>
      </w:tr>
      <w:tr w:rsidR="00873EE4" w:rsidRPr="00B109BD" w14:paraId="37AE1E2F"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499EB01B"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67D6E82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3A95130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0408053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52.4%</w:t>
            </w:r>
          </w:p>
        </w:tc>
        <w:tc>
          <w:tcPr>
            <w:tcW w:w="992" w:type="dxa"/>
            <w:tcBorders>
              <w:top w:val="nil"/>
              <w:left w:val="nil"/>
              <w:bottom w:val="single" w:sz="4" w:space="0" w:color="auto"/>
              <w:right w:val="single" w:sz="4" w:space="0" w:color="auto"/>
            </w:tcBorders>
            <w:shd w:val="clear" w:color="000000" w:fill="FFFFFF"/>
            <w:noWrap/>
            <w:vAlign w:val="center"/>
            <w:hideMark/>
          </w:tcPr>
          <w:p w14:paraId="42BC79E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42.6%</w:t>
            </w:r>
          </w:p>
        </w:tc>
        <w:tc>
          <w:tcPr>
            <w:tcW w:w="851" w:type="dxa"/>
            <w:tcBorders>
              <w:top w:val="nil"/>
              <w:left w:val="nil"/>
              <w:bottom w:val="single" w:sz="4" w:space="0" w:color="auto"/>
              <w:right w:val="single" w:sz="4" w:space="0" w:color="auto"/>
            </w:tcBorders>
            <w:shd w:val="clear" w:color="000000" w:fill="FFFFFF"/>
            <w:noWrap/>
            <w:vAlign w:val="center"/>
            <w:hideMark/>
          </w:tcPr>
          <w:p w14:paraId="539E515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48.2%</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5A82B9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35.3%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9DC60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2C2E9E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37.5%</w:t>
            </w:r>
          </w:p>
        </w:tc>
      </w:tr>
      <w:tr w:rsidR="00873EE4" w:rsidRPr="00B109BD" w14:paraId="05CF2321" w14:textId="77777777" w:rsidTr="00E56286">
        <w:trPr>
          <w:trHeight w:val="239"/>
        </w:trPr>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C8AF7E" w14:textId="1ED1123B"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Occupation</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013404" w14:textId="4845DD0B"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Employee</w:t>
            </w:r>
          </w:p>
        </w:tc>
        <w:tc>
          <w:tcPr>
            <w:tcW w:w="426" w:type="dxa"/>
            <w:tcBorders>
              <w:top w:val="nil"/>
              <w:left w:val="nil"/>
              <w:bottom w:val="single" w:sz="4" w:space="0" w:color="auto"/>
              <w:right w:val="single" w:sz="4" w:space="0" w:color="auto"/>
            </w:tcBorders>
            <w:shd w:val="clear" w:color="000000" w:fill="FFFFFF"/>
            <w:vAlign w:val="center"/>
            <w:hideMark/>
          </w:tcPr>
          <w:p w14:paraId="54353C9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196357F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67</w:t>
            </w:r>
          </w:p>
        </w:tc>
        <w:tc>
          <w:tcPr>
            <w:tcW w:w="992" w:type="dxa"/>
            <w:tcBorders>
              <w:top w:val="nil"/>
              <w:left w:val="nil"/>
              <w:bottom w:val="single" w:sz="4" w:space="0" w:color="auto"/>
              <w:right w:val="single" w:sz="4" w:space="0" w:color="auto"/>
            </w:tcBorders>
            <w:shd w:val="clear" w:color="000000" w:fill="FFFFFF"/>
            <w:noWrap/>
            <w:vAlign w:val="center"/>
            <w:hideMark/>
          </w:tcPr>
          <w:p w14:paraId="133234B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52</w:t>
            </w:r>
          </w:p>
        </w:tc>
        <w:tc>
          <w:tcPr>
            <w:tcW w:w="851" w:type="dxa"/>
            <w:tcBorders>
              <w:top w:val="nil"/>
              <w:left w:val="nil"/>
              <w:bottom w:val="single" w:sz="4" w:space="0" w:color="auto"/>
              <w:right w:val="single" w:sz="4" w:space="0" w:color="auto"/>
            </w:tcBorders>
            <w:shd w:val="clear" w:color="000000" w:fill="FFFFFF"/>
            <w:noWrap/>
            <w:vAlign w:val="center"/>
            <w:hideMark/>
          </w:tcPr>
          <w:p w14:paraId="081BFFE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119</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09DCEB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11479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9</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7EF402E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19</w:t>
            </w:r>
          </w:p>
        </w:tc>
      </w:tr>
      <w:tr w:rsidR="00873EE4" w:rsidRPr="00B109BD" w14:paraId="74E8D194"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7683635B"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29878702"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4F530F6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082945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54.0%</w:t>
            </w:r>
          </w:p>
        </w:tc>
        <w:tc>
          <w:tcPr>
            <w:tcW w:w="992" w:type="dxa"/>
            <w:tcBorders>
              <w:top w:val="nil"/>
              <w:left w:val="nil"/>
              <w:bottom w:val="single" w:sz="4" w:space="0" w:color="auto"/>
              <w:right w:val="single" w:sz="4" w:space="0" w:color="auto"/>
            </w:tcBorders>
            <w:shd w:val="clear" w:color="000000" w:fill="FFFFFF"/>
            <w:noWrap/>
            <w:vAlign w:val="center"/>
            <w:hideMark/>
          </w:tcPr>
          <w:p w14:paraId="6C80E69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55.3%</w:t>
            </w:r>
          </w:p>
        </w:tc>
        <w:tc>
          <w:tcPr>
            <w:tcW w:w="851" w:type="dxa"/>
            <w:tcBorders>
              <w:top w:val="nil"/>
              <w:left w:val="nil"/>
              <w:bottom w:val="single" w:sz="4" w:space="0" w:color="auto"/>
              <w:right w:val="single" w:sz="4" w:space="0" w:color="auto"/>
            </w:tcBorders>
            <w:shd w:val="clear" w:color="000000" w:fill="FFFFFF"/>
            <w:noWrap/>
            <w:vAlign w:val="center"/>
            <w:hideMark/>
          </w:tcPr>
          <w:p w14:paraId="281A9EF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54.6%</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12E26E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58.8%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29768F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55A2F87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59.4%</w:t>
            </w:r>
          </w:p>
        </w:tc>
      </w:tr>
      <w:tr w:rsidR="00873EE4" w:rsidRPr="00B109BD" w14:paraId="2B981D98"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22BD07B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DDAF27" w14:textId="39F7D367" w:rsidR="00873EE4" w:rsidRPr="00B109BD" w:rsidRDefault="0002311F"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Unemployee</w:t>
            </w:r>
          </w:p>
        </w:tc>
        <w:tc>
          <w:tcPr>
            <w:tcW w:w="426" w:type="dxa"/>
            <w:tcBorders>
              <w:top w:val="nil"/>
              <w:left w:val="nil"/>
              <w:bottom w:val="single" w:sz="4" w:space="0" w:color="auto"/>
              <w:right w:val="single" w:sz="4" w:space="0" w:color="auto"/>
            </w:tcBorders>
            <w:shd w:val="clear" w:color="000000" w:fill="FFFFFF"/>
            <w:vAlign w:val="center"/>
            <w:hideMark/>
          </w:tcPr>
          <w:p w14:paraId="7B95436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2848D21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57</w:t>
            </w:r>
          </w:p>
        </w:tc>
        <w:tc>
          <w:tcPr>
            <w:tcW w:w="992" w:type="dxa"/>
            <w:tcBorders>
              <w:top w:val="nil"/>
              <w:left w:val="nil"/>
              <w:bottom w:val="single" w:sz="4" w:space="0" w:color="auto"/>
              <w:right w:val="single" w:sz="4" w:space="0" w:color="auto"/>
            </w:tcBorders>
            <w:shd w:val="clear" w:color="000000" w:fill="FFFFFF"/>
            <w:noWrap/>
            <w:vAlign w:val="center"/>
            <w:hideMark/>
          </w:tcPr>
          <w:p w14:paraId="0CB185D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42</w:t>
            </w:r>
          </w:p>
        </w:tc>
        <w:tc>
          <w:tcPr>
            <w:tcW w:w="851" w:type="dxa"/>
            <w:tcBorders>
              <w:top w:val="nil"/>
              <w:left w:val="nil"/>
              <w:bottom w:val="single" w:sz="4" w:space="0" w:color="auto"/>
              <w:right w:val="single" w:sz="4" w:space="0" w:color="auto"/>
            </w:tcBorders>
            <w:shd w:val="clear" w:color="000000" w:fill="FFFFFF"/>
            <w:noWrap/>
            <w:vAlign w:val="center"/>
            <w:hideMark/>
          </w:tcPr>
          <w:p w14:paraId="1167704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99</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17F230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56F799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0097881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w:t>
            </w:r>
          </w:p>
        </w:tc>
      </w:tr>
      <w:tr w:rsidR="00873EE4" w:rsidRPr="00B109BD" w14:paraId="3FE347A7"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05B422CB"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6AA77FAA"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36D9864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200623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46.0%</w:t>
            </w:r>
          </w:p>
        </w:tc>
        <w:tc>
          <w:tcPr>
            <w:tcW w:w="992" w:type="dxa"/>
            <w:tcBorders>
              <w:top w:val="nil"/>
              <w:left w:val="nil"/>
              <w:bottom w:val="single" w:sz="4" w:space="0" w:color="auto"/>
              <w:right w:val="single" w:sz="4" w:space="0" w:color="auto"/>
            </w:tcBorders>
            <w:shd w:val="clear" w:color="000000" w:fill="FFFFFF"/>
            <w:noWrap/>
            <w:vAlign w:val="center"/>
            <w:hideMark/>
          </w:tcPr>
          <w:p w14:paraId="73C5132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44.7%</w:t>
            </w:r>
          </w:p>
        </w:tc>
        <w:tc>
          <w:tcPr>
            <w:tcW w:w="851" w:type="dxa"/>
            <w:tcBorders>
              <w:top w:val="nil"/>
              <w:left w:val="nil"/>
              <w:bottom w:val="single" w:sz="4" w:space="0" w:color="auto"/>
              <w:right w:val="single" w:sz="4" w:space="0" w:color="auto"/>
            </w:tcBorders>
            <w:shd w:val="clear" w:color="000000" w:fill="FFFFFF"/>
            <w:noWrap/>
            <w:vAlign w:val="center"/>
            <w:hideMark/>
          </w:tcPr>
          <w:p w14:paraId="6A7C8EF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45.4%</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8449BF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41.2%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B20375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0DF89C1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40.6%</w:t>
            </w:r>
          </w:p>
        </w:tc>
      </w:tr>
      <w:tr w:rsidR="00873EE4" w:rsidRPr="00B109BD" w14:paraId="40F23132" w14:textId="77777777" w:rsidTr="00E56286">
        <w:trPr>
          <w:trHeight w:val="239"/>
        </w:trPr>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409508" w14:textId="01DCFAA2"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SOFA</w:t>
            </w:r>
            <w:r w:rsidR="0002311F" w:rsidRPr="00B109BD">
              <w:rPr>
                <w:rFonts w:ascii="Times New Roman" w:eastAsia="Times New Roman" w:hAnsi="Times New Roman" w:cs="Times New Roman"/>
                <w:kern w:val="0"/>
                <w:sz w:val="18"/>
                <w:szCs w:val="18"/>
                <w14:ligatures w14:val="none"/>
              </w:rPr>
              <w:t xml:space="preserve"> score</w:t>
            </w: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A212B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426" w:type="dxa"/>
            <w:tcBorders>
              <w:top w:val="nil"/>
              <w:left w:val="nil"/>
              <w:bottom w:val="single" w:sz="4" w:space="0" w:color="auto"/>
              <w:right w:val="single" w:sz="4" w:space="0" w:color="auto"/>
            </w:tcBorders>
            <w:shd w:val="clear" w:color="000000" w:fill="FFFFFF"/>
            <w:vAlign w:val="center"/>
            <w:hideMark/>
          </w:tcPr>
          <w:p w14:paraId="41B418B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3526285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70</w:t>
            </w:r>
          </w:p>
        </w:tc>
        <w:tc>
          <w:tcPr>
            <w:tcW w:w="992" w:type="dxa"/>
            <w:tcBorders>
              <w:top w:val="nil"/>
              <w:left w:val="nil"/>
              <w:bottom w:val="single" w:sz="4" w:space="0" w:color="auto"/>
              <w:right w:val="single" w:sz="4" w:space="0" w:color="auto"/>
            </w:tcBorders>
            <w:shd w:val="clear" w:color="000000" w:fill="FFFFFF"/>
            <w:noWrap/>
            <w:vAlign w:val="center"/>
            <w:hideMark/>
          </w:tcPr>
          <w:p w14:paraId="13E54A9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52</w:t>
            </w:r>
          </w:p>
        </w:tc>
        <w:tc>
          <w:tcPr>
            <w:tcW w:w="851" w:type="dxa"/>
            <w:tcBorders>
              <w:top w:val="nil"/>
              <w:left w:val="nil"/>
              <w:bottom w:val="single" w:sz="4" w:space="0" w:color="auto"/>
              <w:right w:val="single" w:sz="4" w:space="0" w:color="auto"/>
            </w:tcBorders>
            <w:shd w:val="clear" w:color="000000" w:fill="FFFFFF"/>
            <w:noWrap/>
            <w:vAlign w:val="center"/>
            <w:hideMark/>
          </w:tcPr>
          <w:p w14:paraId="5E6B98A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122</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A68A72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E1BD4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3E27A13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r>
      <w:tr w:rsidR="00873EE4" w:rsidRPr="00B109BD" w14:paraId="60EBA66B"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2656187E"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FF65EA2"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399943E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7CF6AC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56.5%</w:t>
            </w:r>
          </w:p>
        </w:tc>
        <w:tc>
          <w:tcPr>
            <w:tcW w:w="992" w:type="dxa"/>
            <w:tcBorders>
              <w:top w:val="nil"/>
              <w:left w:val="nil"/>
              <w:bottom w:val="single" w:sz="4" w:space="0" w:color="auto"/>
              <w:right w:val="single" w:sz="4" w:space="0" w:color="auto"/>
            </w:tcBorders>
            <w:shd w:val="clear" w:color="000000" w:fill="FFFFFF"/>
            <w:noWrap/>
            <w:vAlign w:val="center"/>
            <w:hideMark/>
          </w:tcPr>
          <w:p w14:paraId="7B3F6CE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55.3%</w:t>
            </w:r>
          </w:p>
        </w:tc>
        <w:tc>
          <w:tcPr>
            <w:tcW w:w="851" w:type="dxa"/>
            <w:tcBorders>
              <w:top w:val="nil"/>
              <w:left w:val="nil"/>
              <w:bottom w:val="single" w:sz="4" w:space="0" w:color="auto"/>
              <w:right w:val="single" w:sz="4" w:space="0" w:color="auto"/>
            </w:tcBorders>
            <w:shd w:val="clear" w:color="000000" w:fill="FFFFFF"/>
            <w:noWrap/>
            <w:vAlign w:val="center"/>
            <w:hideMark/>
          </w:tcPr>
          <w:p w14:paraId="4B414D8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56.0%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6B5973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7663B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3BDBEAF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6.3%</w:t>
            </w:r>
          </w:p>
        </w:tc>
      </w:tr>
      <w:tr w:rsidR="00873EE4" w:rsidRPr="00B109BD" w14:paraId="0D12EA95"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4B5C2F83"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9789D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426" w:type="dxa"/>
            <w:tcBorders>
              <w:top w:val="nil"/>
              <w:left w:val="nil"/>
              <w:bottom w:val="single" w:sz="4" w:space="0" w:color="auto"/>
              <w:right w:val="single" w:sz="4" w:space="0" w:color="auto"/>
            </w:tcBorders>
            <w:shd w:val="clear" w:color="000000" w:fill="FFFFFF"/>
            <w:vAlign w:val="center"/>
            <w:hideMark/>
          </w:tcPr>
          <w:p w14:paraId="12908B8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4E455BE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48</w:t>
            </w:r>
          </w:p>
        </w:tc>
        <w:tc>
          <w:tcPr>
            <w:tcW w:w="992" w:type="dxa"/>
            <w:tcBorders>
              <w:top w:val="nil"/>
              <w:left w:val="nil"/>
              <w:bottom w:val="single" w:sz="4" w:space="0" w:color="auto"/>
              <w:right w:val="single" w:sz="4" w:space="0" w:color="auto"/>
            </w:tcBorders>
            <w:shd w:val="clear" w:color="000000" w:fill="FFFFFF"/>
            <w:noWrap/>
            <w:vAlign w:val="center"/>
            <w:hideMark/>
          </w:tcPr>
          <w:p w14:paraId="55E3D76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35</w:t>
            </w:r>
          </w:p>
        </w:tc>
        <w:tc>
          <w:tcPr>
            <w:tcW w:w="851" w:type="dxa"/>
            <w:tcBorders>
              <w:top w:val="nil"/>
              <w:left w:val="nil"/>
              <w:bottom w:val="single" w:sz="4" w:space="0" w:color="auto"/>
              <w:right w:val="single" w:sz="4" w:space="0" w:color="auto"/>
            </w:tcBorders>
            <w:shd w:val="clear" w:color="000000" w:fill="FFFFFF"/>
            <w:noWrap/>
            <w:vAlign w:val="center"/>
            <w:hideMark/>
          </w:tcPr>
          <w:p w14:paraId="20CA86F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83</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B8D879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F969A2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1FA365F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14</w:t>
            </w:r>
          </w:p>
        </w:tc>
      </w:tr>
      <w:tr w:rsidR="00873EE4" w:rsidRPr="00B109BD" w14:paraId="2F52D36A"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29BE12E6"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7BE7C0F1"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4E1D10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661C5CD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38.7%</w:t>
            </w:r>
          </w:p>
        </w:tc>
        <w:tc>
          <w:tcPr>
            <w:tcW w:w="992" w:type="dxa"/>
            <w:tcBorders>
              <w:top w:val="nil"/>
              <w:left w:val="nil"/>
              <w:bottom w:val="single" w:sz="4" w:space="0" w:color="auto"/>
              <w:right w:val="single" w:sz="4" w:space="0" w:color="auto"/>
            </w:tcBorders>
            <w:shd w:val="clear" w:color="000000" w:fill="FFFFFF"/>
            <w:noWrap/>
            <w:vAlign w:val="center"/>
            <w:hideMark/>
          </w:tcPr>
          <w:p w14:paraId="6922B4D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37.2%</w:t>
            </w:r>
          </w:p>
        </w:tc>
        <w:tc>
          <w:tcPr>
            <w:tcW w:w="851" w:type="dxa"/>
            <w:tcBorders>
              <w:top w:val="nil"/>
              <w:left w:val="nil"/>
              <w:bottom w:val="single" w:sz="4" w:space="0" w:color="auto"/>
              <w:right w:val="single" w:sz="4" w:space="0" w:color="auto"/>
            </w:tcBorders>
            <w:shd w:val="clear" w:color="000000" w:fill="FFFFFF"/>
            <w:noWrap/>
            <w:vAlign w:val="center"/>
            <w:hideMark/>
          </w:tcPr>
          <w:p w14:paraId="73817FC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38.1%</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E36661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47.1%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7F7E87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3C9EAC6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43.8%</w:t>
            </w:r>
          </w:p>
        </w:tc>
      </w:tr>
      <w:tr w:rsidR="00873EE4" w:rsidRPr="00B109BD" w14:paraId="46F6B931"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178549A6"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672B5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426" w:type="dxa"/>
            <w:tcBorders>
              <w:top w:val="nil"/>
              <w:left w:val="nil"/>
              <w:bottom w:val="single" w:sz="4" w:space="0" w:color="auto"/>
              <w:right w:val="single" w:sz="4" w:space="0" w:color="auto"/>
            </w:tcBorders>
            <w:shd w:val="clear" w:color="000000" w:fill="FFFFFF"/>
            <w:vAlign w:val="center"/>
            <w:hideMark/>
          </w:tcPr>
          <w:p w14:paraId="63F7624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24813EF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tcBorders>
              <w:top w:val="nil"/>
              <w:left w:val="nil"/>
              <w:bottom w:val="single" w:sz="4" w:space="0" w:color="auto"/>
              <w:right w:val="single" w:sz="4" w:space="0" w:color="auto"/>
            </w:tcBorders>
            <w:shd w:val="clear" w:color="000000" w:fill="FFFFFF"/>
            <w:noWrap/>
            <w:vAlign w:val="center"/>
            <w:hideMark/>
          </w:tcPr>
          <w:p w14:paraId="0D58698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c>
          <w:tcPr>
            <w:tcW w:w="851" w:type="dxa"/>
            <w:tcBorders>
              <w:top w:val="nil"/>
              <w:left w:val="nil"/>
              <w:bottom w:val="single" w:sz="4" w:space="0" w:color="auto"/>
              <w:right w:val="single" w:sz="4" w:space="0" w:color="auto"/>
            </w:tcBorders>
            <w:shd w:val="clear" w:color="000000" w:fill="FFFFFF"/>
            <w:noWrap/>
            <w:vAlign w:val="center"/>
            <w:hideMark/>
          </w:tcPr>
          <w:p w14:paraId="13D5794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A4AC8D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206F8A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07D183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14</w:t>
            </w:r>
          </w:p>
        </w:tc>
      </w:tr>
      <w:tr w:rsidR="00873EE4" w:rsidRPr="00B109BD" w14:paraId="6A62B5BD"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022B6F8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576383DC"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1FC670A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ADBBBF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4.8%</w:t>
            </w:r>
          </w:p>
        </w:tc>
        <w:tc>
          <w:tcPr>
            <w:tcW w:w="992" w:type="dxa"/>
            <w:tcBorders>
              <w:top w:val="nil"/>
              <w:left w:val="nil"/>
              <w:bottom w:val="single" w:sz="4" w:space="0" w:color="auto"/>
              <w:right w:val="single" w:sz="4" w:space="0" w:color="auto"/>
            </w:tcBorders>
            <w:shd w:val="clear" w:color="000000" w:fill="FFFFFF"/>
            <w:noWrap/>
            <w:vAlign w:val="center"/>
            <w:hideMark/>
          </w:tcPr>
          <w:p w14:paraId="7AC5ABC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7.4%</w:t>
            </w:r>
          </w:p>
        </w:tc>
        <w:tc>
          <w:tcPr>
            <w:tcW w:w="851" w:type="dxa"/>
            <w:tcBorders>
              <w:top w:val="nil"/>
              <w:left w:val="nil"/>
              <w:bottom w:val="single" w:sz="4" w:space="0" w:color="auto"/>
              <w:right w:val="single" w:sz="4" w:space="0" w:color="auto"/>
            </w:tcBorders>
            <w:shd w:val="clear" w:color="000000" w:fill="FFFFFF"/>
            <w:noWrap/>
            <w:vAlign w:val="center"/>
            <w:hideMark/>
          </w:tcPr>
          <w:p w14:paraId="0C5C812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957DCF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47.1%</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AC5BFC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2F5B4EB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43.8%</w:t>
            </w:r>
          </w:p>
        </w:tc>
      </w:tr>
      <w:tr w:rsidR="00873EE4" w:rsidRPr="00B109BD" w14:paraId="34A55532"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67E31369"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D6C97B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w:t>
            </w:r>
          </w:p>
        </w:tc>
        <w:tc>
          <w:tcPr>
            <w:tcW w:w="426" w:type="dxa"/>
            <w:tcBorders>
              <w:top w:val="nil"/>
              <w:left w:val="nil"/>
              <w:bottom w:val="single" w:sz="4" w:space="0" w:color="auto"/>
              <w:right w:val="single" w:sz="4" w:space="0" w:color="auto"/>
            </w:tcBorders>
            <w:shd w:val="clear" w:color="000000" w:fill="FFFFFF"/>
            <w:vAlign w:val="center"/>
            <w:hideMark/>
          </w:tcPr>
          <w:p w14:paraId="1A05D30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6C7E65B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481064E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37FC133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21A5DE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890A7D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0834C4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r>
      <w:tr w:rsidR="00873EE4" w:rsidRPr="00B109BD" w14:paraId="67C7CFC9"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45C23542"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681F38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2675D2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26C767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260A2F1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6FBC7C9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1575FE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007822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13.3%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4B18EC7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6.3%</w:t>
            </w:r>
          </w:p>
        </w:tc>
      </w:tr>
      <w:tr w:rsidR="00873EE4" w:rsidRPr="00B109BD" w14:paraId="6392387B" w14:textId="77777777" w:rsidTr="00E56286">
        <w:trPr>
          <w:trHeight w:val="239"/>
        </w:trPr>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7B48DA" w14:textId="205B5C0A"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APACHE</w:t>
            </w:r>
            <w:r w:rsidR="0002311F" w:rsidRPr="00B109BD">
              <w:rPr>
                <w:rFonts w:ascii="Times New Roman" w:eastAsia="Times New Roman" w:hAnsi="Times New Roman" w:cs="Times New Roman"/>
                <w:kern w:val="0"/>
                <w:sz w:val="18"/>
                <w:szCs w:val="18"/>
                <w14:ligatures w14:val="none"/>
              </w:rPr>
              <w:t xml:space="preserve"> II score</w:t>
            </w: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A6D68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426" w:type="dxa"/>
            <w:tcBorders>
              <w:top w:val="nil"/>
              <w:left w:val="nil"/>
              <w:bottom w:val="single" w:sz="4" w:space="0" w:color="auto"/>
              <w:right w:val="single" w:sz="4" w:space="0" w:color="auto"/>
            </w:tcBorders>
            <w:shd w:val="clear" w:color="000000" w:fill="FFFFFF"/>
            <w:vAlign w:val="center"/>
            <w:hideMark/>
          </w:tcPr>
          <w:p w14:paraId="4E817C5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588D153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83</w:t>
            </w:r>
          </w:p>
        </w:tc>
        <w:tc>
          <w:tcPr>
            <w:tcW w:w="992" w:type="dxa"/>
            <w:tcBorders>
              <w:top w:val="nil"/>
              <w:left w:val="nil"/>
              <w:bottom w:val="single" w:sz="4" w:space="0" w:color="auto"/>
              <w:right w:val="single" w:sz="4" w:space="0" w:color="auto"/>
            </w:tcBorders>
            <w:shd w:val="clear" w:color="000000" w:fill="FFFFFF"/>
            <w:noWrap/>
            <w:vAlign w:val="center"/>
            <w:hideMark/>
          </w:tcPr>
          <w:p w14:paraId="37749F0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67</w:t>
            </w:r>
          </w:p>
        </w:tc>
        <w:tc>
          <w:tcPr>
            <w:tcW w:w="851" w:type="dxa"/>
            <w:tcBorders>
              <w:top w:val="nil"/>
              <w:left w:val="nil"/>
              <w:bottom w:val="single" w:sz="4" w:space="0" w:color="auto"/>
              <w:right w:val="single" w:sz="4" w:space="0" w:color="auto"/>
            </w:tcBorders>
            <w:shd w:val="clear" w:color="000000" w:fill="FFFFFF"/>
            <w:noWrap/>
            <w:vAlign w:val="center"/>
            <w:hideMark/>
          </w:tcPr>
          <w:p w14:paraId="100494A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150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AC569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831DB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6B17280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r>
      <w:tr w:rsidR="00873EE4" w:rsidRPr="00B109BD" w14:paraId="2585BEB6"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B8DA35E"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03C14171"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27F83BE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791FF5E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66.9%</w:t>
            </w:r>
          </w:p>
        </w:tc>
        <w:tc>
          <w:tcPr>
            <w:tcW w:w="992" w:type="dxa"/>
            <w:tcBorders>
              <w:top w:val="nil"/>
              <w:left w:val="nil"/>
              <w:bottom w:val="single" w:sz="4" w:space="0" w:color="auto"/>
              <w:right w:val="single" w:sz="4" w:space="0" w:color="auto"/>
            </w:tcBorders>
            <w:shd w:val="clear" w:color="000000" w:fill="FFFFFF"/>
            <w:noWrap/>
            <w:vAlign w:val="center"/>
            <w:hideMark/>
          </w:tcPr>
          <w:p w14:paraId="5A2A3E1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71.3%</w:t>
            </w:r>
          </w:p>
        </w:tc>
        <w:tc>
          <w:tcPr>
            <w:tcW w:w="851" w:type="dxa"/>
            <w:tcBorders>
              <w:top w:val="nil"/>
              <w:left w:val="nil"/>
              <w:bottom w:val="single" w:sz="4" w:space="0" w:color="auto"/>
              <w:right w:val="single" w:sz="4" w:space="0" w:color="auto"/>
            </w:tcBorders>
            <w:shd w:val="clear" w:color="000000" w:fill="FFFFFF"/>
            <w:noWrap/>
            <w:vAlign w:val="center"/>
            <w:hideMark/>
          </w:tcPr>
          <w:p w14:paraId="219DE79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68.8%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CB1C75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B3A353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131877B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6.3%</w:t>
            </w:r>
          </w:p>
        </w:tc>
      </w:tr>
      <w:tr w:rsidR="00873EE4" w:rsidRPr="00B109BD" w14:paraId="56C69100"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6F21B3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0BEC2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426" w:type="dxa"/>
            <w:tcBorders>
              <w:top w:val="nil"/>
              <w:left w:val="nil"/>
              <w:bottom w:val="single" w:sz="4" w:space="0" w:color="auto"/>
              <w:right w:val="single" w:sz="4" w:space="0" w:color="auto"/>
            </w:tcBorders>
            <w:shd w:val="clear" w:color="000000" w:fill="FFFFFF"/>
            <w:vAlign w:val="center"/>
            <w:hideMark/>
          </w:tcPr>
          <w:p w14:paraId="217014E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63DD946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39</w:t>
            </w:r>
          </w:p>
        </w:tc>
        <w:tc>
          <w:tcPr>
            <w:tcW w:w="992" w:type="dxa"/>
            <w:tcBorders>
              <w:top w:val="nil"/>
              <w:left w:val="nil"/>
              <w:bottom w:val="single" w:sz="4" w:space="0" w:color="auto"/>
              <w:right w:val="single" w:sz="4" w:space="0" w:color="auto"/>
            </w:tcBorders>
            <w:shd w:val="clear" w:color="000000" w:fill="FFFFFF"/>
            <w:noWrap/>
            <w:vAlign w:val="center"/>
            <w:hideMark/>
          </w:tcPr>
          <w:p w14:paraId="469290F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27</w:t>
            </w:r>
          </w:p>
        </w:tc>
        <w:tc>
          <w:tcPr>
            <w:tcW w:w="851" w:type="dxa"/>
            <w:tcBorders>
              <w:top w:val="nil"/>
              <w:left w:val="nil"/>
              <w:bottom w:val="single" w:sz="4" w:space="0" w:color="auto"/>
              <w:right w:val="single" w:sz="4" w:space="0" w:color="auto"/>
            </w:tcBorders>
            <w:shd w:val="clear" w:color="000000" w:fill="FFFFFF"/>
            <w:noWrap/>
            <w:vAlign w:val="center"/>
            <w:hideMark/>
          </w:tcPr>
          <w:p w14:paraId="7FCFA53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66</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F424DA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A9BE2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23F0F11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w:t>
            </w:r>
          </w:p>
        </w:tc>
      </w:tr>
      <w:tr w:rsidR="00873EE4" w:rsidRPr="00B109BD" w14:paraId="35A2EA81"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B5880A"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4130B5B5"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04B7C4F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90AD90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31.5%</w:t>
            </w:r>
          </w:p>
        </w:tc>
        <w:tc>
          <w:tcPr>
            <w:tcW w:w="992" w:type="dxa"/>
            <w:tcBorders>
              <w:top w:val="nil"/>
              <w:left w:val="nil"/>
              <w:bottom w:val="single" w:sz="4" w:space="0" w:color="auto"/>
              <w:right w:val="single" w:sz="4" w:space="0" w:color="auto"/>
            </w:tcBorders>
            <w:shd w:val="clear" w:color="000000" w:fill="FFFFFF"/>
            <w:noWrap/>
            <w:vAlign w:val="center"/>
            <w:hideMark/>
          </w:tcPr>
          <w:p w14:paraId="50355B2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28.7%</w:t>
            </w:r>
          </w:p>
        </w:tc>
        <w:tc>
          <w:tcPr>
            <w:tcW w:w="851" w:type="dxa"/>
            <w:tcBorders>
              <w:top w:val="nil"/>
              <w:left w:val="nil"/>
              <w:bottom w:val="single" w:sz="4" w:space="0" w:color="auto"/>
              <w:right w:val="single" w:sz="4" w:space="0" w:color="auto"/>
            </w:tcBorders>
            <w:shd w:val="clear" w:color="000000" w:fill="FFFFFF"/>
            <w:noWrap/>
            <w:vAlign w:val="center"/>
            <w:hideMark/>
          </w:tcPr>
          <w:p w14:paraId="29F5DC8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30.3%</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AEB64D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58.8%</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87566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53.3%</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0A0A9B4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56.3%</w:t>
            </w:r>
          </w:p>
        </w:tc>
      </w:tr>
      <w:tr w:rsidR="00873EE4" w:rsidRPr="00B109BD" w14:paraId="2CC9A493"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60B160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8E91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4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F36D2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AE46E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3FE4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F310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CA97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DD05C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w:t>
            </w:r>
          </w:p>
        </w:tc>
        <w:tc>
          <w:tcPr>
            <w:tcW w:w="99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347AB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w:t>
            </w:r>
          </w:p>
        </w:tc>
      </w:tr>
      <w:tr w:rsidR="00873EE4" w:rsidRPr="00B109BD" w14:paraId="2EC26C06"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EBB6B6D"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7150E24"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single" w:sz="4" w:space="0" w:color="auto"/>
              <w:left w:val="nil"/>
              <w:bottom w:val="single" w:sz="4" w:space="0" w:color="auto"/>
              <w:right w:val="single" w:sz="4" w:space="0" w:color="auto"/>
            </w:tcBorders>
            <w:shd w:val="clear" w:color="000000" w:fill="FFFFFF"/>
            <w:vAlign w:val="center"/>
            <w:hideMark/>
          </w:tcPr>
          <w:p w14:paraId="4DCC30E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D7BEB4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1.6%</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05FCC2F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4CD0CAA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0.9%</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79709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23.5%</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E038E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46.7%</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F3CD2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34.4%</w:t>
            </w:r>
          </w:p>
        </w:tc>
      </w:tr>
      <w:tr w:rsidR="00873EE4" w:rsidRPr="00B109BD" w14:paraId="6330B809"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3B6E37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4047E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14:paraId="1F1371D0"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020CE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1B6F48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32CFD8B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F5BD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A38E3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D92B90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w:t>
            </w:r>
          </w:p>
        </w:tc>
      </w:tr>
      <w:tr w:rsidR="00873EE4" w:rsidRPr="00B109BD" w14:paraId="1A4A6147"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F110A22"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2BBEA48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4BBA914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4F64408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992" w:type="dxa"/>
            <w:tcBorders>
              <w:top w:val="nil"/>
              <w:left w:val="nil"/>
              <w:bottom w:val="single" w:sz="4" w:space="0" w:color="auto"/>
              <w:right w:val="single" w:sz="4" w:space="0" w:color="auto"/>
            </w:tcBorders>
            <w:shd w:val="clear" w:color="000000" w:fill="FFFFFF"/>
            <w:noWrap/>
            <w:vAlign w:val="center"/>
            <w:hideMark/>
          </w:tcPr>
          <w:p w14:paraId="540BB4C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6022682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2F7F2B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26B5A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7113FF2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3.1%</w:t>
            </w:r>
          </w:p>
        </w:tc>
      </w:tr>
      <w:tr w:rsidR="00873EE4" w:rsidRPr="00B109BD" w14:paraId="23A83FC7" w14:textId="77777777" w:rsidTr="00E56286">
        <w:trPr>
          <w:trHeight w:val="239"/>
        </w:trPr>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2909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Diagnosis</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F21313" w14:textId="17F230C9"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Surgery</w:t>
            </w:r>
          </w:p>
        </w:tc>
        <w:tc>
          <w:tcPr>
            <w:tcW w:w="426" w:type="dxa"/>
            <w:tcBorders>
              <w:top w:val="single" w:sz="4" w:space="0" w:color="auto"/>
              <w:left w:val="nil"/>
              <w:bottom w:val="single" w:sz="4" w:space="0" w:color="auto"/>
              <w:right w:val="single" w:sz="4" w:space="0" w:color="auto"/>
            </w:tcBorders>
            <w:shd w:val="clear" w:color="000000" w:fill="FFFFFF"/>
            <w:vAlign w:val="center"/>
            <w:hideMark/>
          </w:tcPr>
          <w:p w14:paraId="42D2A368"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25D3AF0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44EDE4F3"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75</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5751677"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177</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E788D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12</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793FB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9</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8E8F1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21</w:t>
            </w:r>
          </w:p>
        </w:tc>
      </w:tr>
      <w:tr w:rsidR="00873EE4" w:rsidRPr="00B109BD" w14:paraId="1D42FD9B" w14:textId="77777777" w:rsidTr="00E56286">
        <w:trPr>
          <w:trHeight w:val="23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08A38D90"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7A7FBE"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single" w:sz="4" w:space="0" w:color="auto"/>
              <w:left w:val="nil"/>
              <w:bottom w:val="single" w:sz="4" w:space="0" w:color="auto"/>
              <w:right w:val="single" w:sz="4" w:space="0" w:color="auto"/>
            </w:tcBorders>
            <w:shd w:val="clear" w:color="000000" w:fill="FFFFFF"/>
            <w:vAlign w:val="center"/>
            <w:hideMark/>
          </w:tcPr>
          <w:p w14:paraId="478358D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14F5030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82.3%</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6812CB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79.8%</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49CF27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81.2%</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3D39C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70.6%</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DF9F0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60.0%</w:t>
            </w:r>
          </w:p>
        </w:tc>
        <w:tc>
          <w:tcPr>
            <w:tcW w:w="9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E5A24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65.6%</w:t>
            </w:r>
          </w:p>
        </w:tc>
      </w:tr>
      <w:tr w:rsidR="00873EE4" w:rsidRPr="00B109BD" w14:paraId="5EE94105"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2E07DC1B"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93C581" w14:textId="07F45A05"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Other</w:t>
            </w:r>
          </w:p>
        </w:tc>
        <w:tc>
          <w:tcPr>
            <w:tcW w:w="426" w:type="dxa"/>
            <w:tcBorders>
              <w:top w:val="nil"/>
              <w:left w:val="nil"/>
              <w:bottom w:val="single" w:sz="4" w:space="0" w:color="auto"/>
              <w:right w:val="single" w:sz="4" w:space="0" w:color="auto"/>
            </w:tcBorders>
            <w:shd w:val="clear" w:color="000000" w:fill="FFFFFF"/>
            <w:vAlign w:val="center"/>
            <w:hideMark/>
          </w:tcPr>
          <w:p w14:paraId="060CF3E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39F6B3E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22</w:t>
            </w:r>
          </w:p>
        </w:tc>
        <w:tc>
          <w:tcPr>
            <w:tcW w:w="992" w:type="dxa"/>
            <w:tcBorders>
              <w:top w:val="nil"/>
              <w:left w:val="nil"/>
              <w:bottom w:val="single" w:sz="4" w:space="0" w:color="auto"/>
              <w:right w:val="single" w:sz="4" w:space="0" w:color="auto"/>
            </w:tcBorders>
            <w:shd w:val="clear" w:color="000000" w:fill="FFFFFF"/>
            <w:noWrap/>
            <w:vAlign w:val="center"/>
            <w:hideMark/>
          </w:tcPr>
          <w:p w14:paraId="486142F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19</w:t>
            </w:r>
          </w:p>
        </w:tc>
        <w:tc>
          <w:tcPr>
            <w:tcW w:w="851" w:type="dxa"/>
            <w:tcBorders>
              <w:top w:val="nil"/>
              <w:left w:val="nil"/>
              <w:bottom w:val="single" w:sz="4" w:space="0" w:color="auto"/>
              <w:right w:val="single" w:sz="4" w:space="0" w:color="auto"/>
            </w:tcBorders>
            <w:shd w:val="clear" w:color="000000" w:fill="FFFFFF"/>
            <w:noWrap/>
            <w:vAlign w:val="center"/>
            <w:hideMark/>
          </w:tcPr>
          <w:p w14:paraId="5653F771"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41</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2B5C86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D72C8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6</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53D52285"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11</w:t>
            </w:r>
          </w:p>
        </w:tc>
      </w:tr>
      <w:tr w:rsidR="00873EE4" w:rsidRPr="00B109BD" w14:paraId="1644B554" w14:textId="77777777" w:rsidTr="00E56286">
        <w:trPr>
          <w:trHeight w:val="239"/>
        </w:trPr>
        <w:tc>
          <w:tcPr>
            <w:tcW w:w="1134" w:type="dxa"/>
            <w:vMerge/>
            <w:tcBorders>
              <w:top w:val="nil"/>
              <w:left w:val="single" w:sz="4" w:space="0" w:color="auto"/>
              <w:bottom w:val="single" w:sz="4" w:space="0" w:color="auto"/>
              <w:right w:val="single" w:sz="4" w:space="0" w:color="auto"/>
            </w:tcBorders>
            <w:vAlign w:val="center"/>
            <w:hideMark/>
          </w:tcPr>
          <w:p w14:paraId="35704485"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1701" w:type="dxa"/>
            <w:vMerge/>
            <w:tcBorders>
              <w:top w:val="nil"/>
              <w:left w:val="single" w:sz="4" w:space="0" w:color="auto"/>
              <w:bottom w:val="single" w:sz="4" w:space="0" w:color="auto"/>
              <w:right w:val="single" w:sz="4" w:space="0" w:color="auto"/>
            </w:tcBorders>
            <w:vAlign w:val="center"/>
            <w:hideMark/>
          </w:tcPr>
          <w:p w14:paraId="2F0164C7"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6384048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5AAF826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17.7%</w:t>
            </w:r>
          </w:p>
        </w:tc>
        <w:tc>
          <w:tcPr>
            <w:tcW w:w="992" w:type="dxa"/>
            <w:tcBorders>
              <w:top w:val="nil"/>
              <w:left w:val="nil"/>
              <w:bottom w:val="single" w:sz="4" w:space="0" w:color="auto"/>
              <w:right w:val="single" w:sz="4" w:space="0" w:color="auto"/>
            </w:tcBorders>
            <w:shd w:val="clear" w:color="000000" w:fill="FFFFFF"/>
            <w:noWrap/>
            <w:vAlign w:val="center"/>
            <w:hideMark/>
          </w:tcPr>
          <w:p w14:paraId="1A2A291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20.2%</w:t>
            </w:r>
          </w:p>
        </w:tc>
        <w:tc>
          <w:tcPr>
            <w:tcW w:w="851" w:type="dxa"/>
            <w:tcBorders>
              <w:top w:val="nil"/>
              <w:left w:val="nil"/>
              <w:bottom w:val="single" w:sz="4" w:space="0" w:color="auto"/>
              <w:right w:val="single" w:sz="4" w:space="0" w:color="auto"/>
            </w:tcBorders>
            <w:shd w:val="clear" w:color="000000" w:fill="FFFFFF"/>
            <w:noWrap/>
            <w:vAlign w:val="center"/>
            <w:hideMark/>
          </w:tcPr>
          <w:p w14:paraId="5E78483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18.8%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75677F6"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29.4%</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B44F4AE"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40.0%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0F6B88A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34.4%</w:t>
            </w:r>
          </w:p>
        </w:tc>
      </w:tr>
      <w:tr w:rsidR="00873EE4" w:rsidRPr="00B109BD" w14:paraId="540235A6" w14:textId="77777777" w:rsidTr="00E56286">
        <w:trPr>
          <w:trHeight w:val="239"/>
        </w:trPr>
        <w:tc>
          <w:tcPr>
            <w:tcW w:w="283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ED2224" w14:textId="44E9549C" w:rsidR="00873EE4" w:rsidRPr="00B109BD" w:rsidRDefault="00216EE5"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Total</w:t>
            </w:r>
          </w:p>
        </w:tc>
        <w:tc>
          <w:tcPr>
            <w:tcW w:w="426" w:type="dxa"/>
            <w:tcBorders>
              <w:top w:val="nil"/>
              <w:left w:val="nil"/>
              <w:bottom w:val="single" w:sz="4" w:space="0" w:color="auto"/>
              <w:right w:val="single" w:sz="4" w:space="0" w:color="auto"/>
            </w:tcBorders>
            <w:shd w:val="clear" w:color="000000" w:fill="FFFFFF"/>
            <w:vAlign w:val="center"/>
            <w:hideMark/>
          </w:tcPr>
          <w:p w14:paraId="7843BBFB"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n</w:t>
            </w:r>
          </w:p>
        </w:tc>
        <w:tc>
          <w:tcPr>
            <w:tcW w:w="850" w:type="dxa"/>
            <w:tcBorders>
              <w:top w:val="nil"/>
              <w:left w:val="nil"/>
              <w:bottom w:val="single" w:sz="4" w:space="0" w:color="auto"/>
              <w:right w:val="single" w:sz="4" w:space="0" w:color="auto"/>
            </w:tcBorders>
            <w:shd w:val="clear" w:color="000000" w:fill="FFFFFF"/>
            <w:noWrap/>
            <w:vAlign w:val="center"/>
            <w:hideMark/>
          </w:tcPr>
          <w:p w14:paraId="598F848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124</w:t>
            </w:r>
          </w:p>
        </w:tc>
        <w:tc>
          <w:tcPr>
            <w:tcW w:w="992" w:type="dxa"/>
            <w:tcBorders>
              <w:top w:val="nil"/>
              <w:left w:val="nil"/>
              <w:bottom w:val="single" w:sz="4" w:space="0" w:color="auto"/>
              <w:right w:val="single" w:sz="4" w:space="0" w:color="auto"/>
            </w:tcBorders>
            <w:shd w:val="clear" w:color="000000" w:fill="FFFFFF"/>
            <w:noWrap/>
            <w:vAlign w:val="center"/>
            <w:hideMark/>
          </w:tcPr>
          <w:p w14:paraId="71DBB15D"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94</w:t>
            </w:r>
          </w:p>
        </w:tc>
        <w:tc>
          <w:tcPr>
            <w:tcW w:w="851" w:type="dxa"/>
            <w:tcBorders>
              <w:top w:val="nil"/>
              <w:left w:val="nil"/>
              <w:bottom w:val="single" w:sz="4" w:space="0" w:color="auto"/>
              <w:right w:val="single" w:sz="4" w:space="0" w:color="auto"/>
            </w:tcBorders>
            <w:shd w:val="clear" w:color="000000" w:fill="FFFFFF"/>
            <w:noWrap/>
            <w:vAlign w:val="center"/>
            <w:hideMark/>
          </w:tcPr>
          <w:p w14:paraId="14302ED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218</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487CAE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880B1F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15</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7C3983E9"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32</w:t>
            </w:r>
          </w:p>
        </w:tc>
      </w:tr>
      <w:tr w:rsidR="00873EE4" w:rsidRPr="00B109BD" w14:paraId="2AA4809D" w14:textId="77777777" w:rsidTr="00E56286">
        <w:trPr>
          <w:trHeight w:val="239"/>
        </w:trPr>
        <w:tc>
          <w:tcPr>
            <w:tcW w:w="2835" w:type="dxa"/>
            <w:gridSpan w:val="2"/>
            <w:vMerge/>
            <w:tcBorders>
              <w:top w:val="single" w:sz="4" w:space="0" w:color="auto"/>
              <w:left w:val="single" w:sz="4" w:space="0" w:color="auto"/>
              <w:bottom w:val="single" w:sz="4" w:space="0" w:color="auto"/>
              <w:right w:val="single" w:sz="4" w:space="0" w:color="auto"/>
            </w:tcBorders>
            <w:vAlign w:val="center"/>
            <w:hideMark/>
          </w:tcPr>
          <w:p w14:paraId="73D0F6DF" w14:textId="77777777" w:rsidR="00873EE4" w:rsidRPr="00B109BD" w:rsidRDefault="00873EE4" w:rsidP="00E25588">
            <w:pPr>
              <w:spacing w:after="0" w:line="240" w:lineRule="auto"/>
              <w:rPr>
                <w:rFonts w:ascii="Times New Roman" w:eastAsia="Times New Roman" w:hAnsi="Times New Roman" w:cs="Times New Roman"/>
                <w:kern w:val="0"/>
                <w:sz w:val="18"/>
                <w:szCs w:val="18"/>
                <w14:ligatures w14:val="none"/>
              </w:rPr>
            </w:pPr>
          </w:p>
        </w:tc>
        <w:tc>
          <w:tcPr>
            <w:tcW w:w="426" w:type="dxa"/>
            <w:tcBorders>
              <w:top w:val="nil"/>
              <w:left w:val="nil"/>
              <w:bottom w:val="single" w:sz="4" w:space="0" w:color="auto"/>
              <w:right w:val="single" w:sz="4" w:space="0" w:color="auto"/>
            </w:tcBorders>
            <w:shd w:val="clear" w:color="000000" w:fill="FFFFFF"/>
            <w:vAlign w:val="center"/>
            <w:hideMark/>
          </w:tcPr>
          <w:p w14:paraId="329BB37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w:t>
            </w:r>
          </w:p>
        </w:tc>
        <w:tc>
          <w:tcPr>
            <w:tcW w:w="850" w:type="dxa"/>
            <w:tcBorders>
              <w:top w:val="nil"/>
              <w:left w:val="nil"/>
              <w:bottom w:val="single" w:sz="4" w:space="0" w:color="auto"/>
              <w:right w:val="single" w:sz="4" w:space="0" w:color="auto"/>
            </w:tcBorders>
            <w:shd w:val="clear" w:color="000000" w:fill="FFFFFF"/>
            <w:noWrap/>
            <w:vAlign w:val="center"/>
            <w:hideMark/>
          </w:tcPr>
          <w:p w14:paraId="1A417A3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c>
          <w:tcPr>
            <w:tcW w:w="992" w:type="dxa"/>
            <w:tcBorders>
              <w:top w:val="nil"/>
              <w:left w:val="nil"/>
              <w:bottom w:val="single" w:sz="4" w:space="0" w:color="auto"/>
              <w:right w:val="single" w:sz="4" w:space="0" w:color="auto"/>
            </w:tcBorders>
            <w:shd w:val="clear" w:color="000000" w:fill="FFFFFF"/>
            <w:noWrap/>
            <w:vAlign w:val="center"/>
            <w:hideMark/>
          </w:tcPr>
          <w:p w14:paraId="5CFB0FA2"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c>
          <w:tcPr>
            <w:tcW w:w="851" w:type="dxa"/>
            <w:tcBorders>
              <w:top w:val="nil"/>
              <w:left w:val="nil"/>
              <w:bottom w:val="single" w:sz="4" w:space="0" w:color="auto"/>
              <w:right w:val="single" w:sz="4" w:space="0" w:color="auto"/>
            </w:tcBorders>
            <w:shd w:val="clear" w:color="000000" w:fill="FFFFFF"/>
            <w:noWrap/>
            <w:vAlign w:val="center"/>
            <w:hideMark/>
          </w:tcPr>
          <w:p w14:paraId="2693B0C4"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5C84AD6C"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8FDF4BA"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14:paraId="71A2845F" w14:textId="77777777" w:rsidR="00873EE4" w:rsidRPr="00B109BD" w:rsidRDefault="00873EE4" w:rsidP="00E25588">
            <w:pPr>
              <w:spacing w:after="0" w:line="240" w:lineRule="auto"/>
              <w:jc w:val="center"/>
              <w:rPr>
                <w:rFonts w:ascii="Times New Roman" w:eastAsia="Times New Roman" w:hAnsi="Times New Roman" w:cs="Times New Roman"/>
                <w:kern w:val="0"/>
                <w:sz w:val="18"/>
                <w:szCs w:val="18"/>
                <w14:ligatures w14:val="none"/>
              </w:rPr>
            </w:pPr>
            <w:r w:rsidRPr="00B109BD">
              <w:rPr>
                <w:rFonts w:ascii="Times New Roman" w:eastAsia="Times New Roman" w:hAnsi="Times New Roman" w:cs="Times New Roman"/>
                <w:kern w:val="0"/>
                <w:sz w:val="18"/>
                <w:szCs w:val="18"/>
                <w14:ligatures w14:val="none"/>
              </w:rPr>
              <w:t>100.0%</w:t>
            </w:r>
          </w:p>
        </w:tc>
      </w:tr>
      <w:tr w:rsidR="00873EE4" w:rsidRPr="00B109BD" w14:paraId="3F385928" w14:textId="77777777" w:rsidTr="00E56286">
        <w:trPr>
          <w:gridAfter w:val="1"/>
          <w:wAfter w:w="485" w:type="dxa"/>
          <w:trHeight w:val="239"/>
        </w:trPr>
        <w:tc>
          <w:tcPr>
            <w:tcW w:w="2835" w:type="dxa"/>
            <w:gridSpan w:val="2"/>
            <w:tcBorders>
              <w:top w:val="nil"/>
              <w:left w:val="nil"/>
              <w:bottom w:val="nil"/>
              <w:right w:val="nil"/>
            </w:tcBorders>
            <w:shd w:val="clear" w:color="auto" w:fill="auto"/>
            <w:noWrap/>
            <w:vAlign w:val="bottom"/>
            <w:hideMark/>
          </w:tcPr>
          <w:p w14:paraId="03E6BFD6" w14:textId="51AD88C9" w:rsidR="00873EE4" w:rsidRPr="00B109BD" w:rsidRDefault="00873EE4" w:rsidP="00E25588">
            <w:pPr>
              <w:spacing w:after="0" w:line="240" w:lineRule="auto"/>
              <w:rPr>
                <w:rFonts w:ascii="Times New Roman" w:eastAsia="Times New Roman" w:hAnsi="Times New Roman" w:cs="Times New Roman"/>
                <w:color w:val="000000"/>
                <w:kern w:val="0"/>
                <w14:ligatures w14:val="none"/>
              </w:rPr>
            </w:pPr>
          </w:p>
        </w:tc>
        <w:tc>
          <w:tcPr>
            <w:tcW w:w="426" w:type="dxa"/>
            <w:tcBorders>
              <w:top w:val="nil"/>
              <w:left w:val="nil"/>
              <w:bottom w:val="nil"/>
              <w:right w:val="nil"/>
            </w:tcBorders>
            <w:shd w:val="clear" w:color="auto" w:fill="auto"/>
            <w:noWrap/>
            <w:vAlign w:val="bottom"/>
            <w:hideMark/>
          </w:tcPr>
          <w:p w14:paraId="465A3315" w14:textId="77777777" w:rsidR="00873EE4" w:rsidRPr="00B109BD" w:rsidRDefault="00873EE4" w:rsidP="00E25588">
            <w:pPr>
              <w:spacing w:after="0" w:line="240" w:lineRule="auto"/>
              <w:rPr>
                <w:rFonts w:ascii="Times New Roman" w:eastAsia="Times New Roman" w:hAnsi="Times New Roman" w:cs="Times New Roman"/>
                <w:color w:val="000000"/>
                <w:kern w:val="0"/>
                <w14:ligatures w14:val="none"/>
              </w:rPr>
            </w:pPr>
          </w:p>
        </w:tc>
        <w:tc>
          <w:tcPr>
            <w:tcW w:w="850" w:type="dxa"/>
            <w:tcBorders>
              <w:top w:val="nil"/>
              <w:left w:val="nil"/>
              <w:bottom w:val="nil"/>
              <w:right w:val="nil"/>
            </w:tcBorders>
            <w:shd w:val="clear" w:color="auto" w:fill="auto"/>
            <w:noWrap/>
            <w:vAlign w:val="bottom"/>
            <w:hideMark/>
          </w:tcPr>
          <w:p w14:paraId="0D668B44"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992" w:type="dxa"/>
            <w:tcBorders>
              <w:top w:val="nil"/>
              <w:left w:val="nil"/>
              <w:bottom w:val="nil"/>
              <w:right w:val="nil"/>
            </w:tcBorders>
            <w:shd w:val="clear" w:color="auto" w:fill="auto"/>
            <w:noWrap/>
            <w:vAlign w:val="bottom"/>
            <w:hideMark/>
          </w:tcPr>
          <w:p w14:paraId="31F972FD"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851" w:type="dxa"/>
            <w:tcBorders>
              <w:top w:val="nil"/>
              <w:left w:val="nil"/>
              <w:bottom w:val="nil"/>
              <w:right w:val="nil"/>
            </w:tcBorders>
            <w:shd w:val="clear" w:color="auto" w:fill="auto"/>
            <w:noWrap/>
            <w:vAlign w:val="bottom"/>
            <w:hideMark/>
          </w:tcPr>
          <w:p w14:paraId="49BD3218"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236" w:type="dxa"/>
            <w:tcBorders>
              <w:top w:val="nil"/>
              <w:left w:val="nil"/>
              <w:bottom w:val="nil"/>
              <w:right w:val="nil"/>
            </w:tcBorders>
            <w:shd w:val="clear" w:color="auto" w:fill="auto"/>
            <w:noWrap/>
            <w:vAlign w:val="bottom"/>
            <w:hideMark/>
          </w:tcPr>
          <w:p w14:paraId="7A37A8EB"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826" w:type="dxa"/>
            <w:gridSpan w:val="2"/>
            <w:tcBorders>
              <w:top w:val="nil"/>
              <w:left w:val="nil"/>
              <w:bottom w:val="nil"/>
              <w:right w:val="nil"/>
            </w:tcBorders>
            <w:shd w:val="clear" w:color="auto" w:fill="auto"/>
            <w:noWrap/>
            <w:vAlign w:val="bottom"/>
            <w:hideMark/>
          </w:tcPr>
          <w:p w14:paraId="44583648"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816" w:type="dxa"/>
            <w:gridSpan w:val="2"/>
            <w:tcBorders>
              <w:top w:val="nil"/>
              <w:left w:val="nil"/>
              <w:bottom w:val="nil"/>
              <w:right w:val="nil"/>
            </w:tcBorders>
            <w:shd w:val="clear" w:color="auto" w:fill="auto"/>
            <w:noWrap/>
            <w:vAlign w:val="bottom"/>
            <w:hideMark/>
          </w:tcPr>
          <w:p w14:paraId="07274C30"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c>
          <w:tcPr>
            <w:tcW w:w="330" w:type="dxa"/>
            <w:tcBorders>
              <w:top w:val="nil"/>
              <w:left w:val="nil"/>
              <w:bottom w:val="nil"/>
              <w:right w:val="nil"/>
            </w:tcBorders>
            <w:shd w:val="clear" w:color="auto" w:fill="auto"/>
            <w:noWrap/>
            <w:vAlign w:val="bottom"/>
            <w:hideMark/>
          </w:tcPr>
          <w:p w14:paraId="3D09E238" w14:textId="77777777" w:rsidR="00873EE4" w:rsidRPr="00B109BD" w:rsidRDefault="00873EE4" w:rsidP="00E25588">
            <w:pPr>
              <w:spacing w:after="0" w:line="240" w:lineRule="auto"/>
              <w:rPr>
                <w:rFonts w:ascii="Times New Roman" w:eastAsia="Times New Roman" w:hAnsi="Times New Roman" w:cs="Times New Roman"/>
                <w:kern w:val="0"/>
                <w:sz w:val="20"/>
                <w:szCs w:val="20"/>
                <w14:ligatures w14:val="none"/>
              </w:rPr>
            </w:pPr>
          </w:p>
        </w:tc>
      </w:tr>
    </w:tbl>
    <w:p w14:paraId="5410B11B" w14:textId="7B2CB8B1" w:rsidR="00035ED4" w:rsidRPr="00B109BD" w:rsidRDefault="00035ED4" w:rsidP="00035ED4">
      <w:pPr>
        <w:spacing w:line="360" w:lineRule="auto"/>
        <w:jc w:val="both"/>
        <w:rPr>
          <w:rFonts w:ascii="Times New Roman" w:eastAsiaTheme="minorEastAsia" w:hAnsi="Times New Roman" w:cs="Times New Roman"/>
          <w:noProof/>
          <w:kern w:val="0"/>
          <w:sz w:val="18"/>
          <w:szCs w:val="18"/>
          <w:lang w:eastAsia="zh-CN"/>
          <w14:ligatures w14:val="none"/>
        </w:rPr>
      </w:pPr>
      <w:r w:rsidRPr="00B109BD">
        <w:rPr>
          <w:rFonts w:ascii="Times New Roman" w:eastAsiaTheme="minorEastAsia" w:hAnsi="Times New Roman" w:cs="Times New Roman"/>
          <w:noProof/>
          <w:kern w:val="0"/>
          <w:sz w:val="18"/>
          <w:szCs w:val="18"/>
          <w:lang w:eastAsia="zh-CN"/>
          <w14:ligatures w14:val="none"/>
        </w:rPr>
        <w:t xml:space="preserve">APACHE II, Acute Physiology and Chronic Health Evaluation II score; ICU, </w:t>
      </w:r>
      <w:r w:rsidR="00C03A79" w:rsidRPr="00B109BD">
        <w:rPr>
          <w:rFonts w:ascii="Times New Roman" w:eastAsiaTheme="minorEastAsia" w:hAnsi="Times New Roman" w:cs="Times New Roman"/>
          <w:noProof/>
          <w:kern w:val="0"/>
          <w:sz w:val="18"/>
          <w:szCs w:val="18"/>
          <w:lang w:eastAsia="zh-CN"/>
          <w14:ligatures w14:val="none"/>
        </w:rPr>
        <w:t>I</w:t>
      </w:r>
      <w:r w:rsidRPr="00B109BD">
        <w:rPr>
          <w:rFonts w:ascii="Times New Roman" w:eastAsiaTheme="minorEastAsia" w:hAnsi="Times New Roman" w:cs="Times New Roman"/>
          <w:noProof/>
          <w:kern w:val="0"/>
          <w:sz w:val="18"/>
          <w:szCs w:val="18"/>
          <w:lang w:eastAsia="zh-CN"/>
          <w14:ligatures w14:val="none"/>
        </w:rPr>
        <w:t xml:space="preserve">ntensive </w:t>
      </w:r>
      <w:r w:rsidR="00C03A79" w:rsidRPr="00B109BD">
        <w:rPr>
          <w:rFonts w:ascii="Times New Roman" w:eastAsiaTheme="minorEastAsia" w:hAnsi="Times New Roman" w:cs="Times New Roman"/>
          <w:noProof/>
          <w:kern w:val="0"/>
          <w:sz w:val="18"/>
          <w:szCs w:val="18"/>
          <w:lang w:eastAsia="zh-CN"/>
          <w14:ligatures w14:val="none"/>
        </w:rPr>
        <w:t>C</w:t>
      </w:r>
      <w:r w:rsidRPr="00B109BD">
        <w:rPr>
          <w:rFonts w:ascii="Times New Roman" w:eastAsiaTheme="minorEastAsia" w:hAnsi="Times New Roman" w:cs="Times New Roman"/>
          <w:noProof/>
          <w:kern w:val="0"/>
          <w:sz w:val="18"/>
          <w:szCs w:val="18"/>
          <w:lang w:eastAsia="zh-CN"/>
          <w14:ligatures w14:val="none"/>
        </w:rPr>
        <w:t xml:space="preserve">are </w:t>
      </w:r>
      <w:r w:rsidR="00C03A79" w:rsidRPr="00B109BD">
        <w:rPr>
          <w:rFonts w:ascii="Times New Roman" w:eastAsiaTheme="minorEastAsia" w:hAnsi="Times New Roman" w:cs="Times New Roman"/>
          <w:noProof/>
          <w:kern w:val="0"/>
          <w:sz w:val="18"/>
          <w:szCs w:val="18"/>
          <w:lang w:eastAsia="zh-CN"/>
          <w14:ligatures w14:val="none"/>
        </w:rPr>
        <w:t>U</w:t>
      </w:r>
      <w:r w:rsidRPr="00B109BD">
        <w:rPr>
          <w:rFonts w:ascii="Times New Roman" w:eastAsiaTheme="minorEastAsia" w:hAnsi="Times New Roman" w:cs="Times New Roman"/>
          <w:noProof/>
          <w:kern w:val="0"/>
          <w:sz w:val="18"/>
          <w:szCs w:val="18"/>
          <w:lang w:eastAsia="zh-CN"/>
          <w14:ligatures w14:val="none"/>
        </w:rPr>
        <w:t>nit, LOS, Length of Stay,  mNUTRIC, modified Nutritional Risk for Critically ill patients; SOFA, Sequential Organ Failure Assessment score.</w:t>
      </w:r>
    </w:p>
    <w:p w14:paraId="0003473D" w14:textId="27FBBEC8" w:rsidR="00873EE4" w:rsidRPr="00B109BD" w:rsidRDefault="00560925">
      <w:pPr>
        <w:rPr>
          <w:rFonts w:ascii="Times New Roman" w:hAnsi="Times New Roman" w:cs="Times New Roman"/>
          <w:sz w:val="24"/>
          <w:szCs w:val="24"/>
        </w:rPr>
      </w:pPr>
      <w:r w:rsidRPr="00B109BD">
        <w:rPr>
          <w:rFonts w:ascii="Times New Roman" w:hAnsi="Times New Roman" w:cs="Times New Roman"/>
          <w:i/>
          <w:iCs/>
          <w:sz w:val="24"/>
          <w:szCs w:val="24"/>
        </w:rPr>
        <w:t>Source : Data center Wahidin Sudirohusodo hospital</w:t>
      </w:r>
      <w:r w:rsidR="000B685F" w:rsidRPr="00B109BD">
        <w:rPr>
          <w:rFonts w:ascii="Times New Roman" w:hAnsi="Times New Roman" w:cs="Times New Roman"/>
          <w:sz w:val="24"/>
          <w:szCs w:val="24"/>
        </w:rPr>
        <w:t>, 2020-2021</w:t>
      </w:r>
    </w:p>
    <w:p w14:paraId="058AD49B" w14:textId="77777777" w:rsidR="004D26F1" w:rsidRPr="00B109BD" w:rsidRDefault="00E56286" w:rsidP="00E56286">
      <w:pPr>
        <w:spacing w:after="0" w:line="360" w:lineRule="auto"/>
        <w:jc w:val="both"/>
        <w:rPr>
          <w:rFonts w:ascii="Times New Roman" w:hAnsi="Times New Roman" w:cs="Times New Roman"/>
          <w:b/>
          <w:bCs/>
          <w:sz w:val="24"/>
          <w:szCs w:val="24"/>
        </w:rPr>
      </w:pPr>
      <w:r w:rsidRPr="00B109BD">
        <w:rPr>
          <w:rFonts w:ascii="Times New Roman" w:hAnsi="Times New Roman" w:cs="Times New Roman"/>
          <w:b/>
          <w:bCs/>
          <w:sz w:val="24"/>
          <w:szCs w:val="24"/>
        </w:rPr>
        <w:lastRenderedPageBreak/>
        <w:t xml:space="preserve">Table 2. </w:t>
      </w:r>
    </w:p>
    <w:p w14:paraId="6EC1A48E" w14:textId="6C549FFE" w:rsidR="00E56286" w:rsidRPr="00B109BD" w:rsidRDefault="00E56286" w:rsidP="00E56286">
      <w:pPr>
        <w:spacing w:after="0" w:line="360" w:lineRule="auto"/>
        <w:jc w:val="both"/>
        <w:rPr>
          <w:rFonts w:ascii="Times New Roman" w:hAnsi="Times New Roman" w:cs="Times New Roman"/>
          <w:b/>
          <w:bCs/>
          <w:sz w:val="24"/>
          <w:szCs w:val="24"/>
        </w:rPr>
      </w:pPr>
      <w:r w:rsidRPr="00B109BD">
        <w:rPr>
          <w:rFonts w:ascii="Times New Roman" w:hAnsi="Times New Roman" w:cs="Times New Roman"/>
          <w:b/>
          <w:bCs/>
          <w:sz w:val="24"/>
          <w:szCs w:val="24"/>
        </w:rPr>
        <w:t>Association of energy adequacy and length of ICU stay</w:t>
      </w:r>
    </w:p>
    <w:p w14:paraId="7B72A0A2" w14:textId="77777777" w:rsidR="00E56286" w:rsidRPr="00B109BD" w:rsidRDefault="00E56286">
      <w:pPr>
        <w:rPr>
          <w:rFonts w:ascii="Times New Roman" w:hAnsi="Times New Roman" w:cs="Times New Roman"/>
          <w:sz w:val="24"/>
          <w:szCs w:val="24"/>
        </w:rPr>
      </w:pPr>
    </w:p>
    <w:tbl>
      <w:tblPr>
        <w:tblpPr w:leftFromText="180" w:rightFromText="180" w:vertAnchor="text" w:horzAnchor="margin" w:tblpXSpec="center" w:tblpY="-86"/>
        <w:tblW w:w="8418" w:type="dxa"/>
        <w:tblLook w:val="04A0" w:firstRow="1" w:lastRow="0" w:firstColumn="1" w:lastColumn="0" w:noHBand="0" w:noVBand="1"/>
      </w:tblPr>
      <w:tblGrid>
        <w:gridCol w:w="3245"/>
        <w:gridCol w:w="2817"/>
        <w:gridCol w:w="2356"/>
      </w:tblGrid>
      <w:tr w:rsidR="00C03A79" w:rsidRPr="00B109BD" w14:paraId="1765C382" w14:textId="77777777" w:rsidTr="00C03A79">
        <w:trPr>
          <w:trHeight w:val="377"/>
        </w:trPr>
        <w:tc>
          <w:tcPr>
            <w:tcW w:w="32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E6F026E"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Energy ( kcal )</w:t>
            </w:r>
          </w:p>
        </w:tc>
        <w:tc>
          <w:tcPr>
            <w:tcW w:w="2817" w:type="dxa"/>
            <w:tcBorders>
              <w:top w:val="single" w:sz="4" w:space="0" w:color="auto"/>
              <w:left w:val="nil"/>
              <w:bottom w:val="single" w:sz="4" w:space="0" w:color="auto"/>
              <w:right w:val="single" w:sz="4" w:space="0" w:color="auto"/>
            </w:tcBorders>
            <w:shd w:val="clear" w:color="000000" w:fill="FFFFFF"/>
            <w:noWrap/>
            <w:vAlign w:val="center"/>
            <w:hideMark/>
          </w:tcPr>
          <w:p w14:paraId="73BCFA25"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LOS ( day )</w:t>
            </w:r>
          </w:p>
        </w:tc>
        <w:tc>
          <w:tcPr>
            <w:tcW w:w="2356" w:type="dxa"/>
            <w:tcBorders>
              <w:top w:val="single" w:sz="4" w:space="0" w:color="auto"/>
              <w:left w:val="single" w:sz="4" w:space="0" w:color="auto"/>
              <w:right w:val="single" w:sz="4" w:space="0" w:color="auto"/>
            </w:tcBorders>
            <w:shd w:val="clear" w:color="000000" w:fill="FFFFFF"/>
            <w:vAlign w:val="center"/>
            <w:hideMark/>
          </w:tcPr>
          <w:p w14:paraId="33D54285"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p value</w:t>
            </w:r>
          </w:p>
        </w:tc>
      </w:tr>
      <w:tr w:rsidR="00C03A79" w:rsidRPr="00B109BD" w14:paraId="3BD50DFF" w14:textId="77777777" w:rsidTr="00C03A79">
        <w:trPr>
          <w:trHeight w:val="377"/>
        </w:trPr>
        <w:tc>
          <w:tcPr>
            <w:tcW w:w="3245" w:type="dxa"/>
            <w:vMerge/>
            <w:tcBorders>
              <w:top w:val="single" w:sz="4" w:space="0" w:color="auto"/>
              <w:left w:val="single" w:sz="4" w:space="0" w:color="auto"/>
              <w:bottom w:val="single" w:sz="4" w:space="0" w:color="000000"/>
              <w:right w:val="single" w:sz="4" w:space="0" w:color="auto"/>
            </w:tcBorders>
            <w:vAlign w:val="center"/>
            <w:hideMark/>
          </w:tcPr>
          <w:p w14:paraId="360A07E0" w14:textId="77777777" w:rsidR="00C03A79" w:rsidRPr="00B109BD" w:rsidRDefault="00C03A79" w:rsidP="00C03A79">
            <w:pPr>
              <w:spacing w:after="0" w:line="240" w:lineRule="auto"/>
              <w:rPr>
                <w:rFonts w:ascii="Times New Roman" w:eastAsia="Times New Roman" w:hAnsi="Times New Roman" w:cs="Times New Roman"/>
                <w:kern w:val="0"/>
                <w14:ligatures w14:val="none"/>
              </w:rPr>
            </w:pPr>
          </w:p>
        </w:tc>
        <w:tc>
          <w:tcPr>
            <w:tcW w:w="2817" w:type="dxa"/>
            <w:tcBorders>
              <w:top w:val="nil"/>
              <w:left w:val="nil"/>
              <w:bottom w:val="single" w:sz="4" w:space="0" w:color="auto"/>
              <w:right w:val="single" w:sz="4" w:space="0" w:color="auto"/>
            </w:tcBorders>
            <w:shd w:val="clear" w:color="000000" w:fill="FFFFFF"/>
            <w:vAlign w:val="center"/>
            <w:hideMark/>
          </w:tcPr>
          <w:p w14:paraId="39DCF850"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Mean ± SD</w:t>
            </w:r>
          </w:p>
        </w:tc>
        <w:tc>
          <w:tcPr>
            <w:tcW w:w="2356" w:type="dxa"/>
            <w:tcBorders>
              <w:left w:val="single" w:sz="4" w:space="0" w:color="auto"/>
              <w:bottom w:val="single" w:sz="4" w:space="0" w:color="000000"/>
              <w:right w:val="single" w:sz="4" w:space="0" w:color="auto"/>
            </w:tcBorders>
            <w:vAlign w:val="center"/>
            <w:hideMark/>
          </w:tcPr>
          <w:p w14:paraId="6D2EEA07" w14:textId="77777777" w:rsidR="00C03A79" w:rsidRPr="00B109BD" w:rsidRDefault="00C03A79" w:rsidP="00C03A79">
            <w:pPr>
              <w:spacing w:after="0" w:line="240" w:lineRule="auto"/>
              <w:rPr>
                <w:rFonts w:ascii="Times New Roman" w:eastAsia="Times New Roman" w:hAnsi="Times New Roman" w:cs="Times New Roman"/>
                <w:kern w:val="0"/>
                <w14:ligatures w14:val="none"/>
              </w:rPr>
            </w:pPr>
          </w:p>
        </w:tc>
      </w:tr>
      <w:tr w:rsidR="00C03A79" w:rsidRPr="00B109BD" w14:paraId="12981826" w14:textId="77777777" w:rsidTr="00C03A79">
        <w:trPr>
          <w:trHeight w:val="377"/>
        </w:trPr>
        <w:tc>
          <w:tcPr>
            <w:tcW w:w="3245" w:type="dxa"/>
            <w:tcBorders>
              <w:top w:val="nil"/>
              <w:left w:val="single" w:sz="4" w:space="0" w:color="auto"/>
              <w:bottom w:val="single" w:sz="4" w:space="0" w:color="auto"/>
              <w:right w:val="single" w:sz="4" w:space="0" w:color="auto"/>
            </w:tcBorders>
            <w:shd w:val="clear" w:color="000000" w:fill="FFFFFF"/>
            <w:vAlign w:val="center"/>
            <w:hideMark/>
          </w:tcPr>
          <w:p w14:paraId="7786C86C"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bookmarkStart w:id="0" w:name="_Hlk139840913"/>
            <w:r w:rsidRPr="00B109BD">
              <w:rPr>
                <w:rFonts w:ascii="Times New Roman" w:eastAsia="Times New Roman" w:hAnsi="Times New Roman" w:cs="Times New Roman"/>
                <w:kern w:val="0"/>
                <w14:ligatures w14:val="none"/>
              </w:rPr>
              <w:t>&lt; 600</w:t>
            </w:r>
          </w:p>
        </w:tc>
        <w:tc>
          <w:tcPr>
            <w:tcW w:w="2817" w:type="dxa"/>
            <w:tcBorders>
              <w:top w:val="nil"/>
              <w:left w:val="nil"/>
              <w:bottom w:val="single" w:sz="4" w:space="0" w:color="auto"/>
              <w:right w:val="single" w:sz="4" w:space="0" w:color="auto"/>
            </w:tcBorders>
            <w:shd w:val="clear" w:color="000000" w:fill="FFFFFF"/>
            <w:noWrap/>
            <w:vAlign w:val="center"/>
            <w:hideMark/>
          </w:tcPr>
          <w:p w14:paraId="08C3E0CE"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4.79 ± 2.55</w:t>
            </w:r>
          </w:p>
        </w:tc>
        <w:tc>
          <w:tcPr>
            <w:tcW w:w="235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940531"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0.000</w:t>
            </w:r>
          </w:p>
        </w:tc>
      </w:tr>
      <w:bookmarkEnd w:id="0"/>
      <w:tr w:rsidR="00C03A79" w:rsidRPr="00B109BD" w14:paraId="6C4FE590" w14:textId="77777777" w:rsidTr="00C03A79">
        <w:trPr>
          <w:trHeight w:val="377"/>
        </w:trPr>
        <w:tc>
          <w:tcPr>
            <w:tcW w:w="3245" w:type="dxa"/>
            <w:tcBorders>
              <w:top w:val="nil"/>
              <w:left w:val="single" w:sz="4" w:space="0" w:color="auto"/>
              <w:bottom w:val="single" w:sz="4" w:space="0" w:color="auto"/>
              <w:right w:val="single" w:sz="4" w:space="0" w:color="auto"/>
            </w:tcBorders>
            <w:shd w:val="clear" w:color="000000" w:fill="FFFFFF"/>
            <w:vAlign w:val="center"/>
            <w:hideMark/>
          </w:tcPr>
          <w:p w14:paraId="6FE31A21"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 600</w:t>
            </w:r>
          </w:p>
        </w:tc>
        <w:tc>
          <w:tcPr>
            <w:tcW w:w="2817" w:type="dxa"/>
            <w:tcBorders>
              <w:top w:val="nil"/>
              <w:left w:val="nil"/>
              <w:bottom w:val="single" w:sz="4" w:space="0" w:color="auto"/>
              <w:right w:val="single" w:sz="4" w:space="0" w:color="auto"/>
            </w:tcBorders>
            <w:shd w:val="clear" w:color="000000" w:fill="FFFFFF"/>
            <w:noWrap/>
            <w:vAlign w:val="center"/>
            <w:hideMark/>
          </w:tcPr>
          <w:p w14:paraId="766E6A42"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9.88 ± 6.93</w:t>
            </w:r>
          </w:p>
        </w:tc>
        <w:tc>
          <w:tcPr>
            <w:tcW w:w="2356" w:type="dxa"/>
            <w:vMerge/>
            <w:tcBorders>
              <w:top w:val="nil"/>
              <w:left w:val="single" w:sz="4" w:space="0" w:color="auto"/>
              <w:bottom w:val="single" w:sz="4" w:space="0" w:color="000000"/>
              <w:right w:val="single" w:sz="4" w:space="0" w:color="auto"/>
            </w:tcBorders>
            <w:vAlign w:val="center"/>
            <w:hideMark/>
          </w:tcPr>
          <w:p w14:paraId="04EF5300" w14:textId="77777777" w:rsidR="00C03A79" w:rsidRPr="00B109BD" w:rsidRDefault="00C03A79" w:rsidP="00C03A79">
            <w:pPr>
              <w:spacing w:after="0" w:line="240" w:lineRule="auto"/>
              <w:rPr>
                <w:rFonts w:ascii="Times New Roman" w:eastAsia="Times New Roman" w:hAnsi="Times New Roman" w:cs="Times New Roman"/>
                <w:kern w:val="0"/>
                <w14:ligatures w14:val="none"/>
              </w:rPr>
            </w:pPr>
          </w:p>
        </w:tc>
      </w:tr>
      <w:tr w:rsidR="00C03A79" w:rsidRPr="00B109BD" w14:paraId="5C3618D7" w14:textId="77777777" w:rsidTr="00C03A79">
        <w:trPr>
          <w:trHeight w:val="377"/>
        </w:trPr>
        <w:tc>
          <w:tcPr>
            <w:tcW w:w="3245" w:type="dxa"/>
            <w:tcBorders>
              <w:top w:val="nil"/>
              <w:left w:val="single" w:sz="4" w:space="0" w:color="auto"/>
              <w:bottom w:val="single" w:sz="4" w:space="0" w:color="auto"/>
              <w:right w:val="single" w:sz="4" w:space="0" w:color="auto"/>
            </w:tcBorders>
            <w:shd w:val="clear" w:color="000000" w:fill="FFFFFF"/>
            <w:vAlign w:val="center"/>
            <w:hideMark/>
          </w:tcPr>
          <w:p w14:paraId="5026B8DA"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Total</w:t>
            </w:r>
          </w:p>
        </w:tc>
        <w:tc>
          <w:tcPr>
            <w:tcW w:w="2817" w:type="dxa"/>
            <w:tcBorders>
              <w:top w:val="nil"/>
              <w:left w:val="nil"/>
              <w:bottom w:val="single" w:sz="4" w:space="0" w:color="auto"/>
              <w:right w:val="single" w:sz="4" w:space="0" w:color="auto"/>
            </w:tcBorders>
            <w:shd w:val="clear" w:color="000000" w:fill="FFFFFF"/>
            <w:noWrap/>
            <w:vAlign w:val="center"/>
            <w:hideMark/>
          </w:tcPr>
          <w:p w14:paraId="788E60A1" w14:textId="77777777" w:rsidR="00C03A79" w:rsidRPr="00B109BD" w:rsidRDefault="00C03A79" w:rsidP="00C03A79">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7.01 ± 5.56</w:t>
            </w:r>
          </w:p>
        </w:tc>
        <w:tc>
          <w:tcPr>
            <w:tcW w:w="2356" w:type="dxa"/>
            <w:vMerge/>
            <w:tcBorders>
              <w:top w:val="nil"/>
              <w:left w:val="single" w:sz="4" w:space="0" w:color="auto"/>
              <w:bottom w:val="single" w:sz="4" w:space="0" w:color="000000"/>
              <w:right w:val="single" w:sz="4" w:space="0" w:color="auto"/>
            </w:tcBorders>
            <w:vAlign w:val="center"/>
            <w:hideMark/>
          </w:tcPr>
          <w:p w14:paraId="091DEDBD" w14:textId="77777777" w:rsidR="00C03A79" w:rsidRPr="00B109BD" w:rsidRDefault="00C03A79" w:rsidP="00C03A79">
            <w:pPr>
              <w:spacing w:after="0" w:line="240" w:lineRule="auto"/>
              <w:rPr>
                <w:rFonts w:ascii="Times New Roman" w:eastAsia="Times New Roman" w:hAnsi="Times New Roman" w:cs="Times New Roman"/>
                <w:kern w:val="0"/>
                <w14:ligatures w14:val="none"/>
              </w:rPr>
            </w:pPr>
          </w:p>
        </w:tc>
      </w:tr>
    </w:tbl>
    <w:p w14:paraId="0750C95B" w14:textId="77777777" w:rsidR="00C03A79" w:rsidRPr="00B109BD" w:rsidRDefault="00C03A79" w:rsidP="00C03A79">
      <w:pPr>
        <w:spacing w:after="0" w:line="240" w:lineRule="auto"/>
        <w:ind w:firstLine="720"/>
        <w:jc w:val="both"/>
        <w:rPr>
          <w:rFonts w:ascii="Times New Roman" w:eastAsiaTheme="minorEastAsia" w:hAnsi="Times New Roman" w:cs="Times New Roman"/>
          <w:noProof/>
          <w:kern w:val="0"/>
          <w:sz w:val="18"/>
          <w:szCs w:val="18"/>
          <w:lang w:eastAsia="zh-CN"/>
          <w14:ligatures w14:val="none"/>
        </w:rPr>
      </w:pPr>
    </w:p>
    <w:p w14:paraId="4EC0257F" w14:textId="123D910C" w:rsidR="00C03A79" w:rsidRPr="00B109BD" w:rsidRDefault="00C03A79" w:rsidP="00C03A79">
      <w:pPr>
        <w:spacing w:after="0" w:line="240" w:lineRule="auto"/>
        <w:jc w:val="both"/>
        <w:rPr>
          <w:rFonts w:ascii="Times New Roman" w:eastAsiaTheme="minorEastAsia" w:hAnsi="Times New Roman" w:cs="Times New Roman"/>
          <w:noProof/>
          <w:kern w:val="0"/>
          <w:sz w:val="18"/>
          <w:szCs w:val="18"/>
          <w:lang w:eastAsia="zh-CN"/>
          <w14:ligatures w14:val="none"/>
        </w:rPr>
      </w:pPr>
      <w:r w:rsidRPr="00B109BD">
        <w:rPr>
          <w:rFonts w:ascii="Times New Roman" w:eastAsiaTheme="minorEastAsia" w:hAnsi="Times New Roman" w:cs="Times New Roman"/>
          <w:noProof/>
          <w:kern w:val="0"/>
          <w:sz w:val="18"/>
          <w:szCs w:val="18"/>
          <w:lang w:eastAsia="zh-CN"/>
          <w14:ligatures w14:val="none"/>
        </w:rPr>
        <w:t xml:space="preserve">      LOS, Length of Stay</w:t>
      </w:r>
      <w:r w:rsidR="00C946B7" w:rsidRPr="00B109BD">
        <w:rPr>
          <w:rFonts w:ascii="Times New Roman" w:eastAsiaTheme="minorEastAsia" w:hAnsi="Times New Roman" w:cs="Times New Roman"/>
          <w:noProof/>
          <w:kern w:val="0"/>
          <w:sz w:val="18"/>
          <w:szCs w:val="18"/>
          <w:lang w:eastAsia="zh-CN"/>
          <w14:ligatures w14:val="none"/>
        </w:rPr>
        <w:t>, SD, Standard Deviation</w:t>
      </w:r>
    </w:p>
    <w:p w14:paraId="60709A7A" w14:textId="77777777" w:rsidR="00C946B7" w:rsidRPr="00B109BD" w:rsidRDefault="00C946B7" w:rsidP="00C03A79">
      <w:pPr>
        <w:spacing w:after="0" w:line="240" w:lineRule="auto"/>
        <w:jc w:val="both"/>
        <w:rPr>
          <w:rFonts w:ascii="Times New Roman" w:eastAsiaTheme="minorEastAsia" w:hAnsi="Times New Roman" w:cs="Times New Roman"/>
          <w:noProof/>
          <w:kern w:val="0"/>
          <w:sz w:val="18"/>
          <w:szCs w:val="18"/>
          <w:lang w:eastAsia="zh-CN"/>
          <w14:ligatures w14:val="none"/>
        </w:rPr>
      </w:pPr>
    </w:p>
    <w:p w14:paraId="52DD80A3" w14:textId="77777777" w:rsidR="000E09B1" w:rsidRPr="00B109BD" w:rsidRDefault="000E09B1" w:rsidP="00C03A79">
      <w:pPr>
        <w:spacing w:after="0" w:line="240" w:lineRule="auto"/>
        <w:jc w:val="both"/>
        <w:rPr>
          <w:rFonts w:ascii="Times New Roman" w:eastAsiaTheme="minorEastAsia" w:hAnsi="Times New Roman" w:cs="Times New Roman"/>
          <w:noProof/>
          <w:kern w:val="0"/>
          <w:sz w:val="18"/>
          <w:szCs w:val="18"/>
          <w:lang w:eastAsia="zh-CN"/>
          <w14:ligatures w14:val="none"/>
        </w:rPr>
      </w:pPr>
    </w:p>
    <w:p w14:paraId="7AAE33CD" w14:textId="312A2292" w:rsidR="004D26F1" w:rsidRPr="00B109BD" w:rsidRDefault="004D26F1" w:rsidP="004D26F1">
      <w:pPr>
        <w:tabs>
          <w:tab w:val="left" w:pos="1769"/>
        </w:tabs>
        <w:spacing w:after="0" w:line="360" w:lineRule="auto"/>
        <w:rPr>
          <w:rFonts w:ascii="Times New Roman" w:hAnsi="Times New Roman" w:cs="Times New Roman"/>
          <w:b/>
          <w:bCs/>
          <w:sz w:val="24"/>
          <w:szCs w:val="24"/>
        </w:rPr>
      </w:pPr>
      <w:r w:rsidRPr="00B109BD">
        <w:rPr>
          <w:rFonts w:ascii="Times New Roman" w:hAnsi="Times New Roman" w:cs="Times New Roman"/>
          <w:b/>
          <w:bCs/>
          <w:sz w:val="24"/>
          <w:szCs w:val="24"/>
        </w:rPr>
        <w:t>Tab</w:t>
      </w:r>
      <w:r w:rsidR="0051565D" w:rsidRPr="00B109BD">
        <w:rPr>
          <w:rFonts w:ascii="Times New Roman" w:hAnsi="Times New Roman" w:cs="Times New Roman"/>
          <w:b/>
          <w:bCs/>
          <w:sz w:val="24"/>
          <w:szCs w:val="24"/>
        </w:rPr>
        <w:t>le</w:t>
      </w:r>
      <w:r w:rsidRPr="00B109BD">
        <w:rPr>
          <w:rFonts w:ascii="Times New Roman" w:hAnsi="Times New Roman" w:cs="Times New Roman"/>
          <w:b/>
          <w:bCs/>
          <w:sz w:val="24"/>
          <w:szCs w:val="24"/>
        </w:rPr>
        <w:t xml:space="preserve"> 3.</w:t>
      </w:r>
    </w:p>
    <w:p w14:paraId="6939E009" w14:textId="08064A3E" w:rsidR="004D26F1" w:rsidRPr="00B109BD" w:rsidRDefault="004D26F1" w:rsidP="004D26F1">
      <w:pPr>
        <w:tabs>
          <w:tab w:val="left" w:pos="1769"/>
        </w:tabs>
        <w:spacing w:after="0" w:line="360" w:lineRule="auto"/>
        <w:rPr>
          <w:rFonts w:ascii="Times New Roman" w:hAnsi="Times New Roman" w:cs="Times New Roman"/>
          <w:b/>
          <w:bCs/>
          <w:sz w:val="24"/>
          <w:szCs w:val="24"/>
        </w:rPr>
      </w:pPr>
      <w:r w:rsidRPr="00B109BD">
        <w:rPr>
          <w:rFonts w:ascii="Times New Roman" w:hAnsi="Times New Roman" w:cs="Times New Roman"/>
          <w:b/>
          <w:bCs/>
          <w:sz w:val="24"/>
          <w:szCs w:val="24"/>
        </w:rPr>
        <w:t xml:space="preserve"> Association of  mNUTRIC score and Length of ICU Stay</w:t>
      </w:r>
    </w:p>
    <w:p w14:paraId="53725EAB" w14:textId="77777777" w:rsidR="00DC4479" w:rsidRPr="00B109BD" w:rsidRDefault="00DC4479" w:rsidP="00C03A79">
      <w:pPr>
        <w:spacing w:after="0" w:line="240" w:lineRule="auto"/>
        <w:jc w:val="both"/>
        <w:rPr>
          <w:rFonts w:ascii="Times New Roman" w:eastAsiaTheme="minorEastAsia" w:hAnsi="Times New Roman" w:cs="Times New Roman"/>
          <w:noProof/>
          <w:kern w:val="0"/>
          <w:sz w:val="18"/>
          <w:szCs w:val="18"/>
          <w:lang w:eastAsia="zh-CN"/>
          <w14:ligatures w14:val="none"/>
        </w:rPr>
      </w:pPr>
    </w:p>
    <w:tbl>
      <w:tblPr>
        <w:tblW w:w="8425" w:type="dxa"/>
        <w:tblInd w:w="279" w:type="dxa"/>
        <w:tblLook w:val="04A0" w:firstRow="1" w:lastRow="0" w:firstColumn="1" w:lastColumn="0" w:noHBand="0" w:noVBand="1"/>
      </w:tblPr>
      <w:tblGrid>
        <w:gridCol w:w="3136"/>
        <w:gridCol w:w="2851"/>
        <w:gridCol w:w="2438"/>
      </w:tblGrid>
      <w:tr w:rsidR="004D26F1" w:rsidRPr="00B109BD" w14:paraId="4CCA52AB" w14:textId="77777777" w:rsidTr="0039609E">
        <w:trPr>
          <w:trHeight w:val="570"/>
        </w:trPr>
        <w:tc>
          <w:tcPr>
            <w:tcW w:w="313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5A696D1" w14:textId="1F03F0A7"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mNUTRIC</w:t>
            </w:r>
            <w:r w:rsidR="00AC0881" w:rsidRPr="00B109BD">
              <w:rPr>
                <w:rFonts w:ascii="Times New Roman" w:eastAsia="Times New Roman" w:hAnsi="Times New Roman" w:cs="Times New Roman"/>
                <w:kern w:val="0"/>
                <w14:ligatures w14:val="none"/>
              </w:rPr>
              <w:t xml:space="preserve"> score </w:t>
            </w:r>
          </w:p>
        </w:tc>
        <w:tc>
          <w:tcPr>
            <w:tcW w:w="2851" w:type="dxa"/>
            <w:tcBorders>
              <w:top w:val="single" w:sz="4" w:space="0" w:color="auto"/>
              <w:left w:val="nil"/>
              <w:bottom w:val="single" w:sz="4" w:space="0" w:color="auto"/>
              <w:right w:val="single" w:sz="4" w:space="0" w:color="auto"/>
            </w:tcBorders>
            <w:shd w:val="clear" w:color="000000" w:fill="FFFFFF"/>
            <w:noWrap/>
            <w:vAlign w:val="center"/>
            <w:hideMark/>
          </w:tcPr>
          <w:p w14:paraId="42F4C1D1" w14:textId="209A26E3"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LOS ( day )</w:t>
            </w:r>
          </w:p>
        </w:tc>
        <w:tc>
          <w:tcPr>
            <w:tcW w:w="2438" w:type="dxa"/>
            <w:tcBorders>
              <w:top w:val="single" w:sz="4" w:space="0" w:color="auto"/>
              <w:left w:val="single" w:sz="4" w:space="0" w:color="auto"/>
              <w:right w:val="single" w:sz="4" w:space="0" w:color="auto"/>
            </w:tcBorders>
            <w:shd w:val="clear" w:color="000000" w:fill="FFFFFF"/>
            <w:vAlign w:val="center"/>
            <w:hideMark/>
          </w:tcPr>
          <w:p w14:paraId="341DE5BE" w14:textId="77777777" w:rsidR="00C40EE5" w:rsidRPr="00B109BD" w:rsidRDefault="00C40EE5" w:rsidP="00E25588">
            <w:pPr>
              <w:spacing w:after="0" w:line="240" w:lineRule="auto"/>
              <w:jc w:val="center"/>
              <w:rPr>
                <w:rFonts w:ascii="Times New Roman" w:eastAsia="Times New Roman" w:hAnsi="Times New Roman" w:cs="Times New Roman"/>
                <w:kern w:val="0"/>
                <w14:ligatures w14:val="none"/>
              </w:rPr>
            </w:pPr>
          </w:p>
          <w:p w14:paraId="42BC4C5D" w14:textId="7A037CAB"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p value</w:t>
            </w:r>
          </w:p>
        </w:tc>
      </w:tr>
      <w:tr w:rsidR="00DC4479" w:rsidRPr="00B109BD" w14:paraId="3D0D6AF3" w14:textId="77777777" w:rsidTr="0039609E">
        <w:trPr>
          <w:trHeight w:val="449"/>
        </w:trPr>
        <w:tc>
          <w:tcPr>
            <w:tcW w:w="3136" w:type="dxa"/>
            <w:vMerge/>
            <w:tcBorders>
              <w:top w:val="single" w:sz="4" w:space="0" w:color="auto"/>
              <w:left w:val="single" w:sz="4" w:space="0" w:color="auto"/>
              <w:bottom w:val="single" w:sz="4" w:space="0" w:color="000000"/>
              <w:right w:val="single" w:sz="4" w:space="0" w:color="auto"/>
            </w:tcBorders>
            <w:vAlign w:val="center"/>
            <w:hideMark/>
          </w:tcPr>
          <w:p w14:paraId="08D23D85" w14:textId="77777777" w:rsidR="00DC4479" w:rsidRPr="00B109BD" w:rsidRDefault="00DC4479" w:rsidP="00E25588">
            <w:pPr>
              <w:spacing w:after="0" w:line="240" w:lineRule="auto"/>
              <w:rPr>
                <w:rFonts w:ascii="Times New Roman" w:eastAsia="Times New Roman" w:hAnsi="Times New Roman" w:cs="Times New Roman"/>
                <w:kern w:val="0"/>
                <w14:ligatures w14:val="none"/>
              </w:rPr>
            </w:pPr>
          </w:p>
        </w:tc>
        <w:tc>
          <w:tcPr>
            <w:tcW w:w="2851" w:type="dxa"/>
            <w:tcBorders>
              <w:top w:val="nil"/>
              <w:left w:val="nil"/>
              <w:bottom w:val="single" w:sz="4" w:space="0" w:color="auto"/>
              <w:right w:val="single" w:sz="4" w:space="0" w:color="auto"/>
            </w:tcBorders>
            <w:shd w:val="clear" w:color="000000" w:fill="FFFFFF"/>
            <w:vAlign w:val="center"/>
            <w:hideMark/>
          </w:tcPr>
          <w:p w14:paraId="048ED12A" w14:textId="714515BC"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Mean ± SD</w:t>
            </w:r>
          </w:p>
        </w:tc>
        <w:tc>
          <w:tcPr>
            <w:tcW w:w="2438" w:type="dxa"/>
            <w:tcBorders>
              <w:left w:val="single" w:sz="4" w:space="0" w:color="auto"/>
              <w:bottom w:val="single" w:sz="4" w:space="0" w:color="000000"/>
              <w:right w:val="single" w:sz="4" w:space="0" w:color="auto"/>
            </w:tcBorders>
            <w:vAlign w:val="center"/>
            <w:hideMark/>
          </w:tcPr>
          <w:p w14:paraId="377FCDF8" w14:textId="77777777" w:rsidR="00DC4479" w:rsidRPr="00B109BD" w:rsidRDefault="00DC4479" w:rsidP="00E25588">
            <w:pPr>
              <w:spacing w:after="0" w:line="240" w:lineRule="auto"/>
              <w:rPr>
                <w:rFonts w:ascii="Times New Roman" w:eastAsia="Times New Roman" w:hAnsi="Times New Roman" w:cs="Times New Roman"/>
                <w:kern w:val="0"/>
                <w14:ligatures w14:val="none"/>
              </w:rPr>
            </w:pPr>
          </w:p>
        </w:tc>
      </w:tr>
      <w:tr w:rsidR="00DC4479" w:rsidRPr="00B109BD" w14:paraId="042B68B9" w14:textId="77777777" w:rsidTr="0039609E">
        <w:trPr>
          <w:trHeight w:val="449"/>
        </w:trPr>
        <w:tc>
          <w:tcPr>
            <w:tcW w:w="3136" w:type="dxa"/>
            <w:tcBorders>
              <w:top w:val="nil"/>
              <w:left w:val="single" w:sz="4" w:space="0" w:color="auto"/>
              <w:bottom w:val="single" w:sz="4" w:space="0" w:color="auto"/>
              <w:right w:val="single" w:sz="4" w:space="0" w:color="auto"/>
            </w:tcBorders>
            <w:shd w:val="clear" w:color="000000" w:fill="FFFFFF"/>
            <w:vAlign w:val="center"/>
            <w:hideMark/>
          </w:tcPr>
          <w:p w14:paraId="46CCCD89" w14:textId="77777777"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Low risk</w:t>
            </w:r>
          </w:p>
        </w:tc>
        <w:tc>
          <w:tcPr>
            <w:tcW w:w="2851" w:type="dxa"/>
            <w:tcBorders>
              <w:top w:val="nil"/>
              <w:left w:val="nil"/>
              <w:bottom w:val="single" w:sz="4" w:space="0" w:color="auto"/>
              <w:right w:val="single" w:sz="4" w:space="0" w:color="auto"/>
            </w:tcBorders>
            <w:shd w:val="clear" w:color="000000" w:fill="FFFFFF"/>
            <w:noWrap/>
            <w:vAlign w:val="center"/>
            <w:hideMark/>
          </w:tcPr>
          <w:p w14:paraId="39F5D1C5" w14:textId="34EDD9D0"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6.87 ± 5.40</w:t>
            </w:r>
          </w:p>
        </w:tc>
        <w:tc>
          <w:tcPr>
            <w:tcW w:w="2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318E43" w14:textId="77777777"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0.250</w:t>
            </w:r>
          </w:p>
        </w:tc>
      </w:tr>
      <w:tr w:rsidR="00DC4479" w:rsidRPr="00B109BD" w14:paraId="7B86F463" w14:textId="77777777" w:rsidTr="0039609E">
        <w:trPr>
          <w:trHeight w:val="449"/>
        </w:trPr>
        <w:tc>
          <w:tcPr>
            <w:tcW w:w="3136" w:type="dxa"/>
            <w:tcBorders>
              <w:top w:val="nil"/>
              <w:left w:val="single" w:sz="4" w:space="0" w:color="auto"/>
              <w:bottom w:val="single" w:sz="4" w:space="0" w:color="auto"/>
              <w:right w:val="single" w:sz="4" w:space="0" w:color="auto"/>
            </w:tcBorders>
            <w:shd w:val="clear" w:color="000000" w:fill="FFFFFF"/>
            <w:vAlign w:val="center"/>
            <w:hideMark/>
          </w:tcPr>
          <w:p w14:paraId="105D4685" w14:textId="77777777"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High risk</w:t>
            </w:r>
          </w:p>
        </w:tc>
        <w:tc>
          <w:tcPr>
            <w:tcW w:w="2851" w:type="dxa"/>
            <w:tcBorders>
              <w:top w:val="nil"/>
              <w:left w:val="nil"/>
              <w:bottom w:val="single" w:sz="4" w:space="0" w:color="auto"/>
              <w:right w:val="single" w:sz="4" w:space="0" w:color="auto"/>
            </w:tcBorders>
            <w:shd w:val="clear" w:color="000000" w:fill="FFFFFF"/>
            <w:noWrap/>
            <w:vAlign w:val="center"/>
            <w:hideMark/>
          </w:tcPr>
          <w:p w14:paraId="65671077" w14:textId="0B03C5AB"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7.97 ± 6.55</w:t>
            </w:r>
          </w:p>
        </w:tc>
        <w:tc>
          <w:tcPr>
            <w:tcW w:w="2438" w:type="dxa"/>
            <w:vMerge/>
            <w:tcBorders>
              <w:top w:val="nil"/>
              <w:left w:val="single" w:sz="4" w:space="0" w:color="auto"/>
              <w:bottom w:val="single" w:sz="4" w:space="0" w:color="000000"/>
              <w:right w:val="single" w:sz="4" w:space="0" w:color="auto"/>
            </w:tcBorders>
            <w:vAlign w:val="center"/>
            <w:hideMark/>
          </w:tcPr>
          <w:p w14:paraId="2A578B47" w14:textId="77777777" w:rsidR="00DC4479" w:rsidRPr="00B109BD" w:rsidRDefault="00DC4479" w:rsidP="00E25588">
            <w:pPr>
              <w:spacing w:after="0" w:line="240" w:lineRule="auto"/>
              <w:rPr>
                <w:rFonts w:ascii="Times New Roman" w:eastAsia="Times New Roman" w:hAnsi="Times New Roman" w:cs="Times New Roman"/>
                <w:kern w:val="0"/>
                <w14:ligatures w14:val="none"/>
              </w:rPr>
            </w:pPr>
          </w:p>
        </w:tc>
      </w:tr>
      <w:tr w:rsidR="00DC4479" w:rsidRPr="00B109BD" w14:paraId="17060F47" w14:textId="77777777" w:rsidTr="0039609E">
        <w:trPr>
          <w:trHeight w:val="449"/>
        </w:trPr>
        <w:tc>
          <w:tcPr>
            <w:tcW w:w="3136" w:type="dxa"/>
            <w:tcBorders>
              <w:top w:val="nil"/>
              <w:left w:val="single" w:sz="4" w:space="0" w:color="auto"/>
              <w:bottom w:val="single" w:sz="4" w:space="0" w:color="auto"/>
              <w:right w:val="single" w:sz="4" w:space="0" w:color="auto"/>
            </w:tcBorders>
            <w:shd w:val="clear" w:color="000000" w:fill="FFFFFF"/>
            <w:vAlign w:val="center"/>
            <w:hideMark/>
          </w:tcPr>
          <w:p w14:paraId="035A72C1" w14:textId="77777777"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Total</w:t>
            </w:r>
          </w:p>
        </w:tc>
        <w:tc>
          <w:tcPr>
            <w:tcW w:w="2851" w:type="dxa"/>
            <w:tcBorders>
              <w:top w:val="nil"/>
              <w:left w:val="nil"/>
              <w:bottom w:val="single" w:sz="4" w:space="0" w:color="auto"/>
              <w:right w:val="single" w:sz="4" w:space="0" w:color="auto"/>
            </w:tcBorders>
            <w:shd w:val="clear" w:color="000000" w:fill="FFFFFF"/>
            <w:noWrap/>
            <w:vAlign w:val="center"/>
            <w:hideMark/>
          </w:tcPr>
          <w:p w14:paraId="3FF10219" w14:textId="57620B5E" w:rsidR="00DC4479" w:rsidRPr="00B109BD" w:rsidRDefault="00DC4479" w:rsidP="00E25588">
            <w:pPr>
              <w:spacing w:after="0" w:line="240" w:lineRule="auto"/>
              <w:jc w:val="center"/>
              <w:rPr>
                <w:rFonts w:ascii="Times New Roman" w:eastAsia="Times New Roman" w:hAnsi="Times New Roman" w:cs="Times New Roman"/>
                <w:kern w:val="0"/>
                <w14:ligatures w14:val="none"/>
              </w:rPr>
            </w:pPr>
            <w:r w:rsidRPr="00B109BD">
              <w:rPr>
                <w:rFonts w:ascii="Times New Roman" w:eastAsia="Times New Roman" w:hAnsi="Times New Roman" w:cs="Times New Roman"/>
                <w:kern w:val="0"/>
                <w14:ligatures w14:val="none"/>
              </w:rPr>
              <w:t>7.01 ± 5.56</w:t>
            </w:r>
          </w:p>
        </w:tc>
        <w:tc>
          <w:tcPr>
            <w:tcW w:w="2438" w:type="dxa"/>
            <w:vMerge/>
            <w:tcBorders>
              <w:top w:val="nil"/>
              <w:left w:val="single" w:sz="4" w:space="0" w:color="auto"/>
              <w:bottom w:val="single" w:sz="4" w:space="0" w:color="000000"/>
              <w:right w:val="single" w:sz="4" w:space="0" w:color="auto"/>
            </w:tcBorders>
            <w:vAlign w:val="center"/>
            <w:hideMark/>
          </w:tcPr>
          <w:p w14:paraId="0551325F" w14:textId="77777777" w:rsidR="00DC4479" w:rsidRPr="00B109BD" w:rsidRDefault="00DC4479" w:rsidP="00E25588">
            <w:pPr>
              <w:spacing w:after="0" w:line="240" w:lineRule="auto"/>
              <w:rPr>
                <w:rFonts w:ascii="Times New Roman" w:eastAsia="Times New Roman" w:hAnsi="Times New Roman" w:cs="Times New Roman"/>
                <w:kern w:val="0"/>
                <w14:ligatures w14:val="none"/>
              </w:rPr>
            </w:pPr>
          </w:p>
        </w:tc>
      </w:tr>
    </w:tbl>
    <w:p w14:paraId="462DE3AF" w14:textId="77777777" w:rsidR="004D26F1" w:rsidRPr="00B109BD" w:rsidRDefault="00C946B7" w:rsidP="004D26F1">
      <w:pPr>
        <w:spacing w:after="0" w:line="240" w:lineRule="auto"/>
        <w:jc w:val="both"/>
        <w:rPr>
          <w:rFonts w:ascii="Times New Roman" w:eastAsiaTheme="minorEastAsia" w:hAnsi="Times New Roman" w:cs="Times New Roman"/>
          <w:noProof/>
          <w:kern w:val="0"/>
          <w:sz w:val="18"/>
          <w:szCs w:val="18"/>
          <w:lang w:eastAsia="zh-CN"/>
          <w14:ligatures w14:val="none"/>
        </w:rPr>
      </w:pPr>
      <w:r w:rsidRPr="00B109BD">
        <w:rPr>
          <w:rFonts w:ascii="Times New Roman" w:eastAsiaTheme="minorEastAsia" w:hAnsi="Times New Roman" w:cs="Times New Roman"/>
          <w:noProof/>
          <w:kern w:val="0"/>
          <w:sz w:val="18"/>
          <w:szCs w:val="18"/>
          <w:lang w:eastAsia="zh-CN"/>
          <w14:ligatures w14:val="none"/>
        </w:rPr>
        <w:t xml:space="preserve">  </w:t>
      </w:r>
    </w:p>
    <w:p w14:paraId="48AACEB8" w14:textId="0265D737" w:rsidR="004D26F1" w:rsidRPr="00B109BD" w:rsidRDefault="004D26F1" w:rsidP="004D26F1">
      <w:pPr>
        <w:spacing w:after="0" w:line="240" w:lineRule="auto"/>
        <w:jc w:val="both"/>
        <w:rPr>
          <w:rFonts w:ascii="Times New Roman" w:eastAsiaTheme="minorEastAsia" w:hAnsi="Times New Roman" w:cs="Times New Roman"/>
          <w:noProof/>
          <w:kern w:val="0"/>
          <w:sz w:val="18"/>
          <w:szCs w:val="18"/>
          <w:lang w:eastAsia="zh-CN"/>
          <w14:ligatures w14:val="none"/>
        </w:rPr>
      </w:pPr>
      <w:r w:rsidRPr="00B109BD">
        <w:rPr>
          <w:rFonts w:ascii="Times New Roman" w:eastAsiaTheme="minorEastAsia" w:hAnsi="Times New Roman" w:cs="Times New Roman"/>
          <w:noProof/>
          <w:kern w:val="0"/>
          <w:sz w:val="18"/>
          <w:szCs w:val="18"/>
          <w:lang w:eastAsia="zh-CN"/>
          <w14:ligatures w14:val="none"/>
        </w:rPr>
        <w:t xml:space="preserve">       LOS, Length of Stay, SD, Standard Deviation</w:t>
      </w:r>
    </w:p>
    <w:p w14:paraId="23782C7E" w14:textId="5BC944B4" w:rsidR="00035ED4" w:rsidRDefault="00035ED4" w:rsidP="00035ED4">
      <w:pPr>
        <w:rPr>
          <w:rFonts w:ascii="Times New Roman" w:hAnsi="Times New Roman" w:cs="Times New Roman"/>
          <w:sz w:val="24"/>
          <w:szCs w:val="24"/>
        </w:rPr>
      </w:pPr>
    </w:p>
    <w:p w14:paraId="06402E6B" w14:textId="77777777" w:rsidR="0039609E" w:rsidRPr="00B109BD" w:rsidRDefault="0039609E" w:rsidP="0039609E">
      <w:pPr>
        <w:tabs>
          <w:tab w:val="left" w:pos="1769"/>
        </w:tabs>
        <w:spacing w:line="360" w:lineRule="auto"/>
        <w:jc w:val="both"/>
        <w:rPr>
          <w:rFonts w:ascii="Times New Roman" w:hAnsi="Times New Roman" w:cs="Times New Roman"/>
          <w:b/>
          <w:bCs/>
          <w:sz w:val="24"/>
          <w:szCs w:val="24"/>
        </w:rPr>
      </w:pPr>
      <w:r w:rsidRPr="00B109BD">
        <w:rPr>
          <w:rFonts w:ascii="Times New Roman" w:hAnsi="Times New Roman" w:cs="Times New Roman"/>
          <w:b/>
          <w:bCs/>
          <w:sz w:val="24"/>
          <w:szCs w:val="24"/>
        </w:rPr>
        <w:t xml:space="preserve">Table 4. </w:t>
      </w:r>
    </w:p>
    <w:p w14:paraId="32D48195" w14:textId="18DD8B92" w:rsidR="0039609E" w:rsidRPr="00B109BD" w:rsidRDefault="0039609E" w:rsidP="0039609E">
      <w:pPr>
        <w:tabs>
          <w:tab w:val="left" w:pos="1769"/>
        </w:tabs>
        <w:spacing w:line="360" w:lineRule="auto"/>
        <w:jc w:val="both"/>
        <w:rPr>
          <w:rFonts w:ascii="Times New Roman" w:hAnsi="Times New Roman" w:cs="Times New Roman"/>
          <w:b/>
          <w:bCs/>
          <w:sz w:val="24"/>
          <w:szCs w:val="24"/>
        </w:rPr>
      </w:pPr>
      <w:r w:rsidRPr="00B109BD">
        <w:rPr>
          <w:rFonts w:ascii="Times New Roman" w:hAnsi="Times New Roman" w:cs="Times New Roman"/>
          <w:b/>
          <w:bCs/>
          <w:sz w:val="24"/>
          <w:szCs w:val="24"/>
        </w:rPr>
        <w:t>Association of mNUTRIC score and trophic feeding and full feeding on length of ICU stay</w:t>
      </w:r>
    </w:p>
    <w:tbl>
      <w:tblPr>
        <w:tblW w:w="8363" w:type="dxa"/>
        <w:tblInd w:w="279" w:type="dxa"/>
        <w:tblLook w:val="04A0" w:firstRow="1" w:lastRow="0" w:firstColumn="1" w:lastColumn="0" w:noHBand="0" w:noVBand="1"/>
      </w:tblPr>
      <w:tblGrid>
        <w:gridCol w:w="3118"/>
        <w:gridCol w:w="1701"/>
        <w:gridCol w:w="2304"/>
        <w:gridCol w:w="1240"/>
      </w:tblGrid>
      <w:tr w:rsidR="0051565D" w:rsidRPr="00B109BD" w14:paraId="0893F0C5" w14:textId="77777777" w:rsidTr="00C655C3">
        <w:trPr>
          <w:trHeight w:val="548"/>
        </w:trPr>
        <w:tc>
          <w:tcPr>
            <w:tcW w:w="311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DF6894C" w14:textId="035DBC1D" w:rsidR="0051565D" w:rsidRPr="00B109BD" w:rsidRDefault="0051565D" w:rsidP="00E25588">
            <w:pPr>
              <w:tabs>
                <w:tab w:val="left" w:pos="1769"/>
              </w:tabs>
              <w:spacing w:after="0" w:line="720" w:lineRule="auto"/>
              <w:jc w:val="center"/>
              <w:rPr>
                <w:rFonts w:ascii="Times New Roman" w:hAnsi="Times New Roman" w:cs="Times New Roman"/>
              </w:rPr>
            </w:pPr>
            <w:r w:rsidRPr="00B109BD">
              <w:rPr>
                <w:rFonts w:ascii="Times New Roman" w:hAnsi="Times New Roman" w:cs="Times New Roman"/>
              </w:rPr>
              <w:t>mNUTRIC</w:t>
            </w:r>
            <w:r w:rsidR="00AC3586" w:rsidRPr="00B109BD">
              <w:rPr>
                <w:rFonts w:ascii="Times New Roman" w:hAnsi="Times New Roman" w:cs="Times New Roman"/>
              </w:rPr>
              <w:t xml:space="preserve"> </w:t>
            </w:r>
            <w:r w:rsidR="00AC0881" w:rsidRPr="00B109BD">
              <w:rPr>
                <w:rFonts w:ascii="Times New Roman" w:hAnsi="Times New Roman" w:cs="Times New Roman"/>
              </w:rPr>
              <w:t>score</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5FDE53A" w14:textId="77777777" w:rsidR="0051565D" w:rsidRPr="00B109BD" w:rsidRDefault="0051565D" w:rsidP="00E25588">
            <w:pPr>
              <w:tabs>
                <w:tab w:val="left" w:pos="1769"/>
              </w:tabs>
              <w:spacing w:after="0" w:line="720" w:lineRule="auto"/>
              <w:jc w:val="center"/>
              <w:rPr>
                <w:rFonts w:ascii="Times New Roman" w:hAnsi="Times New Roman" w:cs="Times New Roman"/>
              </w:rPr>
            </w:pPr>
            <w:r w:rsidRPr="00B109BD">
              <w:rPr>
                <w:rFonts w:ascii="Times New Roman" w:hAnsi="Times New Roman" w:cs="Times New Roman"/>
              </w:rPr>
              <w:t>Energy (kcal)</w:t>
            </w:r>
          </w:p>
        </w:tc>
        <w:tc>
          <w:tcPr>
            <w:tcW w:w="2304" w:type="dxa"/>
            <w:tcBorders>
              <w:top w:val="single" w:sz="4" w:space="0" w:color="auto"/>
              <w:left w:val="nil"/>
              <w:bottom w:val="single" w:sz="4" w:space="0" w:color="auto"/>
              <w:right w:val="single" w:sz="4" w:space="0" w:color="auto"/>
            </w:tcBorders>
            <w:shd w:val="clear" w:color="000000" w:fill="FFFFFF"/>
            <w:noWrap/>
            <w:vAlign w:val="center"/>
            <w:hideMark/>
          </w:tcPr>
          <w:p w14:paraId="384FB9E3"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Length of  Stay (day)</w:t>
            </w:r>
          </w:p>
        </w:tc>
        <w:tc>
          <w:tcPr>
            <w:tcW w:w="1240" w:type="dxa"/>
            <w:tcBorders>
              <w:top w:val="single" w:sz="4" w:space="0" w:color="auto"/>
              <w:left w:val="single" w:sz="4" w:space="0" w:color="auto"/>
              <w:right w:val="single" w:sz="4" w:space="0" w:color="auto"/>
            </w:tcBorders>
            <w:shd w:val="clear" w:color="000000" w:fill="FFFFFF"/>
            <w:vAlign w:val="center"/>
            <w:hideMark/>
          </w:tcPr>
          <w:p w14:paraId="6615432D" w14:textId="77777777" w:rsidR="00C40EE5" w:rsidRPr="00B109BD" w:rsidRDefault="00C40EE5" w:rsidP="00E25588">
            <w:pPr>
              <w:tabs>
                <w:tab w:val="left" w:pos="1769"/>
              </w:tabs>
              <w:spacing w:after="0" w:line="360" w:lineRule="auto"/>
              <w:jc w:val="center"/>
              <w:rPr>
                <w:rFonts w:ascii="Times New Roman" w:hAnsi="Times New Roman" w:cs="Times New Roman"/>
              </w:rPr>
            </w:pPr>
          </w:p>
          <w:p w14:paraId="659B0ECE" w14:textId="60B3A030"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p value</w:t>
            </w:r>
          </w:p>
        </w:tc>
      </w:tr>
      <w:tr w:rsidR="00AC3586" w:rsidRPr="00B109BD" w14:paraId="6E504198" w14:textId="77777777" w:rsidTr="0039609E">
        <w:trPr>
          <w:trHeight w:val="324"/>
        </w:trPr>
        <w:tc>
          <w:tcPr>
            <w:tcW w:w="3118" w:type="dxa"/>
            <w:vMerge/>
            <w:tcBorders>
              <w:top w:val="single" w:sz="4" w:space="0" w:color="auto"/>
              <w:left w:val="single" w:sz="4" w:space="0" w:color="auto"/>
              <w:bottom w:val="single" w:sz="4" w:space="0" w:color="auto"/>
              <w:right w:val="single" w:sz="4" w:space="0" w:color="auto"/>
            </w:tcBorders>
            <w:vAlign w:val="center"/>
            <w:hideMark/>
          </w:tcPr>
          <w:p w14:paraId="2E8879AD" w14:textId="77777777" w:rsidR="0051565D" w:rsidRPr="00B109BD" w:rsidRDefault="0051565D" w:rsidP="00E25588">
            <w:pPr>
              <w:tabs>
                <w:tab w:val="left" w:pos="1769"/>
              </w:tabs>
              <w:spacing w:after="0" w:line="360" w:lineRule="auto"/>
              <w:jc w:val="center"/>
              <w:rPr>
                <w:rFonts w:ascii="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4B0BFF5" w14:textId="77777777" w:rsidR="0051565D" w:rsidRPr="00B109BD" w:rsidRDefault="0051565D" w:rsidP="00E25588">
            <w:pPr>
              <w:tabs>
                <w:tab w:val="left" w:pos="1769"/>
              </w:tabs>
              <w:spacing w:after="0" w:line="360" w:lineRule="auto"/>
              <w:jc w:val="center"/>
              <w:rPr>
                <w:rFonts w:ascii="Times New Roman" w:hAnsi="Times New Roman" w:cs="Times New Roman"/>
              </w:rPr>
            </w:pPr>
          </w:p>
        </w:tc>
        <w:tc>
          <w:tcPr>
            <w:tcW w:w="2304" w:type="dxa"/>
            <w:tcBorders>
              <w:top w:val="nil"/>
              <w:left w:val="nil"/>
              <w:bottom w:val="single" w:sz="4" w:space="0" w:color="auto"/>
              <w:right w:val="single" w:sz="4" w:space="0" w:color="auto"/>
            </w:tcBorders>
            <w:shd w:val="clear" w:color="000000" w:fill="FFFFFF"/>
            <w:vAlign w:val="bottom"/>
            <w:hideMark/>
          </w:tcPr>
          <w:p w14:paraId="4BC0F93D"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Mean ± SD</w:t>
            </w:r>
          </w:p>
        </w:tc>
        <w:tc>
          <w:tcPr>
            <w:tcW w:w="1240" w:type="dxa"/>
            <w:tcBorders>
              <w:left w:val="single" w:sz="4" w:space="0" w:color="auto"/>
              <w:bottom w:val="single" w:sz="4" w:space="0" w:color="auto"/>
              <w:right w:val="single" w:sz="4" w:space="0" w:color="auto"/>
            </w:tcBorders>
            <w:vAlign w:val="center"/>
            <w:hideMark/>
          </w:tcPr>
          <w:p w14:paraId="45266DD4" w14:textId="77777777" w:rsidR="0051565D" w:rsidRPr="00B109BD" w:rsidRDefault="0051565D" w:rsidP="00E25588">
            <w:pPr>
              <w:tabs>
                <w:tab w:val="left" w:pos="1769"/>
              </w:tabs>
              <w:spacing w:after="0" w:line="360" w:lineRule="auto"/>
              <w:jc w:val="center"/>
              <w:rPr>
                <w:rFonts w:ascii="Times New Roman" w:hAnsi="Times New Roman" w:cs="Times New Roman"/>
              </w:rPr>
            </w:pPr>
          </w:p>
        </w:tc>
      </w:tr>
      <w:tr w:rsidR="00AC3586" w:rsidRPr="00B109BD" w14:paraId="3C6C7897" w14:textId="77777777" w:rsidTr="00C40EE5">
        <w:trPr>
          <w:trHeight w:val="376"/>
        </w:trPr>
        <w:tc>
          <w:tcPr>
            <w:tcW w:w="3118" w:type="dxa"/>
            <w:vMerge w:val="restart"/>
            <w:tcBorders>
              <w:top w:val="nil"/>
              <w:left w:val="single" w:sz="4" w:space="0" w:color="auto"/>
              <w:bottom w:val="single" w:sz="4" w:space="0" w:color="auto"/>
              <w:right w:val="single" w:sz="4" w:space="0" w:color="auto"/>
            </w:tcBorders>
            <w:shd w:val="clear" w:color="000000" w:fill="FFFFFF"/>
            <w:hideMark/>
          </w:tcPr>
          <w:p w14:paraId="6C45123E" w14:textId="77777777" w:rsidR="00C40EE5" w:rsidRPr="00B109BD" w:rsidRDefault="00C40EE5" w:rsidP="00AC3586">
            <w:pPr>
              <w:tabs>
                <w:tab w:val="left" w:pos="1769"/>
              </w:tabs>
              <w:spacing w:after="0" w:line="240" w:lineRule="auto"/>
              <w:jc w:val="center"/>
              <w:rPr>
                <w:rFonts w:ascii="Times New Roman" w:hAnsi="Times New Roman" w:cs="Times New Roman"/>
              </w:rPr>
            </w:pPr>
          </w:p>
          <w:p w14:paraId="17F14D6C" w14:textId="162388D5" w:rsidR="0051565D" w:rsidRPr="00B109BD" w:rsidRDefault="0051565D" w:rsidP="00AC3586">
            <w:pPr>
              <w:tabs>
                <w:tab w:val="left" w:pos="1769"/>
              </w:tabs>
              <w:spacing w:after="0" w:line="240" w:lineRule="auto"/>
              <w:jc w:val="center"/>
              <w:rPr>
                <w:rFonts w:ascii="Times New Roman" w:hAnsi="Times New Roman" w:cs="Times New Roman"/>
              </w:rPr>
            </w:pPr>
            <w:r w:rsidRPr="00B109BD">
              <w:rPr>
                <w:rFonts w:ascii="Times New Roman" w:hAnsi="Times New Roman" w:cs="Times New Roman"/>
              </w:rPr>
              <w:t>Low risk</w:t>
            </w:r>
          </w:p>
        </w:tc>
        <w:tc>
          <w:tcPr>
            <w:tcW w:w="1701" w:type="dxa"/>
            <w:tcBorders>
              <w:top w:val="nil"/>
              <w:left w:val="nil"/>
              <w:bottom w:val="single" w:sz="4" w:space="0" w:color="auto"/>
              <w:right w:val="single" w:sz="4" w:space="0" w:color="auto"/>
            </w:tcBorders>
            <w:shd w:val="clear" w:color="000000" w:fill="FFFFFF"/>
            <w:hideMark/>
          </w:tcPr>
          <w:p w14:paraId="1F33DC9D" w14:textId="77777777" w:rsidR="0051565D" w:rsidRPr="00B109BD" w:rsidRDefault="0051565D" w:rsidP="00E25588">
            <w:pPr>
              <w:tabs>
                <w:tab w:val="left" w:pos="1769"/>
              </w:tabs>
              <w:spacing w:after="0" w:line="276" w:lineRule="auto"/>
              <w:jc w:val="center"/>
              <w:rPr>
                <w:rFonts w:ascii="Times New Roman" w:hAnsi="Times New Roman" w:cs="Times New Roman"/>
              </w:rPr>
            </w:pPr>
            <w:r w:rsidRPr="00B109BD">
              <w:rPr>
                <w:rFonts w:ascii="Times New Roman" w:hAnsi="Times New Roman" w:cs="Times New Roman"/>
              </w:rPr>
              <w:t>&lt; 600</w:t>
            </w:r>
          </w:p>
        </w:tc>
        <w:tc>
          <w:tcPr>
            <w:tcW w:w="2304" w:type="dxa"/>
            <w:tcBorders>
              <w:top w:val="nil"/>
              <w:left w:val="nil"/>
              <w:bottom w:val="single" w:sz="4" w:space="0" w:color="auto"/>
              <w:right w:val="single" w:sz="4" w:space="0" w:color="auto"/>
            </w:tcBorders>
            <w:shd w:val="clear" w:color="000000" w:fill="FFFFFF"/>
            <w:noWrap/>
            <w:hideMark/>
          </w:tcPr>
          <w:p w14:paraId="23A3253D"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4.76 ± 2.47</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86376"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0.000</w:t>
            </w:r>
          </w:p>
        </w:tc>
      </w:tr>
      <w:tr w:rsidR="00AC3586" w:rsidRPr="00B109BD" w14:paraId="5FAA4775" w14:textId="77777777" w:rsidTr="00C40EE5">
        <w:trPr>
          <w:trHeight w:val="411"/>
        </w:trPr>
        <w:tc>
          <w:tcPr>
            <w:tcW w:w="3118" w:type="dxa"/>
            <w:vMerge/>
            <w:tcBorders>
              <w:top w:val="nil"/>
              <w:left w:val="single" w:sz="4" w:space="0" w:color="auto"/>
              <w:bottom w:val="single" w:sz="4" w:space="0" w:color="auto"/>
              <w:right w:val="single" w:sz="4" w:space="0" w:color="auto"/>
            </w:tcBorders>
            <w:vAlign w:val="center"/>
            <w:hideMark/>
          </w:tcPr>
          <w:p w14:paraId="285B00B7" w14:textId="77777777" w:rsidR="0051565D" w:rsidRPr="00B109BD" w:rsidRDefault="0051565D" w:rsidP="00E25588">
            <w:pPr>
              <w:tabs>
                <w:tab w:val="left" w:pos="1769"/>
              </w:tabs>
              <w:spacing w:after="0" w:line="360" w:lineRule="auto"/>
              <w:jc w:val="center"/>
              <w:rPr>
                <w:rFonts w:ascii="Times New Roman" w:hAnsi="Times New Roman" w:cs="Times New Roman"/>
              </w:rPr>
            </w:pPr>
          </w:p>
        </w:tc>
        <w:tc>
          <w:tcPr>
            <w:tcW w:w="1701" w:type="dxa"/>
            <w:tcBorders>
              <w:top w:val="nil"/>
              <w:left w:val="nil"/>
              <w:bottom w:val="single" w:sz="4" w:space="0" w:color="auto"/>
              <w:right w:val="single" w:sz="4" w:space="0" w:color="auto"/>
            </w:tcBorders>
            <w:shd w:val="clear" w:color="000000" w:fill="FFFFFF"/>
            <w:hideMark/>
          </w:tcPr>
          <w:p w14:paraId="46372760"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 600</w:t>
            </w:r>
          </w:p>
        </w:tc>
        <w:tc>
          <w:tcPr>
            <w:tcW w:w="2304" w:type="dxa"/>
            <w:tcBorders>
              <w:top w:val="nil"/>
              <w:left w:val="nil"/>
              <w:bottom w:val="single" w:sz="4" w:space="0" w:color="auto"/>
              <w:right w:val="single" w:sz="4" w:space="0" w:color="auto"/>
            </w:tcBorders>
            <w:shd w:val="clear" w:color="000000" w:fill="FFFFFF"/>
            <w:noWrap/>
            <w:hideMark/>
          </w:tcPr>
          <w:p w14:paraId="4CEE5EDF"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9.65 ± 6.79</w:t>
            </w:r>
          </w:p>
        </w:tc>
        <w:tc>
          <w:tcPr>
            <w:tcW w:w="1240" w:type="dxa"/>
            <w:vMerge/>
            <w:tcBorders>
              <w:top w:val="nil"/>
              <w:left w:val="single" w:sz="4" w:space="0" w:color="auto"/>
              <w:bottom w:val="single" w:sz="4" w:space="0" w:color="auto"/>
              <w:right w:val="single" w:sz="4" w:space="0" w:color="auto"/>
            </w:tcBorders>
            <w:vAlign w:val="center"/>
            <w:hideMark/>
          </w:tcPr>
          <w:p w14:paraId="6FBA7869" w14:textId="77777777" w:rsidR="0051565D" w:rsidRPr="00B109BD" w:rsidRDefault="0051565D" w:rsidP="00E25588">
            <w:pPr>
              <w:tabs>
                <w:tab w:val="left" w:pos="1769"/>
              </w:tabs>
              <w:spacing w:after="0" w:line="360" w:lineRule="auto"/>
              <w:jc w:val="center"/>
              <w:rPr>
                <w:rFonts w:ascii="Times New Roman" w:hAnsi="Times New Roman" w:cs="Times New Roman"/>
              </w:rPr>
            </w:pPr>
          </w:p>
        </w:tc>
      </w:tr>
      <w:tr w:rsidR="00AC3586" w:rsidRPr="00B109BD" w14:paraId="53674ADC" w14:textId="77777777" w:rsidTr="00C40EE5">
        <w:trPr>
          <w:trHeight w:val="406"/>
        </w:trPr>
        <w:tc>
          <w:tcPr>
            <w:tcW w:w="3118" w:type="dxa"/>
            <w:vMerge w:val="restart"/>
            <w:tcBorders>
              <w:top w:val="nil"/>
              <w:left w:val="single" w:sz="4" w:space="0" w:color="auto"/>
              <w:bottom w:val="single" w:sz="4" w:space="0" w:color="auto"/>
              <w:right w:val="single" w:sz="4" w:space="0" w:color="auto"/>
            </w:tcBorders>
            <w:shd w:val="clear" w:color="000000" w:fill="FFFFFF"/>
            <w:hideMark/>
          </w:tcPr>
          <w:p w14:paraId="2C4A7D5B" w14:textId="77777777" w:rsidR="00C40EE5" w:rsidRPr="00B109BD" w:rsidRDefault="00C40EE5" w:rsidP="00E25588">
            <w:pPr>
              <w:tabs>
                <w:tab w:val="left" w:pos="1769"/>
              </w:tabs>
              <w:spacing w:after="0" w:line="240" w:lineRule="auto"/>
              <w:jc w:val="center"/>
              <w:rPr>
                <w:rFonts w:ascii="Times New Roman" w:hAnsi="Times New Roman" w:cs="Times New Roman"/>
              </w:rPr>
            </w:pPr>
          </w:p>
          <w:p w14:paraId="22844253" w14:textId="30D9BD93" w:rsidR="0051565D" w:rsidRPr="00B109BD" w:rsidRDefault="0051565D" w:rsidP="00E25588">
            <w:pPr>
              <w:tabs>
                <w:tab w:val="left" w:pos="1769"/>
              </w:tabs>
              <w:spacing w:after="0" w:line="240" w:lineRule="auto"/>
              <w:jc w:val="center"/>
              <w:rPr>
                <w:rFonts w:ascii="Times New Roman" w:hAnsi="Times New Roman" w:cs="Times New Roman"/>
              </w:rPr>
            </w:pPr>
            <w:r w:rsidRPr="00B109BD">
              <w:rPr>
                <w:rFonts w:ascii="Times New Roman" w:hAnsi="Times New Roman" w:cs="Times New Roman"/>
              </w:rPr>
              <w:t>High risk</w:t>
            </w:r>
          </w:p>
        </w:tc>
        <w:tc>
          <w:tcPr>
            <w:tcW w:w="1701" w:type="dxa"/>
            <w:tcBorders>
              <w:top w:val="nil"/>
              <w:left w:val="nil"/>
              <w:bottom w:val="single" w:sz="4" w:space="0" w:color="auto"/>
              <w:right w:val="single" w:sz="4" w:space="0" w:color="auto"/>
            </w:tcBorders>
            <w:shd w:val="clear" w:color="000000" w:fill="FFFFFF"/>
            <w:hideMark/>
          </w:tcPr>
          <w:p w14:paraId="46F1366E"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&lt; 600</w:t>
            </w:r>
          </w:p>
        </w:tc>
        <w:tc>
          <w:tcPr>
            <w:tcW w:w="2304" w:type="dxa"/>
            <w:tcBorders>
              <w:top w:val="nil"/>
              <w:left w:val="nil"/>
              <w:bottom w:val="single" w:sz="4" w:space="0" w:color="auto"/>
              <w:right w:val="single" w:sz="4" w:space="0" w:color="auto"/>
            </w:tcBorders>
            <w:shd w:val="clear" w:color="000000" w:fill="FFFFFF"/>
            <w:noWrap/>
            <w:hideMark/>
          </w:tcPr>
          <w:p w14:paraId="2EC1F05B"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5.00 ± 3.14</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2E9717"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0.000</w:t>
            </w:r>
          </w:p>
        </w:tc>
      </w:tr>
      <w:tr w:rsidR="00AC3586" w:rsidRPr="00B109BD" w14:paraId="48C45DC2" w14:textId="77777777" w:rsidTr="00C40EE5">
        <w:trPr>
          <w:trHeight w:val="157"/>
        </w:trPr>
        <w:tc>
          <w:tcPr>
            <w:tcW w:w="3118" w:type="dxa"/>
            <w:vMerge/>
            <w:tcBorders>
              <w:top w:val="nil"/>
              <w:left w:val="single" w:sz="4" w:space="0" w:color="auto"/>
              <w:bottom w:val="single" w:sz="4" w:space="0" w:color="auto"/>
              <w:right w:val="single" w:sz="4" w:space="0" w:color="auto"/>
            </w:tcBorders>
            <w:vAlign w:val="center"/>
            <w:hideMark/>
          </w:tcPr>
          <w:p w14:paraId="3CAFBD47" w14:textId="77777777" w:rsidR="0051565D" w:rsidRPr="00B109BD" w:rsidRDefault="0051565D" w:rsidP="00E25588">
            <w:pPr>
              <w:tabs>
                <w:tab w:val="left" w:pos="1769"/>
              </w:tabs>
              <w:spacing w:after="0" w:line="360" w:lineRule="auto"/>
              <w:rPr>
                <w:rFonts w:ascii="Times New Roman" w:hAnsi="Times New Roman" w:cs="Times New Roman"/>
              </w:rPr>
            </w:pPr>
          </w:p>
        </w:tc>
        <w:tc>
          <w:tcPr>
            <w:tcW w:w="1701" w:type="dxa"/>
            <w:tcBorders>
              <w:top w:val="nil"/>
              <w:left w:val="nil"/>
              <w:bottom w:val="single" w:sz="4" w:space="0" w:color="auto"/>
              <w:right w:val="single" w:sz="4" w:space="0" w:color="auto"/>
            </w:tcBorders>
            <w:shd w:val="clear" w:color="000000" w:fill="FFFFFF"/>
            <w:hideMark/>
          </w:tcPr>
          <w:p w14:paraId="3CFD2116"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 600</w:t>
            </w:r>
          </w:p>
        </w:tc>
        <w:tc>
          <w:tcPr>
            <w:tcW w:w="2304" w:type="dxa"/>
            <w:tcBorders>
              <w:top w:val="nil"/>
              <w:left w:val="nil"/>
              <w:bottom w:val="single" w:sz="4" w:space="0" w:color="auto"/>
              <w:right w:val="single" w:sz="4" w:space="0" w:color="auto"/>
            </w:tcBorders>
            <w:shd w:val="clear" w:color="000000" w:fill="FFFFFF"/>
            <w:noWrap/>
            <w:hideMark/>
          </w:tcPr>
          <w:p w14:paraId="55EB3018" w14:textId="77777777" w:rsidR="0051565D" w:rsidRPr="00B109BD" w:rsidRDefault="0051565D" w:rsidP="00E25588">
            <w:pPr>
              <w:tabs>
                <w:tab w:val="left" w:pos="1769"/>
              </w:tabs>
              <w:spacing w:after="0" w:line="360" w:lineRule="auto"/>
              <w:jc w:val="center"/>
              <w:rPr>
                <w:rFonts w:ascii="Times New Roman" w:hAnsi="Times New Roman" w:cs="Times New Roman"/>
              </w:rPr>
            </w:pPr>
            <w:r w:rsidRPr="00B109BD">
              <w:rPr>
                <w:rFonts w:ascii="Times New Roman" w:hAnsi="Times New Roman" w:cs="Times New Roman"/>
              </w:rPr>
              <w:t>11.33 ± 7.81</w:t>
            </w:r>
          </w:p>
        </w:tc>
        <w:tc>
          <w:tcPr>
            <w:tcW w:w="1240" w:type="dxa"/>
            <w:vMerge/>
            <w:tcBorders>
              <w:top w:val="nil"/>
              <w:left w:val="single" w:sz="4" w:space="0" w:color="auto"/>
              <w:bottom w:val="single" w:sz="4" w:space="0" w:color="auto"/>
              <w:right w:val="single" w:sz="4" w:space="0" w:color="auto"/>
            </w:tcBorders>
            <w:vAlign w:val="center"/>
            <w:hideMark/>
          </w:tcPr>
          <w:p w14:paraId="3AA0E029" w14:textId="77777777" w:rsidR="0051565D" w:rsidRPr="00B109BD" w:rsidRDefault="0051565D" w:rsidP="00E25588">
            <w:pPr>
              <w:tabs>
                <w:tab w:val="left" w:pos="1769"/>
              </w:tabs>
              <w:spacing w:after="0" w:line="360" w:lineRule="auto"/>
              <w:rPr>
                <w:rFonts w:ascii="Times New Roman" w:hAnsi="Times New Roman" w:cs="Times New Roman"/>
              </w:rPr>
            </w:pPr>
          </w:p>
        </w:tc>
      </w:tr>
    </w:tbl>
    <w:p w14:paraId="48BDD206" w14:textId="77777777" w:rsidR="0039609E" w:rsidRPr="00B109BD" w:rsidRDefault="0039609E" w:rsidP="00035ED4">
      <w:pPr>
        <w:rPr>
          <w:rFonts w:ascii="Times New Roman" w:eastAsiaTheme="minorEastAsia" w:hAnsi="Times New Roman" w:cs="Times New Roman"/>
          <w:noProof/>
          <w:kern w:val="0"/>
          <w:sz w:val="18"/>
          <w:szCs w:val="18"/>
          <w:lang w:eastAsia="zh-CN"/>
          <w14:ligatures w14:val="none"/>
        </w:rPr>
      </w:pPr>
      <w:r w:rsidRPr="00B109BD">
        <w:rPr>
          <w:rFonts w:ascii="Times New Roman" w:eastAsiaTheme="minorEastAsia" w:hAnsi="Times New Roman" w:cs="Times New Roman"/>
          <w:noProof/>
          <w:kern w:val="0"/>
          <w:sz w:val="18"/>
          <w:szCs w:val="18"/>
          <w:lang w:eastAsia="zh-CN"/>
          <w14:ligatures w14:val="none"/>
        </w:rPr>
        <w:t xml:space="preserve">    </w:t>
      </w:r>
    </w:p>
    <w:p w14:paraId="41E875A8" w14:textId="5FB55F16" w:rsidR="0051565D" w:rsidRPr="00B109BD" w:rsidRDefault="0039609E" w:rsidP="0039609E">
      <w:pPr>
        <w:spacing w:after="0" w:line="240" w:lineRule="auto"/>
        <w:rPr>
          <w:rFonts w:ascii="Times New Roman" w:hAnsi="Times New Roman" w:cs="Times New Roman"/>
          <w:sz w:val="24"/>
          <w:szCs w:val="24"/>
        </w:rPr>
      </w:pPr>
      <w:r w:rsidRPr="00B109BD">
        <w:rPr>
          <w:rFonts w:ascii="Times New Roman" w:eastAsiaTheme="minorEastAsia" w:hAnsi="Times New Roman" w:cs="Times New Roman"/>
          <w:noProof/>
          <w:kern w:val="0"/>
          <w:sz w:val="18"/>
          <w:szCs w:val="18"/>
          <w:lang w:eastAsia="zh-CN"/>
          <w14:ligatures w14:val="none"/>
        </w:rPr>
        <w:t xml:space="preserve">         mNUTRIC, modified Nutritional Risk for Critically ill patients</w:t>
      </w:r>
      <w:r w:rsidR="0067784C" w:rsidRPr="00B109BD">
        <w:rPr>
          <w:rFonts w:ascii="Times New Roman" w:eastAsiaTheme="minorEastAsia" w:hAnsi="Times New Roman" w:cs="Times New Roman"/>
          <w:noProof/>
          <w:kern w:val="0"/>
          <w:sz w:val="18"/>
          <w:szCs w:val="18"/>
          <w:lang w:eastAsia="zh-CN"/>
          <w14:ligatures w14:val="none"/>
        </w:rPr>
        <w:t>, SD, Standard Deviation</w:t>
      </w:r>
    </w:p>
    <w:sectPr w:rsidR="0051565D" w:rsidRPr="00B109BD" w:rsidSect="00474B8C">
      <w:pgSz w:w="11906" w:h="16838" w:code="9"/>
      <w:pgMar w:top="1440" w:right="1440" w:bottom="1440"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1F236A"/>
    <w:multiLevelType w:val="hybridMultilevel"/>
    <w:tmpl w:val="C8921F96"/>
    <w:lvl w:ilvl="0" w:tplc="4516BF92">
      <w:start w:val="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09773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9F"/>
    <w:rsid w:val="00013AF2"/>
    <w:rsid w:val="0002311F"/>
    <w:rsid w:val="00035ED4"/>
    <w:rsid w:val="000360DE"/>
    <w:rsid w:val="00086060"/>
    <w:rsid w:val="000B685F"/>
    <w:rsid w:val="000E09B1"/>
    <w:rsid w:val="00202537"/>
    <w:rsid w:val="00216EE5"/>
    <w:rsid w:val="002A4126"/>
    <w:rsid w:val="00380893"/>
    <w:rsid w:val="0039609E"/>
    <w:rsid w:val="003F32F4"/>
    <w:rsid w:val="0043725F"/>
    <w:rsid w:val="004D26F1"/>
    <w:rsid w:val="004E3A9F"/>
    <w:rsid w:val="0051565D"/>
    <w:rsid w:val="00560925"/>
    <w:rsid w:val="005C0295"/>
    <w:rsid w:val="0067784C"/>
    <w:rsid w:val="006B376E"/>
    <w:rsid w:val="00777C89"/>
    <w:rsid w:val="007A0319"/>
    <w:rsid w:val="00843063"/>
    <w:rsid w:val="00873EE4"/>
    <w:rsid w:val="008A2BD7"/>
    <w:rsid w:val="00A844A0"/>
    <w:rsid w:val="00AC0881"/>
    <w:rsid w:val="00AC3586"/>
    <w:rsid w:val="00B109BD"/>
    <w:rsid w:val="00B124A5"/>
    <w:rsid w:val="00B4037D"/>
    <w:rsid w:val="00B7168F"/>
    <w:rsid w:val="00BE67D8"/>
    <w:rsid w:val="00BE6BA7"/>
    <w:rsid w:val="00C01926"/>
    <w:rsid w:val="00C03A79"/>
    <w:rsid w:val="00C40EE5"/>
    <w:rsid w:val="00C655C3"/>
    <w:rsid w:val="00C946B7"/>
    <w:rsid w:val="00D3179E"/>
    <w:rsid w:val="00D8092D"/>
    <w:rsid w:val="00DC4479"/>
    <w:rsid w:val="00E56286"/>
    <w:rsid w:val="00ED4819"/>
    <w:rsid w:val="00EE27CA"/>
    <w:rsid w:val="00FC2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88EC"/>
  <w15:chartTrackingRefBased/>
  <w15:docId w15:val="{30632797-CC01-4C94-9B3B-125EBFA0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A9F"/>
    <w:pPr>
      <w:ind w:left="720"/>
      <w:contextualSpacing/>
    </w:pPr>
  </w:style>
  <w:style w:type="character" w:styleId="Hyperlink">
    <w:name w:val="Hyperlink"/>
    <w:basedOn w:val="DefaultParagraphFont"/>
    <w:uiPriority w:val="99"/>
    <w:unhideWhenUsed/>
    <w:rsid w:val="004E3A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918020">
      <w:bodyDiv w:val="1"/>
      <w:marLeft w:val="0"/>
      <w:marRight w:val="0"/>
      <w:marTop w:val="0"/>
      <w:marBottom w:val="0"/>
      <w:divBdr>
        <w:top w:val="none" w:sz="0" w:space="0" w:color="auto"/>
        <w:left w:val="none" w:sz="0" w:space="0" w:color="auto"/>
        <w:bottom w:val="none" w:sz="0" w:space="0" w:color="auto"/>
        <w:right w:val="none" w:sz="0" w:space="0" w:color="auto"/>
      </w:divBdr>
      <w:divsChild>
        <w:div w:id="259334425">
          <w:marLeft w:val="480"/>
          <w:marRight w:val="0"/>
          <w:marTop w:val="0"/>
          <w:marBottom w:val="0"/>
          <w:divBdr>
            <w:top w:val="none" w:sz="0" w:space="0" w:color="auto"/>
            <w:left w:val="none" w:sz="0" w:space="0" w:color="auto"/>
            <w:bottom w:val="none" w:sz="0" w:space="0" w:color="auto"/>
            <w:right w:val="none" w:sz="0" w:space="0" w:color="auto"/>
          </w:divBdr>
        </w:div>
        <w:div w:id="1573782542">
          <w:marLeft w:val="480"/>
          <w:marRight w:val="0"/>
          <w:marTop w:val="0"/>
          <w:marBottom w:val="0"/>
          <w:divBdr>
            <w:top w:val="none" w:sz="0" w:space="0" w:color="auto"/>
            <w:left w:val="none" w:sz="0" w:space="0" w:color="auto"/>
            <w:bottom w:val="none" w:sz="0" w:space="0" w:color="auto"/>
            <w:right w:val="none" w:sz="0" w:space="0" w:color="auto"/>
          </w:divBdr>
        </w:div>
        <w:div w:id="588663069">
          <w:marLeft w:val="480"/>
          <w:marRight w:val="0"/>
          <w:marTop w:val="0"/>
          <w:marBottom w:val="0"/>
          <w:divBdr>
            <w:top w:val="none" w:sz="0" w:space="0" w:color="auto"/>
            <w:left w:val="none" w:sz="0" w:space="0" w:color="auto"/>
            <w:bottom w:val="none" w:sz="0" w:space="0" w:color="auto"/>
            <w:right w:val="none" w:sz="0" w:space="0" w:color="auto"/>
          </w:divBdr>
        </w:div>
        <w:div w:id="44257067">
          <w:marLeft w:val="480"/>
          <w:marRight w:val="0"/>
          <w:marTop w:val="0"/>
          <w:marBottom w:val="0"/>
          <w:divBdr>
            <w:top w:val="none" w:sz="0" w:space="0" w:color="auto"/>
            <w:left w:val="none" w:sz="0" w:space="0" w:color="auto"/>
            <w:bottom w:val="none" w:sz="0" w:space="0" w:color="auto"/>
            <w:right w:val="none" w:sz="0" w:space="0" w:color="auto"/>
          </w:divBdr>
        </w:div>
        <w:div w:id="856773462">
          <w:marLeft w:val="480"/>
          <w:marRight w:val="0"/>
          <w:marTop w:val="0"/>
          <w:marBottom w:val="0"/>
          <w:divBdr>
            <w:top w:val="none" w:sz="0" w:space="0" w:color="auto"/>
            <w:left w:val="none" w:sz="0" w:space="0" w:color="auto"/>
            <w:bottom w:val="none" w:sz="0" w:space="0" w:color="auto"/>
            <w:right w:val="none" w:sz="0" w:space="0" w:color="auto"/>
          </w:divBdr>
        </w:div>
        <w:div w:id="751195157">
          <w:marLeft w:val="480"/>
          <w:marRight w:val="0"/>
          <w:marTop w:val="0"/>
          <w:marBottom w:val="0"/>
          <w:divBdr>
            <w:top w:val="none" w:sz="0" w:space="0" w:color="auto"/>
            <w:left w:val="none" w:sz="0" w:space="0" w:color="auto"/>
            <w:bottom w:val="none" w:sz="0" w:space="0" w:color="auto"/>
            <w:right w:val="none" w:sz="0" w:space="0" w:color="auto"/>
          </w:divBdr>
        </w:div>
        <w:div w:id="1031497881">
          <w:marLeft w:val="480"/>
          <w:marRight w:val="0"/>
          <w:marTop w:val="0"/>
          <w:marBottom w:val="0"/>
          <w:divBdr>
            <w:top w:val="none" w:sz="0" w:space="0" w:color="auto"/>
            <w:left w:val="none" w:sz="0" w:space="0" w:color="auto"/>
            <w:bottom w:val="none" w:sz="0" w:space="0" w:color="auto"/>
            <w:right w:val="none" w:sz="0" w:space="0" w:color="auto"/>
          </w:divBdr>
        </w:div>
        <w:div w:id="1480729334">
          <w:marLeft w:val="480"/>
          <w:marRight w:val="0"/>
          <w:marTop w:val="0"/>
          <w:marBottom w:val="0"/>
          <w:divBdr>
            <w:top w:val="none" w:sz="0" w:space="0" w:color="auto"/>
            <w:left w:val="none" w:sz="0" w:space="0" w:color="auto"/>
            <w:bottom w:val="none" w:sz="0" w:space="0" w:color="auto"/>
            <w:right w:val="none" w:sz="0" w:space="0" w:color="auto"/>
          </w:divBdr>
        </w:div>
        <w:div w:id="1539318174">
          <w:marLeft w:val="480"/>
          <w:marRight w:val="0"/>
          <w:marTop w:val="0"/>
          <w:marBottom w:val="0"/>
          <w:divBdr>
            <w:top w:val="none" w:sz="0" w:space="0" w:color="auto"/>
            <w:left w:val="none" w:sz="0" w:space="0" w:color="auto"/>
            <w:bottom w:val="none" w:sz="0" w:space="0" w:color="auto"/>
            <w:right w:val="none" w:sz="0" w:space="0" w:color="auto"/>
          </w:divBdr>
        </w:div>
        <w:div w:id="823280217">
          <w:marLeft w:val="480"/>
          <w:marRight w:val="0"/>
          <w:marTop w:val="0"/>
          <w:marBottom w:val="0"/>
          <w:divBdr>
            <w:top w:val="none" w:sz="0" w:space="0" w:color="auto"/>
            <w:left w:val="none" w:sz="0" w:space="0" w:color="auto"/>
            <w:bottom w:val="none" w:sz="0" w:space="0" w:color="auto"/>
            <w:right w:val="none" w:sz="0" w:space="0" w:color="auto"/>
          </w:divBdr>
        </w:div>
        <w:div w:id="1538810809">
          <w:marLeft w:val="480"/>
          <w:marRight w:val="0"/>
          <w:marTop w:val="0"/>
          <w:marBottom w:val="0"/>
          <w:divBdr>
            <w:top w:val="none" w:sz="0" w:space="0" w:color="auto"/>
            <w:left w:val="none" w:sz="0" w:space="0" w:color="auto"/>
            <w:bottom w:val="none" w:sz="0" w:space="0" w:color="auto"/>
            <w:right w:val="none" w:sz="0" w:space="0" w:color="auto"/>
          </w:divBdr>
        </w:div>
        <w:div w:id="1331592575">
          <w:marLeft w:val="480"/>
          <w:marRight w:val="0"/>
          <w:marTop w:val="0"/>
          <w:marBottom w:val="0"/>
          <w:divBdr>
            <w:top w:val="none" w:sz="0" w:space="0" w:color="auto"/>
            <w:left w:val="none" w:sz="0" w:space="0" w:color="auto"/>
            <w:bottom w:val="none" w:sz="0" w:space="0" w:color="auto"/>
            <w:right w:val="none" w:sz="0" w:space="0" w:color="auto"/>
          </w:divBdr>
        </w:div>
        <w:div w:id="511841275">
          <w:marLeft w:val="480"/>
          <w:marRight w:val="0"/>
          <w:marTop w:val="0"/>
          <w:marBottom w:val="0"/>
          <w:divBdr>
            <w:top w:val="none" w:sz="0" w:space="0" w:color="auto"/>
            <w:left w:val="none" w:sz="0" w:space="0" w:color="auto"/>
            <w:bottom w:val="none" w:sz="0" w:space="0" w:color="auto"/>
            <w:right w:val="none" w:sz="0" w:space="0" w:color="auto"/>
          </w:divBdr>
        </w:div>
        <w:div w:id="606816511">
          <w:marLeft w:val="480"/>
          <w:marRight w:val="0"/>
          <w:marTop w:val="0"/>
          <w:marBottom w:val="0"/>
          <w:divBdr>
            <w:top w:val="none" w:sz="0" w:space="0" w:color="auto"/>
            <w:left w:val="none" w:sz="0" w:space="0" w:color="auto"/>
            <w:bottom w:val="none" w:sz="0" w:space="0" w:color="auto"/>
            <w:right w:val="none" w:sz="0" w:space="0" w:color="auto"/>
          </w:divBdr>
        </w:div>
        <w:div w:id="210390537">
          <w:marLeft w:val="480"/>
          <w:marRight w:val="0"/>
          <w:marTop w:val="0"/>
          <w:marBottom w:val="0"/>
          <w:divBdr>
            <w:top w:val="none" w:sz="0" w:space="0" w:color="auto"/>
            <w:left w:val="none" w:sz="0" w:space="0" w:color="auto"/>
            <w:bottom w:val="none" w:sz="0" w:space="0" w:color="auto"/>
            <w:right w:val="none" w:sz="0" w:space="0" w:color="auto"/>
          </w:divBdr>
        </w:div>
        <w:div w:id="1566405225">
          <w:marLeft w:val="480"/>
          <w:marRight w:val="0"/>
          <w:marTop w:val="0"/>
          <w:marBottom w:val="0"/>
          <w:divBdr>
            <w:top w:val="none" w:sz="0" w:space="0" w:color="auto"/>
            <w:left w:val="none" w:sz="0" w:space="0" w:color="auto"/>
            <w:bottom w:val="none" w:sz="0" w:space="0" w:color="auto"/>
            <w:right w:val="none" w:sz="0" w:space="0" w:color="auto"/>
          </w:divBdr>
        </w:div>
        <w:div w:id="1180703854">
          <w:marLeft w:val="480"/>
          <w:marRight w:val="0"/>
          <w:marTop w:val="0"/>
          <w:marBottom w:val="0"/>
          <w:divBdr>
            <w:top w:val="none" w:sz="0" w:space="0" w:color="auto"/>
            <w:left w:val="none" w:sz="0" w:space="0" w:color="auto"/>
            <w:bottom w:val="none" w:sz="0" w:space="0" w:color="auto"/>
            <w:right w:val="none" w:sz="0" w:space="0" w:color="auto"/>
          </w:divBdr>
        </w:div>
        <w:div w:id="889919343">
          <w:marLeft w:val="480"/>
          <w:marRight w:val="0"/>
          <w:marTop w:val="0"/>
          <w:marBottom w:val="0"/>
          <w:divBdr>
            <w:top w:val="none" w:sz="0" w:space="0" w:color="auto"/>
            <w:left w:val="none" w:sz="0" w:space="0" w:color="auto"/>
            <w:bottom w:val="none" w:sz="0" w:space="0" w:color="auto"/>
            <w:right w:val="none" w:sz="0" w:space="0" w:color="auto"/>
          </w:divBdr>
        </w:div>
        <w:div w:id="45300681">
          <w:marLeft w:val="480"/>
          <w:marRight w:val="0"/>
          <w:marTop w:val="0"/>
          <w:marBottom w:val="0"/>
          <w:divBdr>
            <w:top w:val="none" w:sz="0" w:space="0" w:color="auto"/>
            <w:left w:val="none" w:sz="0" w:space="0" w:color="auto"/>
            <w:bottom w:val="none" w:sz="0" w:space="0" w:color="auto"/>
            <w:right w:val="none" w:sz="0" w:space="0" w:color="auto"/>
          </w:divBdr>
        </w:div>
        <w:div w:id="463280692">
          <w:marLeft w:val="480"/>
          <w:marRight w:val="0"/>
          <w:marTop w:val="0"/>
          <w:marBottom w:val="0"/>
          <w:divBdr>
            <w:top w:val="none" w:sz="0" w:space="0" w:color="auto"/>
            <w:left w:val="none" w:sz="0" w:space="0" w:color="auto"/>
            <w:bottom w:val="none" w:sz="0" w:space="0" w:color="auto"/>
            <w:right w:val="none" w:sz="0" w:space="0" w:color="auto"/>
          </w:divBdr>
        </w:div>
        <w:div w:id="1495729625">
          <w:marLeft w:val="480"/>
          <w:marRight w:val="0"/>
          <w:marTop w:val="0"/>
          <w:marBottom w:val="0"/>
          <w:divBdr>
            <w:top w:val="none" w:sz="0" w:space="0" w:color="auto"/>
            <w:left w:val="none" w:sz="0" w:space="0" w:color="auto"/>
            <w:bottom w:val="none" w:sz="0" w:space="0" w:color="auto"/>
            <w:right w:val="none" w:sz="0" w:space="0" w:color="auto"/>
          </w:divBdr>
        </w:div>
        <w:div w:id="1753239147">
          <w:marLeft w:val="480"/>
          <w:marRight w:val="0"/>
          <w:marTop w:val="0"/>
          <w:marBottom w:val="0"/>
          <w:divBdr>
            <w:top w:val="none" w:sz="0" w:space="0" w:color="auto"/>
            <w:left w:val="none" w:sz="0" w:space="0" w:color="auto"/>
            <w:bottom w:val="none" w:sz="0" w:space="0" w:color="auto"/>
            <w:right w:val="none" w:sz="0" w:space="0" w:color="auto"/>
          </w:divBdr>
        </w:div>
        <w:div w:id="290789165">
          <w:marLeft w:val="480"/>
          <w:marRight w:val="0"/>
          <w:marTop w:val="0"/>
          <w:marBottom w:val="0"/>
          <w:divBdr>
            <w:top w:val="none" w:sz="0" w:space="0" w:color="auto"/>
            <w:left w:val="none" w:sz="0" w:space="0" w:color="auto"/>
            <w:bottom w:val="none" w:sz="0" w:space="0" w:color="auto"/>
            <w:right w:val="none" w:sz="0" w:space="0" w:color="auto"/>
          </w:divBdr>
        </w:div>
        <w:div w:id="494300079">
          <w:marLeft w:val="480"/>
          <w:marRight w:val="0"/>
          <w:marTop w:val="0"/>
          <w:marBottom w:val="0"/>
          <w:divBdr>
            <w:top w:val="none" w:sz="0" w:space="0" w:color="auto"/>
            <w:left w:val="none" w:sz="0" w:space="0" w:color="auto"/>
            <w:bottom w:val="none" w:sz="0" w:space="0" w:color="auto"/>
            <w:right w:val="none" w:sz="0" w:space="0" w:color="auto"/>
          </w:divBdr>
        </w:div>
        <w:div w:id="1376468290">
          <w:marLeft w:val="480"/>
          <w:marRight w:val="0"/>
          <w:marTop w:val="0"/>
          <w:marBottom w:val="0"/>
          <w:divBdr>
            <w:top w:val="none" w:sz="0" w:space="0" w:color="auto"/>
            <w:left w:val="none" w:sz="0" w:space="0" w:color="auto"/>
            <w:bottom w:val="none" w:sz="0" w:space="0" w:color="auto"/>
            <w:right w:val="none" w:sz="0" w:space="0" w:color="auto"/>
          </w:divBdr>
        </w:div>
      </w:divsChild>
    </w:div>
    <w:div w:id="1666860146">
      <w:bodyDiv w:val="1"/>
      <w:marLeft w:val="0"/>
      <w:marRight w:val="0"/>
      <w:marTop w:val="0"/>
      <w:marBottom w:val="0"/>
      <w:divBdr>
        <w:top w:val="none" w:sz="0" w:space="0" w:color="auto"/>
        <w:left w:val="none" w:sz="0" w:space="0" w:color="auto"/>
        <w:bottom w:val="none" w:sz="0" w:space="0" w:color="auto"/>
        <w:right w:val="none" w:sz="0" w:space="0" w:color="auto"/>
      </w:divBdr>
      <w:divsChild>
        <w:div w:id="1756432890">
          <w:marLeft w:val="480"/>
          <w:marRight w:val="0"/>
          <w:marTop w:val="0"/>
          <w:marBottom w:val="0"/>
          <w:divBdr>
            <w:top w:val="none" w:sz="0" w:space="0" w:color="auto"/>
            <w:left w:val="none" w:sz="0" w:space="0" w:color="auto"/>
            <w:bottom w:val="none" w:sz="0" w:space="0" w:color="auto"/>
            <w:right w:val="none" w:sz="0" w:space="0" w:color="auto"/>
          </w:divBdr>
        </w:div>
        <w:div w:id="1309437246">
          <w:marLeft w:val="480"/>
          <w:marRight w:val="0"/>
          <w:marTop w:val="0"/>
          <w:marBottom w:val="0"/>
          <w:divBdr>
            <w:top w:val="none" w:sz="0" w:space="0" w:color="auto"/>
            <w:left w:val="none" w:sz="0" w:space="0" w:color="auto"/>
            <w:bottom w:val="none" w:sz="0" w:space="0" w:color="auto"/>
            <w:right w:val="none" w:sz="0" w:space="0" w:color="auto"/>
          </w:divBdr>
        </w:div>
        <w:div w:id="2032952123">
          <w:marLeft w:val="480"/>
          <w:marRight w:val="0"/>
          <w:marTop w:val="0"/>
          <w:marBottom w:val="0"/>
          <w:divBdr>
            <w:top w:val="none" w:sz="0" w:space="0" w:color="auto"/>
            <w:left w:val="none" w:sz="0" w:space="0" w:color="auto"/>
            <w:bottom w:val="none" w:sz="0" w:space="0" w:color="auto"/>
            <w:right w:val="none" w:sz="0" w:space="0" w:color="auto"/>
          </w:divBdr>
        </w:div>
        <w:div w:id="1851218533">
          <w:marLeft w:val="480"/>
          <w:marRight w:val="0"/>
          <w:marTop w:val="0"/>
          <w:marBottom w:val="0"/>
          <w:divBdr>
            <w:top w:val="none" w:sz="0" w:space="0" w:color="auto"/>
            <w:left w:val="none" w:sz="0" w:space="0" w:color="auto"/>
            <w:bottom w:val="none" w:sz="0" w:space="0" w:color="auto"/>
            <w:right w:val="none" w:sz="0" w:space="0" w:color="auto"/>
          </w:divBdr>
        </w:div>
        <w:div w:id="1767262249">
          <w:marLeft w:val="480"/>
          <w:marRight w:val="0"/>
          <w:marTop w:val="0"/>
          <w:marBottom w:val="0"/>
          <w:divBdr>
            <w:top w:val="none" w:sz="0" w:space="0" w:color="auto"/>
            <w:left w:val="none" w:sz="0" w:space="0" w:color="auto"/>
            <w:bottom w:val="none" w:sz="0" w:space="0" w:color="auto"/>
            <w:right w:val="none" w:sz="0" w:space="0" w:color="auto"/>
          </w:divBdr>
        </w:div>
        <w:div w:id="1477795670">
          <w:marLeft w:val="480"/>
          <w:marRight w:val="0"/>
          <w:marTop w:val="0"/>
          <w:marBottom w:val="0"/>
          <w:divBdr>
            <w:top w:val="none" w:sz="0" w:space="0" w:color="auto"/>
            <w:left w:val="none" w:sz="0" w:space="0" w:color="auto"/>
            <w:bottom w:val="none" w:sz="0" w:space="0" w:color="auto"/>
            <w:right w:val="none" w:sz="0" w:space="0" w:color="auto"/>
          </w:divBdr>
        </w:div>
        <w:div w:id="2098749188">
          <w:marLeft w:val="480"/>
          <w:marRight w:val="0"/>
          <w:marTop w:val="0"/>
          <w:marBottom w:val="0"/>
          <w:divBdr>
            <w:top w:val="none" w:sz="0" w:space="0" w:color="auto"/>
            <w:left w:val="none" w:sz="0" w:space="0" w:color="auto"/>
            <w:bottom w:val="none" w:sz="0" w:space="0" w:color="auto"/>
            <w:right w:val="none" w:sz="0" w:space="0" w:color="auto"/>
          </w:divBdr>
        </w:div>
        <w:div w:id="1302661861">
          <w:marLeft w:val="480"/>
          <w:marRight w:val="0"/>
          <w:marTop w:val="0"/>
          <w:marBottom w:val="0"/>
          <w:divBdr>
            <w:top w:val="none" w:sz="0" w:space="0" w:color="auto"/>
            <w:left w:val="none" w:sz="0" w:space="0" w:color="auto"/>
            <w:bottom w:val="none" w:sz="0" w:space="0" w:color="auto"/>
            <w:right w:val="none" w:sz="0" w:space="0" w:color="auto"/>
          </w:divBdr>
        </w:div>
        <w:div w:id="194775209">
          <w:marLeft w:val="480"/>
          <w:marRight w:val="0"/>
          <w:marTop w:val="0"/>
          <w:marBottom w:val="0"/>
          <w:divBdr>
            <w:top w:val="none" w:sz="0" w:space="0" w:color="auto"/>
            <w:left w:val="none" w:sz="0" w:space="0" w:color="auto"/>
            <w:bottom w:val="none" w:sz="0" w:space="0" w:color="auto"/>
            <w:right w:val="none" w:sz="0" w:space="0" w:color="auto"/>
          </w:divBdr>
        </w:div>
        <w:div w:id="1486705950">
          <w:marLeft w:val="480"/>
          <w:marRight w:val="0"/>
          <w:marTop w:val="0"/>
          <w:marBottom w:val="0"/>
          <w:divBdr>
            <w:top w:val="none" w:sz="0" w:space="0" w:color="auto"/>
            <w:left w:val="none" w:sz="0" w:space="0" w:color="auto"/>
            <w:bottom w:val="none" w:sz="0" w:space="0" w:color="auto"/>
            <w:right w:val="none" w:sz="0" w:space="0" w:color="auto"/>
          </w:divBdr>
        </w:div>
        <w:div w:id="256061119">
          <w:marLeft w:val="480"/>
          <w:marRight w:val="0"/>
          <w:marTop w:val="0"/>
          <w:marBottom w:val="0"/>
          <w:divBdr>
            <w:top w:val="none" w:sz="0" w:space="0" w:color="auto"/>
            <w:left w:val="none" w:sz="0" w:space="0" w:color="auto"/>
            <w:bottom w:val="none" w:sz="0" w:space="0" w:color="auto"/>
            <w:right w:val="none" w:sz="0" w:space="0" w:color="auto"/>
          </w:divBdr>
        </w:div>
        <w:div w:id="1681349063">
          <w:marLeft w:val="480"/>
          <w:marRight w:val="0"/>
          <w:marTop w:val="0"/>
          <w:marBottom w:val="0"/>
          <w:divBdr>
            <w:top w:val="none" w:sz="0" w:space="0" w:color="auto"/>
            <w:left w:val="none" w:sz="0" w:space="0" w:color="auto"/>
            <w:bottom w:val="none" w:sz="0" w:space="0" w:color="auto"/>
            <w:right w:val="none" w:sz="0" w:space="0" w:color="auto"/>
          </w:divBdr>
        </w:div>
        <w:div w:id="1266815156">
          <w:marLeft w:val="480"/>
          <w:marRight w:val="0"/>
          <w:marTop w:val="0"/>
          <w:marBottom w:val="0"/>
          <w:divBdr>
            <w:top w:val="none" w:sz="0" w:space="0" w:color="auto"/>
            <w:left w:val="none" w:sz="0" w:space="0" w:color="auto"/>
            <w:bottom w:val="none" w:sz="0" w:space="0" w:color="auto"/>
            <w:right w:val="none" w:sz="0" w:space="0" w:color="auto"/>
          </w:divBdr>
        </w:div>
        <w:div w:id="1366059074">
          <w:marLeft w:val="480"/>
          <w:marRight w:val="0"/>
          <w:marTop w:val="0"/>
          <w:marBottom w:val="0"/>
          <w:divBdr>
            <w:top w:val="none" w:sz="0" w:space="0" w:color="auto"/>
            <w:left w:val="none" w:sz="0" w:space="0" w:color="auto"/>
            <w:bottom w:val="none" w:sz="0" w:space="0" w:color="auto"/>
            <w:right w:val="none" w:sz="0" w:space="0" w:color="auto"/>
          </w:divBdr>
        </w:div>
        <w:div w:id="1693996553">
          <w:marLeft w:val="480"/>
          <w:marRight w:val="0"/>
          <w:marTop w:val="0"/>
          <w:marBottom w:val="0"/>
          <w:divBdr>
            <w:top w:val="none" w:sz="0" w:space="0" w:color="auto"/>
            <w:left w:val="none" w:sz="0" w:space="0" w:color="auto"/>
            <w:bottom w:val="none" w:sz="0" w:space="0" w:color="auto"/>
            <w:right w:val="none" w:sz="0" w:space="0" w:color="auto"/>
          </w:divBdr>
        </w:div>
        <w:div w:id="1081831799">
          <w:marLeft w:val="480"/>
          <w:marRight w:val="0"/>
          <w:marTop w:val="0"/>
          <w:marBottom w:val="0"/>
          <w:divBdr>
            <w:top w:val="none" w:sz="0" w:space="0" w:color="auto"/>
            <w:left w:val="none" w:sz="0" w:space="0" w:color="auto"/>
            <w:bottom w:val="none" w:sz="0" w:space="0" w:color="auto"/>
            <w:right w:val="none" w:sz="0" w:space="0" w:color="auto"/>
          </w:divBdr>
        </w:div>
        <w:div w:id="13777137">
          <w:marLeft w:val="480"/>
          <w:marRight w:val="0"/>
          <w:marTop w:val="0"/>
          <w:marBottom w:val="0"/>
          <w:divBdr>
            <w:top w:val="none" w:sz="0" w:space="0" w:color="auto"/>
            <w:left w:val="none" w:sz="0" w:space="0" w:color="auto"/>
            <w:bottom w:val="none" w:sz="0" w:space="0" w:color="auto"/>
            <w:right w:val="none" w:sz="0" w:space="0" w:color="auto"/>
          </w:divBdr>
        </w:div>
        <w:div w:id="226842689">
          <w:marLeft w:val="480"/>
          <w:marRight w:val="0"/>
          <w:marTop w:val="0"/>
          <w:marBottom w:val="0"/>
          <w:divBdr>
            <w:top w:val="none" w:sz="0" w:space="0" w:color="auto"/>
            <w:left w:val="none" w:sz="0" w:space="0" w:color="auto"/>
            <w:bottom w:val="none" w:sz="0" w:space="0" w:color="auto"/>
            <w:right w:val="none" w:sz="0" w:space="0" w:color="auto"/>
          </w:divBdr>
        </w:div>
        <w:div w:id="1583831898">
          <w:marLeft w:val="480"/>
          <w:marRight w:val="0"/>
          <w:marTop w:val="0"/>
          <w:marBottom w:val="0"/>
          <w:divBdr>
            <w:top w:val="none" w:sz="0" w:space="0" w:color="auto"/>
            <w:left w:val="none" w:sz="0" w:space="0" w:color="auto"/>
            <w:bottom w:val="none" w:sz="0" w:space="0" w:color="auto"/>
            <w:right w:val="none" w:sz="0" w:space="0" w:color="auto"/>
          </w:divBdr>
        </w:div>
        <w:div w:id="880435214">
          <w:marLeft w:val="480"/>
          <w:marRight w:val="0"/>
          <w:marTop w:val="0"/>
          <w:marBottom w:val="0"/>
          <w:divBdr>
            <w:top w:val="none" w:sz="0" w:space="0" w:color="auto"/>
            <w:left w:val="none" w:sz="0" w:space="0" w:color="auto"/>
            <w:bottom w:val="none" w:sz="0" w:space="0" w:color="auto"/>
            <w:right w:val="none" w:sz="0" w:space="0" w:color="auto"/>
          </w:divBdr>
        </w:div>
        <w:div w:id="581569623">
          <w:marLeft w:val="480"/>
          <w:marRight w:val="0"/>
          <w:marTop w:val="0"/>
          <w:marBottom w:val="0"/>
          <w:divBdr>
            <w:top w:val="none" w:sz="0" w:space="0" w:color="auto"/>
            <w:left w:val="none" w:sz="0" w:space="0" w:color="auto"/>
            <w:bottom w:val="none" w:sz="0" w:space="0" w:color="auto"/>
            <w:right w:val="none" w:sz="0" w:space="0" w:color="auto"/>
          </w:divBdr>
        </w:div>
        <w:div w:id="2034649282">
          <w:marLeft w:val="480"/>
          <w:marRight w:val="0"/>
          <w:marTop w:val="0"/>
          <w:marBottom w:val="0"/>
          <w:divBdr>
            <w:top w:val="none" w:sz="0" w:space="0" w:color="auto"/>
            <w:left w:val="none" w:sz="0" w:space="0" w:color="auto"/>
            <w:bottom w:val="none" w:sz="0" w:space="0" w:color="auto"/>
            <w:right w:val="none" w:sz="0" w:space="0" w:color="auto"/>
          </w:divBdr>
        </w:div>
        <w:div w:id="1645349843">
          <w:marLeft w:val="480"/>
          <w:marRight w:val="0"/>
          <w:marTop w:val="0"/>
          <w:marBottom w:val="0"/>
          <w:divBdr>
            <w:top w:val="none" w:sz="0" w:space="0" w:color="auto"/>
            <w:left w:val="none" w:sz="0" w:space="0" w:color="auto"/>
            <w:bottom w:val="none" w:sz="0" w:space="0" w:color="auto"/>
            <w:right w:val="none" w:sz="0" w:space="0" w:color="auto"/>
          </w:divBdr>
        </w:div>
        <w:div w:id="830103441">
          <w:marLeft w:val="480"/>
          <w:marRight w:val="0"/>
          <w:marTop w:val="0"/>
          <w:marBottom w:val="0"/>
          <w:divBdr>
            <w:top w:val="none" w:sz="0" w:space="0" w:color="auto"/>
            <w:left w:val="none" w:sz="0" w:space="0" w:color="auto"/>
            <w:bottom w:val="none" w:sz="0" w:space="0" w:color="auto"/>
            <w:right w:val="none" w:sz="0" w:space="0" w:color="auto"/>
          </w:divBdr>
        </w:div>
        <w:div w:id="170146679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9BC00C-AF77-43F8-8ED7-92336396191C}">
  <we:reference id="wa104382081" version="1.55.1.0" store="en-US" storeType="OMEX"/>
  <we:alternateReferences>
    <we:reference id="wa104382081" version="1.55.1.0" store="en-US" storeType="OMEX"/>
  </we:alternateReferences>
  <we:properties>
    <we:property name="MENDELEY_CITATIONS" value="[{&quot;citationID&quot;:&quot;MENDELEY_CITATION_1b45c072-ee53-4ba4-bd66-d3f2556b1ea4&quot;,&quot;properties&quot;:{&quot;noteIndex&quot;:0},&quot;isEdited&quot;:false,&quot;manualOverride&quot;:{&quot;isManuallyOverridden&quot;:false,&quot;citeprocText&quot;:&quot;(Barker et al., 2011)&quot;,&quot;manualOverrideText&quot;:&quot;&quot;},&quot;citationTag&quot;:&quot;MENDELEY_CITATION_v3_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&quot;,&quot;citationItems&quot;:[{&quot;id&quot;:&quot;0a23d2f3-670e-32f6-a993-0ce852bc6bf4&quot;,&quot;itemData&quot;:{&quot;type&quot;:&quot;article-journal&quot;,&quot;id&quot;:&quot;0a23d2f3-670e-32f6-a993-0ce852bc6bf4&quot;,&quot;title&quot;:&quot;Hospital Malnutrition : Prevalence , Identification and Impact on Patients and the Healthcare System&quot;,&quot;author&quot;:[{&quot;family&quot;:&quot;Barker&quot;,&quot;given&quot;:&quot;Lisa A&quot;,&quot;parse-names&quot;:false,&quot;dropping-particle&quot;:&quot;&quot;,&quot;non-dropping-particle&quot;:&quot;&quot;},{&quot;family&quot;:&quot;Gout&quot;,&quot;given&quot;:&quot;Belinda S&quot;,&quot;parse-names&quot;:false,&quot;dropping-particle&quot;:&quot;&quot;,&quot;non-dropping-particle&quot;:&quot;&quot;},{&quot;family&quot;:&quot;Crowe&quot;,&quot;given&quot;:&quot;Timothy C&quot;,&quot;parse-names&quot;:false,&quot;dropping-particle&quot;:&quot;&quot;,&quot;non-dropping-particle&quot;:&quot;&quot;}],&quot;DOI&quot;:&quot;10.3390/ijerph8020514&quot;,&quot;issued&quot;:{&quot;date-parts&quot;:[[2011]]},&quot;page&quot;:&quot;514-527&quot;,&quot;abstract&quot;:&quot;Malnutrition is a debilitating and highly prevalent condition in the acute hospital setting, with Australian and international studies reporting rates of approximately 40%. Malnutrition is associated with many adverse outcomes including depression of the immune system, impaired wound healing, muscle wasting, longer lengths of hospital stay, higher treatment costs and increased mortality. Referral rates for dietetic assessment and treatment of malnourished patients have proven to be suboptimal, thereby increasing the likelihood of developing such aforementioned complications. Nutrition risk screening using a validated tool is a simple technique to rapidly identify patients at risk of malnutrition, and provides a basis for prompt dietetic referrals. In Australia, nutrition screening upon hospital admission is not mandatory, which is of concern knowing that malnutrition remains under-reported and often poorly documented. Unidentified malnutrition not only heightens the risk of adverse complications for patients, but can potentially result in foregone reimbursements to the hospital through casemix-based funding schemes. It is strongly recommended that mandatory nutrition screening be widely adopted in line with published best-practice guidelines to effectively target and reduce the incidence of hospital malnutrition.&quot;,&quot;container-title-short&quot;:&quot;&quot;},&quot;isTemporary&quot;:false}]},{&quot;citationID&quot;:&quot;MENDELEY_CITATION_ecd5c0a8-cf05-47e9-9b16-c4af451fb058&quot;,&quot;properties&quot;:{&quot;noteIndex&quot;:0},&quot;isEdited&quot;:false,&quot;manualOverride&quot;:{&quot;isManuallyOverridden&quot;:false,&quot;citeprocText&quot;:&quot;(Bel et al., 2020)&quot;,&quot;manualOverrideText&quot;:&quot;&quot;},&quot;citationTag&quot;:&quot;MENDELEY_CITATION_v3_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&quot;,&quot;citationItems&quot;:[{&quot;id&quot;:&quot;b97186d9-d2e3-36be-bf1d-cdd3ddf9be21&quot;,&quot;itemData&quot;:{&quot;type&quot;:&quot;article-journal&quot;,&quot;id&quot;:&quot;b97186d9-d2e3-36be-bf1d-cdd3ddf9be21&quot;,&quot;title&quot;:&quot;Clinical Nutrition ESPEN Prevalence and severity of malnutrition in hospitalized COVID-19 patients Doroth e&quot;,&quot;author&quot;:[{&quot;family&quot;:&quot;Bel&quot;,&quot;given&quot;:&quot;Pierre&quot;,&quot;parse-names&quot;:false,&quot;dropping-particle&quot;:&quot;&quot;,&quot;non-dropping-particle&quot;:&quot;&quot;},{&quot;family&quot;:&quot;Mathian&quot;,&quot;given&quot;:&quot;Alexis&quot;,&quot;parse-names&quot;:false,&quot;dropping-particle&quot;:&quot;&quot;,&quot;non-dropping-particle&quot;:&quot;&quot;},{&quot;family&quot;:&quot;Moreau&quot;,&quot;given&quot;:&quot;Pauline&quot;,&quot;parse-names&quot;:false,&quot;dropping-particle&quot;:&quot;&quot;,&quot;non-dropping-particle&quot;:&quot;&quot;},{&quot;family&quot;:&quot;Poitou-bernert&quot;,&quot;given&quot;:&quot;Christine&quot;,&quot;parse-names&quot;:false,&quot;dropping-particle&quot;:&quot;&quot;,&quot;non-dropping-particle&quot;:&quot;&quot;},{&quot;family&quot;:&quot;Jeannin&quot;,&quot;given&quot;:&quot;Anne-caroline&quot;,&quot;parse-names&quot;:false,&quot;dropping-particle&quot;:&quot;&quot;,&quot;non-dropping-particle&quot;:&quot;&quot;},{&quot;family&quot;:&quot;Couf&quot;,&quot;given&quot;:&quot;Julie&quot;,&quot;parse-names&quot;:false,&quot;dropping-particle&quot;:&quot;&quot;,&quot;non-dropping-particle&quot;:&quot;&quot;},{&quot;family&quot;:&quot;Mosbah&quot;,&quot;given&quot;:&quot;Helena&quot;,&quot;parse-names&quot;:false,&quot;dropping-particle&quot;:&quot;&quot;,&quot;non-dropping-particle&quot;:&quot;&quot;},{&quot;family&quot;:&quot;Fadlallah&quot;,&quot;given&quot;:&quot;Jehane&quot;,&quot;parse-names&quot;:false,&quot;dropping-particle&quot;:&quot;&quot;,&quot;non-dropping-particle&quot;:&quot;&quot;},{&quot;family&quot;:&quot;Amoura&quot;,&quot;given&quot;:&quot;Zahir&quot;,&quot;parse-names&quot;:false,&quot;dropping-particle&quot;:&quot;&quot;,&quot;non-dropping-particle&quot;:&quot;&quot;},{&quot;family&quot;:&quot;Oppert&quot;,&quot;given&quot;:&quot;Jean-michel&quot;,&quot;parse-names&quot;:false,&quot;dropping-particle&quot;:&quot;&quot;,&quot;non-dropping-particle&quot;:&quot;&quot;},{&quot;family&quot;:&quot;Faucher&quot;,&quot;given&quot;:&quot;Pauline&quot;,&quot;parse-names&quot;:false,&quot;dropping-particle&quot;:&quot;&quot;,&quot;non-dropping-particle&quot;:&quot;&quot;}],&quot;DOI&quot;:&quot;10.1016/j.clnesp.2020.09.018&quot;,&quot;issued&quot;:{&quot;date-parts&quot;:[[2020]]},&quot;issue&quot;:&quot;xxxx&quot;,&quot;container-title-short&quot;:&quot;&quot;},&quot;isTemporary&quot;:false}]},{&quot;citationID&quot;:&quot;MENDELEY_CITATION_991f6512-3686-4a26-8494-d26ab3dff5c0&quot;,&quot;properties&quot;:{&quot;noteIndex&quot;:0},&quot;isEdited&quot;:false,&quot;manualOverride&quot;:{&quot;isManuallyOverridden&quot;:false,&quot;citeprocText&quot;:&quot;(Reber et al., n.d.)&quot;,&quot;manualOverrideText&quot;:&quot;&quot;},&quot;citationTag&quot;:&quot;MENDELEY_CITATION_v3_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&quot;,&quot;citationItems&quot;:[{&quot;id&quot;:&quot;0bc55c1b-314f-3a7c-b3a5-2df192dec95c&quot;,&quot;itemData&quot;:{&quot;type&quot;:&quot;article-journal&quot;,&quot;id&quot;:&quot;0bc55c1b-314f-3a7c-b3a5-2df192dec95c&quot;,&quot;title&quot;:&quot;Nutritional Risk Screening and Assessment&quot;,&quot;author&quot;:[{&quot;family&quot;:&quot;Reber&quot;,&quot;given&quot;:&quot;Emilie&quot;,&quot;parse-names&quot;:false,&quot;dropping-particle&quot;:&quot;&quot;,&quot;non-dropping-particle&quot;:&quot;&quot;},{&quot;family&quot;:&quot;Gomes&quot;,&quot;given&quot;:&quot;Filomena&quot;,&quot;parse-names&quot;:false,&quot;dropping-particle&quot;:&quot;&quot;,&quot;non-dropping-particle&quot;:&quot;&quot;},{&quot;family&quot;:&quot;Vasiloglou&quot;,&quot;given&quot;:&quot;Maria F&quot;,&quot;parse-names&quot;:false,&quot;dropping-particle&quot;:&quot;&quot;,&quot;non-dropping-particle&quot;:&quot;&quot;},{&quot;family&quot;:&quot;Schuetz&quot;,&quot;given&quot;:&quot;Philipp&quot;,&quot;parse-names&quot;:false,&quot;dropping-particle&quot;:&quot;&quot;,&quot;non-dropping-particle&quot;:&quot;&quot;}],&quot;page&quot;:&quot;1-19&quot;,&quot;container-title-short&quot;:&quot;&quot;},&quot;isTemporary&quot;:false}]},{&quot;citationID&quot;:&quot;MENDELEY_CITATION_78b96570-62f2-470d-9470-71a4b50de611&quot;,&quot;properties&quot;:{&quot;noteIndex&quot;:0},&quot;isEdited&quot;:false,&quot;manualOverride&quot;:{&quot;isManuallyOverridden&quot;:false,&quot;citeprocText&quot;:&quot;(Singer et al., 2019a)&quot;,&quot;manualOverrideText&quot;:&quot;&quot;},&quot;citationTag&quot;:&quot;MENDELEY_CITATION_v3_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&quot;,&quot;citationItems&quot;:[{&quot;id&quot;:&quot;fdb83f1d-dd65-33aa-a740-7918deeffba5&quot;,&quot;itemData&quot;:{&quot;type&quot;:&quot;article-journal&quot;,&quot;id&quot;:&quot;fdb83f1d-dd65-33aa-a740-7918deeffba5&quot;,&quot;title&quot;:&quot;ESPEN guideline on clinical nutrition in the intensive care unit&quot;,&quot;author&quot;:[{&quot;family&quot;:&quot;Singer&quot;,&quot;given&quot;:&quot;Pierre&quot;,&quot;parse-names&quot;:false,&quot;dropping-particle&quot;:&quot;&quot;,&quot;non-dropping-particle&quot;:&quot;&quot;},{&quot;family&quot;:&quot;Blaser&quot;,&quot;given&quot;:&quot;Annika Reintam&quot;,&quot;parse-names&quot;:false,&quot;dropping-particle&quot;:&quot;&quot;,&quot;non-dropping-particle&quot;:&quot;&quot;},{&quot;family&quot;:&quot;Berger&quot;,&quot;given&quot;:&quot;Mette M.&quot;,&quot;parse-names&quot;:false,&quot;dropping-particle&quot;:&quot;&quot;,&quot;non-dropping-particle&quot;:&quot;&quot;},{&quot;family&quot;:&quot;Alhazzani&quot;,&quot;given&quot;:&quot;Waleed&quot;,&quot;parse-names&quot;:false,&quot;dropping-particle&quot;:&quot;&quot;,&quot;non-dropping-particle&quot;:&quot;&quot;},{&quot;family&quot;:&quot;Calder&quot;,&quot;given&quot;:&quot;Philip C.&quot;,&quot;parse-names&quot;:false,&quot;dropping-particle&quot;:&quot;&quot;,&quot;non-dropping-particle&quot;:&quot;&quot;},{&quot;family&quot;:&quot;Casaer&quot;,&quot;given&quot;:&quot;Michael P.&quot;,&quot;parse-names&quot;:false,&quot;dropping-particle&quot;:&quot;&quot;,&quot;non-dropping-particle&quot;:&quot;&quot;},{&quot;family&quot;:&quot;Hiesmayr&quot;,&quot;given&quot;:&quot;Michael&quot;,&quot;parse-names&quot;:false,&quot;dropping-particle&quot;:&quot;&quot;,&quot;non-dropping-particle&quot;:&quot;&quot;},{&quot;family&quot;:&quot;Mayer&quot;,&quot;given&quot;:&quot;Konstantin&quot;,&quot;parse-names&quot;:false,&quot;dropping-particle&quot;:&quot;&quot;,&quot;non-dropping-particle&quot;:&quot;&quot;},{&quot;family&quot;:&quot;Montejo&quot;,&quot;given&quot;:&quot;Juan Carlos&quot;,&quot;parse-names&quot;:false,&quot;dropping-particle&quot;:&quot;&quot;,&quot;non-dropping-particle&quot;:&quot;&quot;},{&quot;family&quot;:&quot;Pichard&quot;,&quot;given&quot;:&quot;Claude&quot;,&quot;parse-names&quot;:false,&quot;dropping-particle&quot;:&quot;&quot;,&quot;non-dropping-particle&quot;:&quot;&quot;},{&quot;family&quot;:&quot;Preiser&quot;,&quot;given&quot;:&quot;Jean Charles&quot;,&quot;parse-names&quot;:false,&quot;dropping-particle&quot;:&quot;&quot;,&quot;non-dropping-particle&quot;:&quot;&quot;},{&quot;family&quot;:&quot;Zanten&quot;,&quot;given&quot;:&quot;Arthur R.H.&quot;,&quot;parse-names&quot;:false,&quot;dropping-particle&quot;:&quot;&quot;,&quot;non-dropping-particle&quot;:&quot;van&quot;},{&quot;family&quot;:&quot;Oczkowski&quot;,&quot;given&quot;:&quot;Simon&quot;,&quot;parse-names&quot;:false,&quot;dropping-particle&quot;:&quot;&quot;,&quot;non-dropping-particle&quot;:&quot;&quot;},{&quot;family&quot;:&quot;Szczeklik&quot;,&quot;given&quot;:&quot;Wojciech&quot;,&quot;parse-names&quot;:false,&quot;dropping-particle&quot;:&quot;&quot;,&quot;non-dropping-particle&quot;:&quot;&quot;},{&quot;family&quot;:&quot;Bischoff&quot;,&quot;given&quot;:&quot;Stephan C.&quot;,&quot;parse-names&quot;:false,&quot;dropping-particle&quot;:&quot;&quot;,&quot;non-dropping-particle&quot;:&quot;&quot;}],&quot;container-title&quot;:&quot;Clinical Nutrition&quot;,&quot;DOI&quot;:&quot;10.1016/j.clnu.2018.08.037&quot;,&quot;ISSN&quot;:&quot;15321983&quot;,&quot;PMID&quot;:&quot;30348463&quot;,&quot;issued&quot;:{&quot;date-parts&quot;:[[2019,2,1]]},&quot;page&quot;:&quot;48-79&quot;,&quot;abstract&quot;:&quot;Following the new ESPEN Standard Operating Procedures, the previous guidelines to provide best medical nutritional therapy to critically ill patients have been updated. These guidelines define who are the patients at risk, how to assess nutritional status of an ICU patient, how to define the amount of energy to provide, the route to choose and how to adapt according to various clinical conditions. When to start and how to progress in the administration of adequate provision of nutrients is also described. The best determination of amount and nature of carbohydrates, fat and protein are suggested. Special attention is given to glutamine and omega-3 fatty acids. Particular conditions frequently observed in intensive care such as patients with dysphagia, frail patients, multiple trauma patients, abdominal surgery, sepsis, and obesity are discussed to guide the practitioner toward the best evidence based therapy. Monitoring of this nutritional therapy is discussed in a separate document.&quot;,&quot;publisher&quot;:&quot;Churchill Livingstone&quot;,&quot;issue&quot;:&quot;1&quot;,&quot;volume&quot;:&quot;38&quot;,&quot;container-title-short&quot;:&quot;&quot;},&quot;isTemporary&quot;:false}]},{&quot;citationID&quot;:&quot;MENDELEY_CITATION_13804094-01f1-48cc-8046-b898211a71bd&quot;,&quot;properties&quot;:{&quot;noteIndex&quot;:0},&quot;isEdited&quot;:false,&quot;manualOverride&quot;:{&quot;isManuallyOverridden&quot;:false,&quot;citeprocText&quot;:&quot;(Alramly et al., 2020)&quot;,&quot;manualOverrideText&quot;:&quot;&quot;},&quot;citationTag&quot;:&quot;MENDELEY_CITATION_v3_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&quot;,&quot;citationItems&quot;:[{&quot;id&quot;:&quot;653d3dbd-79b3-3e4c-a1ba-c12cfa96e60f&quot;,&quot;itemData&quot;:{&quot;type&quot;:&quot;article-journal&quot;,&quot;id&quot;:&quot;653d3dbd-79b3-3e4c-a1ba-c12cfa96e60f&quot;,&quot;title&quot;:&quot;Validation of the modified NUTRIC score on critically ill Jordanian patients: A retrospective study&quot;,&quot;author&quot;:[{&quot;family&quot;:&quot;Alramly&quot;,&quot;given&quot;:&quot;Manal K.&quot;,&quot;parse-names&quot;:false,&quot;dropping-particle&quot;:&quot;&quot;,&quot;non-dropping-particle&quot;:&quot;&quot;},{&quot;family&quot;:&quot;Abdalrahim&quot;,&quot;given&quot;:&quot;Maysoon S.&quot;,&quot;parse-names&quot;:false,&quot;dropping-particle&quot;:&quot;&quot;,&quot;non-dropping-particle&quot;:&quot;&quot;},{&quot;family&quot;:&quot;Khalil&quot;,&quot;given&quot;:&quot;Amani&quot;,&quot;parse-names&quot;:false,&quot;dropping-particle&quot;:&quot;&quot;,&quot;non-dropping-particle&quot;:&quot;&quot;}],&quot;container-title&quot;:&quot;Nutrition and Health&quot;,&quot;container-title-short&quot;:&quot;Nutr Health&quot;,&quot;DOI&quot;:&quot;10.1177/0260106020923832&quot;,&quot;ISSN&quot;:&quot;2047945X&quot;,&quot;PMID&quot;:&quot;32468911&quot;,&quot;issued&quot;:{&quot;date-parts&quot;:[[2020]]},&quot;page&quot;:&quot;225-229&quot;,&quot;abstract&quot;:&quot;Background: Nutritional status has been proven to be associated with poor outcomes in mechanically ventilated patients in intensive care units (ICU). Nutritional assessment has been assessed using different tools. Few data are available on the validity of the modified Nutrition Risk Assessment Tool for Critically Ill (mNUTRIC) score in ICU patients receiving mechanical ventilation (MV). Aim: This study aimed to assess prognostic performance of the mNUTRIC score for discriminative abilities for 30-day mortality and prolonged MV. Methods: This was a multi-centre retrospective study that included 737 mechanically ventilated patients using secondary data analysis. Data were collected on variables required to calculate mNUTRIC score. Patients with a mNUTRIC score ≥5 were considered at nutritional risk. Predictive performance of the mNUTRIC was assessed for discriminative abilities for Acute Physiology and Chronic Health Evaluation II at baseline, mortality in 42 days of follow-up and outcomes related to MV. Results: A total of 737 patients on MV met the inclusion criteria. The majority (57.1%) of patients were male. The mean age of the participants was 62.1±18 years. Of all patients, 482 (58%) were at high nutritional risk (mNUTRIC score ≥5). Median ventilator days were 3 (±7.2) days and 72 (±174) hours. The overall mortality rate was 78.8% (n=652), and weaning failure was 79.8% (n=660). Conclusions: This study showed new evidence on the validity of the mNUTRIC as a tool for assessing nutritional risk in an ICU population in Jordan. The mNUTRIC score obtained from the current retrospective data suggests that the use of the tool can truly identify and diagnose critically ill patients with malnutrition.&quot;,&quot;issue&quot;:&quot;3&quot;,&quot;volume&quot;:&quot;26&quot;},&quot;isTemporary&quot;:false}]},{&quot;citationID&quot;:&quot;MENDELEY_CITATION_4732b3eb-4cee-4fef-83d3-f42bea585e33&quot;,&quot;properties&quot;:{&quot;noteIndex&quot;:0},&quot;isEdited&quot;:false,&quot;manualOverride&quot;:{&quot;isManuallyOverridden&quot;:false,&quot;citeprocText&quot;:&quot;(Hill et al., 2021)&quot;,&quot;manualOverrideText&quot;:&quot;&quot;},&quot;citationTag&quot;:&quot;MENDELEY_CITATION_v3_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&quot;,&quot;citationItems&quot;:[{&quot;id&quot;:&quot;0283d52f-dbcb-321c-b3be-ecd75cad3f7e&quot;,&quot;itemData&quot;:{&quot;type&quot;:&quot;article-journal&quot;,&quot;id&quot;:&quot;0283d52f-dbcb-321c-b3be-ecd75cad3f7e&quot;,&quot;title&quot;:&quot;Nutrition in the intensive care unit—a narrative review&quot;,&quot;author&quot;:[{&quot;family&quot;:&quot;Hill&quot;,&quot;given&quot;:&quot;Aileen&quot;,&quot;parse-names&quot;:false,&quot;dropping-particle&quot;:&quot;&quot;,&quot;non-dropping-particle&quot;:&quot;&quot;},{&quot;family&quot;:&quot;Elke&quot;,&quot;given&quot;:&quot;Gunnar&quot;,&quot;parse-names&quot;:false,&quot;dropping-particle&quot;:&quot;&quot;,&quot;non-dropping-particle&quot;:&quot;&quot;},{&quot;family&quot;:&quot;Weimann&quot;,&quot;given&quot;:&quot;Arved&quot;,&quot;parse-names&quot;:false,&quot;dropping-particle&quot;:&quot;&quot;,&quot;non-dropping-particle&quot;:&quot;&quot;}],&quot;container-title&quot;:&quot;Nutrients&quot;,&quot;container-title-short&quot;:&quot;Nutrients&quot;,&quot;DOI&quot;:&quot;10.3390/nu13082851&quot;,&quot;ISSN&quot;:&quot;20726643&quot;,&quot;PMID&quot;:&quot;34445010&quot;,&quot;issued&quot;:{&quot;date-parts&quot;:[[2021]]},&quot;page&quot;:&quot;1-26&quot;,&quot;abstract&quot;:&quot;Background: While consent exists, that nutritional status has prognostic impact in the critically ill, the optimal feeding strategy has been a matter of debate. Methods: Narrative review of the recent evidence and international guideline recommendations focusing on basic principles of nutrition in the ICU and the treatment of specific patient groups. Covered topics are: the importance and diagnosis of malnutrition in the ICU, the optimal timing and route of nutrition, energy and protein requirements, the supplementation of specific nutrients, as well as monitoring and complications of a Medical Nutrition Therapy (MNT). Furthermore, this review summarizes the available evidence to optimize the MNT of patients grouped by primarily affected organ system. Results: Due to the considerable heterogeneity of the critically ill, MNT should be carefully adapted to the individual patient with special focus on phase of critical illness, metabolic tolerance, leading symptoms, and comorbidities. Conclusion: MNT in the ICU is complex and requiring an interdisciplinary approach and frequent reevaluation. The impact of personalized and disease-specific MNT on patient-centered clinical outcomes remains to be elucidated.&quot;,&quot;issue&quot;:&quot;8&quot;,&quot;volume&quot;:&quot;13&quot;},&quot;isTemporary&quot;:false}]},{&quot;citationID&quot;:&quot;MENDELEY_CITATION_cdcd8ce9-b390-4c69-b108-e63f21d7ca13&quot;,&quot;properties&quot;:{&quot;noteIndex&quot;:0},&quot;isEdited&quot;:false,&quot;manualOverride&quot;:{&quot;isManuallyOverridden&quot;:false,&quot;citeprocText&quot;:&quot;(Siobal et al., 2021)&quot;,&quot;manualOverrideText&quot;:&quot;&quot;},&quot;citationTag&quot;:&quot;MENDELEY_CITATION_v3_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&quot;,&quot;citationItems&quot;:[{&quot;id&quot;:&quot;574f8a8f-1c0f-3370-8bf4-42266c999a5b&quot;,&quot;itemData&quot;:{&quot;type&quot;:&quot;article-journal&quot;,&quot;id&quot;:&quot;574f8a8f-1c0f-3370-8bf4-42266c999a5b&quot;,&quot;title&quot;:&quot;A Guide to the Nutritional Assessment and Treatment of the Critically Ill Patient&quot;,&quot;author&quot;:[{&quot;family&quot;:&quot;Siobal&quot;,&quot;given&quot;:&quot;Mark S&quot;,&quot;parse-names&quot;:false,&quot;dropping-particle&quot;:&quot;&quot;,&quot;non-dropping-particle&quot;:&quot;&quot;},{&quot;family&quot;:&quot;Baltz&quot;,&quot;given&quot;:&quot;Jami E&quot;,&quot;parse-names&quot;:false,&quot;dropping-particle&quot;:&quot;&quot;,&quot;non-dropping-particle&quot;:&quot;&quot;},{&quot;family&quot;:&quot;Richardson&quot;,&quot;given&quot;:&quot;Jodi&quot;,&quot;parse-names&quot;:false,&quot;dropping-particle&quot;:&quot;&quot;,&quot;non-dropping-particle&quot;:&quot;&quot;}],&quot;issued&quot;:{&quot;date-parts&quot;:[[2021]]},&quot;container-title-short&quot;:&quot;&quot;},&quot;isTemporary&quot;:false}]},{&quot;citationID&quot;:&quot;MENDELEY_CITATION_66405fae-b12d-4c91-8a9b-f7031072b5d5&quot;,&quot;properties&quot;:{&quot;noteIndex&quot;:0},&quot;isEdited&quot;:false,&quot;manualOverride&quot;:{&quot;isManuallyOverridden&quot;:false,&quot;citeprocText&quot;:&quot;(Weijs et al., 2019)&quot;,&quot;manualOverrideText&quot;:&quot;&quot;},&quot;citationTag&quot;:&quot;MENDELEY_CITATION_v3_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&quot;,&quot;citationItems&quot;:[{&quot;id&quot;:&quot;891f7500-4d3a-33b5-94a7-f60f5b27f251&quot;,&quot;itemData&quot;:{&quot;type&quot;:&quot;article-journal&quot;,&quot;id&quot;:&quot;891f7500-4d3a-33b5-94a7-f60f5b27f251&quot;,&quot;title&quot;:&quot;Protein intake, nutritional status and outcomes in ICU survivors: A single center cohort study&quot;,&quot;author&quot;:[{&quot;family&quot;:&quot;Weijs&quot;,&quot;given&quot;:&quot;Peter J.M.&quot;,&quot;parse-names&quot;:false,&quot;dropping-particle&quot;:&quot;&quot;,&quot;non-dropping-particle&quot;:&quot;&quot;},{&quot;family&quot;:&quot;Mogensen&quot;,&quot;given&quot;:&quot;Kris M.&quot;,&quot;parse-names&quot;:false,&quot;dropping-particle&quot;:&quot;&quot;,&quot;non-dropping-particle&quot;:&quot;&quot;},{&quot;family&quot;:&quot;Rawn&quot;,&quot;given&quot;:&quot;James D.&quot;,&quot;parse-names&quot;:false,&quot;dropping-particle&quot;:&quot;&quot;,&quot;non-dropping-particle&quot;:&quot;&quot;},{&quot;family&quot;:&quot;Christopher&quot;,&quot;given&quot;:&quot;Kenneth B.&quot;,&quot;parse-names&quot;:false,&quot;dropping-particle&quot;:&quot;&quot;,&quot;non-dropping-particle&quot;:&quot;&quot;}],&quot;container-title&quot;:&quot;Journal of Clinical Medicine&quot;,&quot;container-title-short&quot;:&quot;J Clin Med&quot;,&quot;DOI&quot;:&quot;10.3390/jcm8010043&quot;,&quot;ISSN&quot;:&quot;20770383&quot;,&quot;PMID&quot;:&quot;30621154&quot;,&quot;issued&quot;:{&quot;date-parts&quot;:[[2019]]},&quot;page&quot;:&quot;9-11&quot;,&quot;abstract&quot;:&quot;Background: We hypothesized that protein delivery during hospitalization in patients who survived critical care would be associated with outcomes following hospital discharge. Methods: We studied 801 patients, age ≥ 18 years, who received critical care between 2004 and 2012 and survived hospitalization. All patients underwent a registered dietitian formal assessment within 48 h of ICU admission. The exposure of interest, grams of protein per kilogram body weight delivered per day, was determined from all oral, enteral and parenteral sources for up to 28 days. Adjusted odds ratios for all cause 90-day post-discharge mortality were estimated by mixed-effects logistic regression models. Results: The 90-day post-discharge mortality was 13.9%. The mean nutrition delivery days recorded was 15. In a mixed-effect logistic regression model adjusted for age, gender, race, Deyo-Charlson comorbidity index, acute organ failures, sepsis and percent energy needs met, the 90-day post-discharge mortality rate was 17% (95% CI: 6–26) lower for each 1 g/kg increase in daily protein delivery (OR = 0.83 (95% CI 0.74–0.94; p = 0.002)). Conclusions: Adult medical ICU patients with improvements in daily protein intake during hospitalization who survive hospitalization have decreased odds of mortality in the 3 months following hospital discharge.&quot;,&quot;issue&quot;:&quot;1&quot;,&quot;volume&quot;:&quot;8&quot;},&quot;isTemporary&quot;:false}]},{&quot;citationID&quot;:&quot;MENDELEY_CITATION_2d78904a-9745-442a-b66b-2605223e5b0d&quot;,&quot;properties&quot;:{&quot;noteIndex&quot;:0},&quot;isEdited&quot;:false,&quot;manualOverride&quot;:{&quot;isManuallyOverridden&quot;:false,&quot;citeprocText&quot;:&quot;(Y. M. Arabi et al., 2017)&quot;,&quot;manualOverrideText&quot;:&quot;&quot;},&quot;citationTag&quot;:&quot;MENDELEY_CITATION_v3_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&quot;,&quot;citationItems&quot;:[{&quot;id&quot;:&quot;897cbe68-1ce2-326c-b22c-104a11940d98&quot;,&quot;itemData&quot;:{&quot;type&quot;:&quot;article-journal&quot;,&quot;id&quot;:&quot;897cbe68-1ce2-326c-b22c-104a11940d98&quot;,&quot;title&quot;:&quot;The intensive care medicine research agenda in nutrition and metabolism&quot;,&quot;author&quot;:[{&quot;family&quot;:&quot;Arabi&quot;,&quot;given&quot;:&quot;Yaseen M&quot;,&quot;parse-names&quot;:false,&quot;dropping-particle&quot;:&quot;&quot;,&quot;non-dropping-particle&quot;:&quot;&quot;},{&quot;family&quot;:&quot;Casaer&quot;,&quot;given&quot;:&quot;Michael P&quot;,&quot;parse-names&quot;:false,&quot;dropping-particle&quot;:&quot;&quot;,&quot;non-dropping-particle&quot;:&quot;&quot;},{&quot;family&quot;:&quot;Chapman&quot;,&quot;given&quot;:&quot;Marianne&quot;,&quot;parse-names&quot;:false,&quot;dropping-particle&quot;:&quot;&quot;,&quot;non-dropping-particle&quot;:&quot;&quot;},{&quot;family&quot;:&quot;Heyland&quot;,&quot;given&quot;:&quot;Daren K&quot;,&quot;parse-names&quot;:false,&quot;dropping-particle&quot;:&quot;&quot;,&quot;non-dropping-particle&quot;:&quot;&quot;},{&quot;family&quot;:&quot;Ichai&quot;,&quot;given&quot;:&quot;Carole&quot;,&quot;parse-names&quot;:false,&quot;dropping-particle&quot;:&quot;&quot;,&quot;non-dropping-particle&quot;:&quot;&quot;},{&quot;family&quot;:&quot;Marik&quot;,&quot;given&quot;:&quot;Paul E&quot;,&quot;parse-names&quot;:false,&quot;dropping-particle&quot;:&quot;&quot;,&quot;non-dropping-particle&quot;:&quot;&quot;},{&quot;family&quot;:&quot;Martindale&quot;,&quot;given&quot;:&quot;Robert G&quot;,&quot;parse-names&quot;:false,&quot;dropping-particle&quot;:&quot;&quot;,&quot;non-dropping-particle&quot;:&quot;&quot;},{&quot;family&quot;:&quot;Mcclave&quot;,&quot;given&quot;:&quot;Stephen A&quot;,&quot;parse-names&quot;:false,&quot;dropping-particle&quot;:&quot;&quot;,&quot;non-dropping-particle&quot;:&quot;&quot;},{&quot;family&quot;:&quot;Preiser&quot;,&quot;given&quot;:&quot;Jean Charles&quot;,&quot;parse-names&quot;:false,&quot;dropping-particle&quot;:&quot;&quot;,&quot;non-dropping-particle&quot;:&quot;&quot;},{&quot;family&quot;:&quot;Reignier&quot;,&quot;given&quot;:&quot;Jean&quot;,&quot;parse-names&quot;:false,&quot;dropping-particle&quot;:&quot;&quot;,&quot;non-dropping-particle&quot;:&quot;&quot;},{&quot;family&quot;:&quot;Rice&quot;,&quot;given&quot;:&quot;Todd W&quot;,&quot;parse-names&quot;:false,&quot;dropping-particle&quot;:&quot;&quot;,&quot;non-dropping-particle&quot;:&quot;&quot;},{&quot;family&quot;:&quot;Van&quot;,&quot;given&quot;:&quot;Greet&quot;,&quot;parse-names&quot;:false,&quot;dropping-particle&quot;:&quot;&quot;,&quot;non-dropping-particle&quot;:&quot;&quot;},{&quot;family&quot;:&quot;Berghe&quot;,&quot;given&quot;:&quot;Den&quot;,&quot;parse-names&quot;:false,&quot;dropping-particle&quot;:&quot;&quot;,&quot;non-dropping-particle&quot;:&quot;&quot;},{&quot;family&quot;:&quot;Zanten&quot;,&quot;given&quot;:&quot;Arthur R H&quot;,&quot;parse-names&quot;:false,&quot;dropping-particle&quot;:&quot;Van&quot;,&quot;non-dropping-particle&quot;:&quot;&quot;},{&quot;family&quot;:&quot;Weijs&quot;,&quot;given&quot;:&quot;Peter J M&quot;,&quot;parse-names&quot;:false,&quot;dropping-particle&quot;:&quot;&quot;,&quot;non-dropping-particle&quot;:&quot;&quot;}],&quot;container-title&quot;:&quot;Intensive Care Medicine&quot;,&quot;container-title-short&quot;:&quot;Intensive Care Med&quot;,&quot;DOI&quot;:&quot;10.1007/s00134-017-4711-6&quot;,&quot;ISSN&quot;:&quot;1432-1238&quot;,&quot;issued&quot;:{&quot;date-parts&quot;:[[2017]]},&quot;page&quot;:&quot;1239-1256&quot;,&quot;publisher&quot;:&quot;Springer Berlin Heidelberg&quot;,&quot;issue&quot;:&quot;9&quot;,&quot;volume&quot;:&quot;43&quot;},&quot;isTemporary&quot;:false}]},{&quot;citationID&quot;:&quot;MENDELEY_CITATION_3b0c9e7c-ed52-465d-bbaf-25992ef945a8&quot;,&quot;properties&quot;:{&quot;noteIndex&quot;:0},&quot;isEdited&quot;:false,&quot;manualOverride&quot;:{&quot;isManuallyOverridden&quot;:false,&quot;citeprocText&quot;:&quot;(Estimation, 2013)&quot;,&quot;manualOverrideText&quot;:&quot;&quot;},&quot;citationTag&quot;:&quot;MENDELEY_CITATION_v3_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&quot;,&quot;citationItems&quot;:[{&quot;id&quot;:&quot;cb1cbe90-760c-3714-a171-d31671355170&quot;,&quot;itemData&quot;:{&quot;type&quot;:&quot;article-journal&quot;,&quot;id&quot;:&quot;cb1cbe90-760c-3714-a171-d31671355170&quot;,&quot;title&quot;:&quot;Journal of Parenteral and Enteral Nutrition&quot;,&quot;author&quot;:[{&quot;family&quot;:&quot;Estimation&quot;,&quot;given&quot;:&quot;Energy&quot;,&quot;parse-names&quot;:false,&quot;dropping-particle&quot;:&quot;&quot;,&quot;non-dropping-particle&quot;:&quot;&quot;}],&quot;DOI&quot;:&quot;10.1177/0148607113505868&quot;,&quot;issued&quot;:{&quot;date-parts&quot;:[[2013]]},&quot;container-title-short&quot;:&quot;&quot;},&quot;isTemporary&quot;:false}]},{&quot;citationID&quot;:&quot;MENDELEY_CITATION_5a426edb-fb93-4555-9b0f-bcfad535774a&quot;,&quot;properties&quot;:{&quot;noteIndex&quot;:0},&quot;isEdited&quot;:false,&quot;manualOverride&quot;:{&quot;isManuallyOverridden&quot;:false,&quot;citeprocText&quot;:&quot;(Weijs et al., 2014; Zusman et al., 2016)&quot;,&quot;manualOverrideText&quot;:&quot;&quot;},&quot;citationTag&quot;:&quot;MENDELEY_CITATION_v3_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&quot;,&quot;citationItems&quot;:[{&quot;id&quot;:&quot;0c809e1f-33fa-3122-835d-0a2be37deb3d&quot;,&quot;itemData&quot;:{&quot;type&quot;:&quot;article-journal&quot;,&quot;id&quot;:&quot;0c809e1f-33fa-3122-835d-0a2be37deb3d&quot;,&quot;title&quot;:&quot;Resting energy expenditure , calorie and protein consumption in critically ill patients : a retrospective cohort study&quot;,&quot;author&quot;:[{&quot;family&quot;:&quot;Zusman&quot;,&quot;given&quot;:&quot;Oren&quot;,&quot;parse-names&quot;:false,&quot;dropping-particle&quot;:&quot;&quot;,&quot;non-dropping-particle&quot;:&quot;&quot;},{&quot;family&quot;:&quot;Theilla&quot;,&quot;given&quot;:&quot;Miriam&quot;,&quot;parse-names&quot;:false,&quot;dropping-particle&quot;:&quot;&quot;,&quot;non-dropping-particle&quot;:&quot;&quot;},{&quot;family&quot;:&quot;Cohen&quot;,&quot;given&quot;:&quot;Jonathan&quot;,&quot;parse-names&quot;:false,&quot;dropping-particle&quot;:&quot;&quot;,&quot;non-dropping-particle&quot;:&quot;&quot;},{&quot;family&quot;:&quot;Kagan&quot;,&quot;given&quot;:&quot;Ilya&quot;,&quot;parse-names&quot;:false,&quot;dropping-particle&quot;:&quot;&quot;,&quot;non-dropping-particle&quot;:&quot;&quot;},{&quot;family&quot;:&quot;Bendavid&quot;,&quot;given&quot;:&quot;Itai&quot;,&quot;parse-names&quot;:false,&quot;dropping-particle&quot;:&quot;&quot;,&quot;non-dropping-particle&quot;:&quot;&quot;},{&quot;family&quot;:&quot;Singer&quot;,&quot;given&quot;:&quot;Pierre&quot;,&quot;parse-names&quot;:false,&quot;dropping-particle&quot;:&quot;&quot;,&quot;non-dropping-particle&quot;:&quot;&quot;}],&quot;container-title&quot;:&quot;Critical Care&quot;,&quot;container-title-short&quot;:&quot;Crit Care&quot;,&quot;DOI&quot;:&quot;10.1186/s13054-016-1538-4&quot;,&quot;ISSN&quot;:&quot;1364-8535&quot;,&quot;issued&quot;:{&quot;date-parts&quot;:[[2016]]},&quot;page&quot;:&quot;1-8&quot;,&quot;publisher&quot;:&quot;Critical Care&quot;},&quot;isTemporary&quot;:false},{&quot;id&quot;:&quot;2ea3629b-25ab-3730-8a3c-6cd090317e71&quot;,&quot;itemData&quot;:{&quot;type&quot;:&quot;article-journal&quot;,&quot;id&quot;:&quot;2ea3629b-25ab-3730-8a3c-6cd090317e71&quot;,&quot;title&quot;:&quot;Early high protein intake is associated with low mortality and energy overfeeding with high mortality in non-septic mechanically ventilated critically ill patients&quot;,&quot;author&quot;:[{&quot;family&quot;:&quot;Weijs&quot;,&quot;given&quot;:&quot;Peter J M&quot;,&quot;parse-names&quot;:false,&quot;dropping-particle&quot;:&quot;&quot;,&quot;non-dropping-particle&quot;:&quot;&quot;},{&quot;family&quot;:&quot;Looijaard&quot;,&quot;given&quot;:&quot;Wilhelmus G P M&quot;,&quot;parse-names&quot;:false,&quot;dropping-particle&quot;:&quot;&quot;,&quot;non-dropping-particle&quot;:&quot;&quot;},{&quot;family&quot;:&quot;Beishuizen&quot;,&quot;given&quot;:&quot;Albertus&quot;,&quot;parse-names&quot;:false,&quot;dropping-particle&quot;:&quot;&quot;,&quot;non-dropping-particle&quot;:&quot;&quot;},{&quot;family&quot;:&quot;Girbes&quot;,&quot;given&quot;:&quot;Armand R J&quot;,&quot;parse-names&quot;:false,&quot;dropping-particle&quot;:&quot;&quot;,&quot;non-dropping-particle&quot;:&quot;&quot;},{&quot;family&quot;:&quot;Straaten&quot;,&quot;given&quot;:&quot;Heleen M Oudemans-van&quot;,&quot;parse-names&quot;:false,&quot;dropping-particle&quot;:&quot;&quot;,&quot;non-dropping-particle&quot;:&quot;&quot;}],&quot;DOI&quot;:&quot;10.1186/s13054-014-0701-z&quot;,&quot;issued&quot;:{&quot;date-parts&quot;:[[2014]]},&quot;page&quot;:&quot;1-10&quot;,&quot;container-title-short&quot;:&quot;&quot;},&quot;isTemporary&quot;:false}]},{&quot;citationID&quot;:&quot;MENDELEY_CITATION_06b5ed3a-1491-4c55-9ecb-0db19e4aad7e&quot;,&quot;properties&quot;:{&quot;noteIndex&quot;:0},&quot;isEdited&quot;:false,&quot;manualOverride&quot;:{&quot;isManuallyOverridden&quot;:false,&quot;citeprocText&quot;:&quot;(Singer et al., 2019b)&quot;,&quot;manualOverrideText&quot;:&quot;&quot;},&quot;citationTag&quot;:&quot;MENDELEY_CITATION_v3_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&quot;,&quot;citationItems&quot;:[{&quot;id&quot;:&quot;e643dd3b-abf1-3227-ab8b-566a9581a816&quot;,&quot;itemData&quot;:{&quot;type&quot;:&quot;article-journal&quot;,&quot;id&quot;:&quot;e643dd3b-abf1-3227-ab8b-566a9581a816&quot;,&quot;title&quot;:&quot;ESPEN guideline on clinical nutrition in the intensive care unit&quot;,&quot;author&quot;:[{&quot;family&quot;:&quot;Singer&quot;,&quot;given&quot;:&quot;Pierre&quot;,&quot;parse-names&quot;:false,&quot;dropping-particle&quot;:&quot;&quot;,&quot;non-dropping-particle&quot;:&quot;&quot;},{&quot;family&quot;:&quot;Blaser&quot;,&quot;given&quot;:&quot;Annika Reintam&quot;,&quot;parse-names&quot;:false,&quot;dropping-particle&quot;:&quot;&quot;,&quot;non-dropping-particle&quot;:&quot;&quot;},{&quot;family&quot;:&quot;Berger&quot;,&quot;given&quot;:&quot;Mette M.&quot;,&quot;parse-names&quot;:false,&quot;dropping-particle&quot;:&quot;&quot;,&quot;non-dropping-particle&quot;:&quot;&quot;},{&quot;family&quot;:&quot;Alhazzani&quot;,&quot;given&quot;:&quot;Waleed&quot;,&quot;parse-names&quot;:false,&quot;dropping-particle&quot;:&quot;&quot;,&quot;non-dropping-particle&quot;:&quot;&quot;},{&quot;family&quot;:&quot;Calder&quot;,&quot;given&quot;:&quot;Philip C.&quot;,&quot;parse-names&quot;:false,&quot;dropping-particle&quot;:&quot;&quot;,&quot;non-dropping-particle&quot;:&quot;&quot;},{&quot;family&quot;:&quot;Casaer&quot;,&quot;given&quot;:&quot;Michael P.&quot;,&quot;parse-names&quot;:false,&quot;dropping-particle&quot;:&quot;&quot;,&quot;non-dropping-particle&quot;:&quot;&quot;},{&quot;family&quot;:&quot;Hiesmayr&quot;,&quot;given&quot;:&quot;Michael&quot;,&quot;parse-names&quot;:false,&quot;dropping-particle&quot;:&quot;&quot;,&quot;non-dropping-particle&quot;:&quot;&quot;},{&quot;family&quot;:&quot;Mayer&quot;,&quot;given&quot;:&quot;Konstantin&quot;,&quot;parse-names&quot;:false,&quot;dropping-particle&quot;:&quot;&quot;,&quot;non-dropping-particle&quot;:&quot;&quot;},{&quot;family&quot;:&quot;Montejo&quot;,&quot;given&quot;:&quot;Juan Carlos&quot;,&quot;parse-names&quot;:false,&quot;dropping-particle&quot;:&quot;&quot;,&quot;non-dropping-particle&quot;:&quot;&quot;},{&quot;family&quot;:&quot;Pichard&quot;,&quot;given&quot;:&quot;Claude&quot;,&quot;parse-names&quot;:false,&quot;dropping-particle&quot;:&quot;&quot;,&quot;non-dropping-particle&quot;:&quot;&quot;},{&quot;family&quot;:&quot;Preiser&quot;,&quot;given&quot;:&quot;Jean Charles&quot;,&quot;parse-names&quot;:false,&quot;dropping-particle&quot;:&quot;&quot;,&quot;non-dropping-particle&quot;:&quot;&quot;},{&quot;family&quot;:&quot;Zanten&quot;,&quot;given&quot;:&quot;Arthur R.H.&quot;,&quot;parse-names&quot;:false,&quot;dropping-particle&quot;:&quot;&quot;,&quot;non-dropping-particle&quot;:&quot;van&quot;},{&quot;family&quot;:&quot;Oczkowski&quot;,&quot;given&quot;:&quot;Simon&quot;,&quot;parse-names&quot;:false,&quot;dropping-particle&quot;:&quot;&quot;,&quot;non-dropping-particle&quot;:&quot;&quot;},{&quot;family&quot;:&quot;Szczeklik&quot;,&quot;given&quot;:&quot;Wojciech&quot;,&quot;parse-names&quot;:false,&quot;dropping-particle&quot;:&quot;&quot;,&quot;non-dropping-particle&quot;:&quot;&quot;},{&quot;family&quot;:&quot;Bischoff&quot;,&quot;given&quot;:&quot;Stephan C.&quot;,&quot;parse-names&quot;:false,&quot;dropping-particle&quot;:&quot;&quot;,&quot;non-dropping-particle&quot;:&quot;&quot;}],&quot;container-title&quot;:&quot;Clinical Nutrition&quot;,&quot;DOI&quot;:&quot;10.1016/j.clnu.2018.08.037&quot;,&quot;ISSN&quot;:&quot;15321983&quot;,&quot;PMID&quot;:&quot;30348463&quot;,&quot;URL&quot;:&quot;https://doi.org/10.1016/j.clnu.2018.08.037&quot;,&quot;issued&quot;:{&quot;date-parts&quot;:[[2019]]},&quot;page&quot;:&quot;48-79&quot;,&quot;abstract&quot;:&quot;Following the new ESPEN Standard Operating Procedures, the previous guidelines to provide best medical nutritional therapy to critically ill patients have been updated. These guidelines define who are the patients at risk, how to assess nutritional status of an ICU patient, how to define the amount of energy to provide, the route to choose and how to adapt according to various clinical conditions. When to start and how to progress in the administration of adequate provision of nutrients is also described. The best determination of amount and nature of carbohydrates, fat and protein are suggested. Special attention is given to glutamine and omega-3 fatty acids. Particular conditions frequently observed in intensive care such as patients with dysphagia, frail patients, multiple trauma patients, abdominal surgery, sepsis, and obesity are discussed to guide the practitioner toward the best evidence based therapy. Monitoring of this nutritional therapy is discussed in a separate document.&quot;,&quot;publisher&quot;:&quot;Elsevier Ltd&quot;,&quot;issue&quot;:&quot;1&quot;,&quot;volume&quot;:&quot;38&quot;,&quot;container-title-short&quot;:&quot;&quot;},&quot;isTemporary&quot;:false}]},{&quot;citationID&quot;:&quot;MENDELEY_CITATION_dd79a757-b151-443b-b878-9ac2d3aac908&quot;,&quot;properties&quot;:{&quot;noteIndex&quot;:0},&quot;isEdited&quot;:false,&quot;manualOverride&quot;:{&quot;isManuallyOverridden&quot;:false,&quot;citeprocText&quot;:&quot;(Patel et al., 2016; Wang et al., 2020)&quot;,&quot;manualOverrideText&quot;:&quot;&quot;},&quot;citationTag&quot;:&quot;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&quot;,&quot;citationItems&quot;:[{&quot;id&quot;:&quot;3c8e73de-c178-3573-83db-3579b85dfde9&quot;,&quot;itemData&quot;:{&quot;type&quot;:&quot;article-journal&quot;,&quot;id&quot;:&quot;3c8e73de-c178-3573-83db-3579b85dfde9&quot;,&quot;title&quot;:&quot;Full versus trophic feeds in critically ill adults with high and low nutritional risk scores: A randomized controlled trial&quot;,&quot;author&quot;:[{&quot;family&quot;:&quot;Wang&quot;,&quot;given&quot;:&quot;Chen Yu&quot;,&quot;parse-names&quot;:false,&quot;dropping-particle&quot;:&quot;&quot;,&quot;non-dropping-particle&quot;:&quot;&quot;},{&quot;family&quot;:&quot;Fu&quot;,&quot;given&quot;:&quot;Pin Kuei&quot;,&quot;parse-names&quot;:false,&quot;dropping-particle&quot;:&quot;&quot;,&quot;non-dropping-particle&quot;:&quot;&quot;},{&quot;family&quot;:&quot;Chao&quot;,&quot;given&quot;:&quot;Wen Cheng&quot;,&quot;parse-names&quot;:false,&quot;dropping-particle&quot;:&quot;&quot;,&quot;non-dropping-particle&quot;:&quot;&quot;},{&quot;family&quot;:&quot;Wang&quot;,&quot;given&quot;:&quot;Wei Ning&quot;,&quot;parse-names&quot;:false,&quot;dropping-particle&quot;:&quot;&quot;,&quot;non-dropping-particle&quot;:&quot;&quot;},{&quot;family&quot;:&quot;Chen&quot;,&quot;given&quot;:&quot;Chao Hsiu&quot;,&quot;parse-names&quot;:false,&quot;dropping-particle&quot;:&quot;&quot;,&quot;non-dropping-particle&quot;:&quot;&quot;},{&quot;family&quot;:&quot;Huang&quot;,&quot;given&quot;:&quot;Yi Chia&quot;,&quot;parse-names&quot;:false,&quot;dropping-particle&quot;:&quot;&quot;,&quot;non-dropping-particle&quot;:&quot;&quot;}],&quot;container-title&quot;:&quot;Nutrients&quot;,&quot;container-title-short&quot;:&quot;Nutrients&quot;,&quot;DOI&quot;:&quot;10.3390/nu12113518&quot;,&quot;ISSN&quot;:&quot;20726643&quot;,&quot;PMID&quot;:&quot;33203167&quot;,&quot;issued&quot;:{&quot;date-parts&quot;:[[2020,11,1]]},&quot;page&quot;:&quot;1-12&quot;,&quot;abstract&quot;:&quot;Although energy intake might be associated with clinical outcomes in critically ill patients, it remains unclear whether full or trophic feeding is suitable for critically ill patients with high or low nutrition risk. We conducted a prospective study to determine which feeding energy intakes were associated with clinical outcomes in critically ill patients with high or low nutrition risk. This was an investigator-initiated, single center, single blind, randomized controlled trial. Critically ill patients were allocated to either high or low nutrition risk based on their Nutrition Risk in the Critically Ill score, and then randomized to receive either the full or the trophic feeding. The feeding procedure was administered for six days. No significant differences were observed in in-hospital, 14-day and 28-day mortalities, the length of ventilator dependency, or ICU and hospital stay among the four groups. There were no associations between energy and protein intakes and in-hospital, 14-day and 28-day mortalities in any of the four groups. However, protein intake was positively associated with the length of hospital stay and ventilator dependency in patients with low nutrition risk receiving trophic feeding. Full or trophic feeding in critically ill patients showed no associations with clinical outcomes, regardless of nutrition risk.&quot;,&quot;publisher&quot;:&quot;MDPI AG&quot;,&quot;issue&quot;:&quot;11&quot;,&quot;volume&quot;:&quot;12&quot;},&quot;isTemporary&quot;:false},{&quot;id&quot;:&quot;8d9b4fd8-8704-3c28-8a6b-698ee6476f46&quot;,&quot;itemData&quot;:{&quot;type&quot;:&quot;article&quot;,&quot;id&quot;:&quot;8d9b4fd8-8704-3c28-8a6b-698ee6476f46&quot;,&quot;title&quot;:&quot;Early Trophic Enteral Nutrition Is Associated with Improved Outcomes in Mechanically Ventilated Patients with Septic Shock: A Retrospective Review&quot;,&quot;author&quot;:[{&quot;family&quot;:&quot;Patel&quot;,&quot;given&quot;:&quot;Jayshil J.&quot;,&quot;parse-names&quot;:false,&quot;dropping-particle&quot;:&quot;&quot;,&quot;non-dropping-particle&quot;:&quot;&quot;},{&quot;family&quot;:&quot;Kozeniecki&quot;,&quot;given&quot;:&quot;Michelle&quot;,&quot;parse-names&quot;:false,&quot;dropping-particle&quot;:&quot;&quot;,&quot;non-dropping-particle&quot;:&quot;&quot;},{&quot;family&quot;:&quot;Biesboer&quot;,&quot;given&quot;:&quot;Annie&quot;,&quot;parse-names&quot;:false,&quot;dropping-particle&quot;:&quot;&quot;,&quot;non-dropping-particle&quot;:&quot;&quot;},{&quot;family&quot;:&quot;Peppard&quot;,&quot;given&quot;:&quot;William&quot;,&quot;parse-names&quot;:false,&quot;dropping-particle&quot;:&quot;&quot;,&quot;non-dropping-particle&quot;:&quot;&quot;},{&quot;family&quot;:&quot;Ray&quot;,&quot;given&quot;:&quot;Ananda S.&quot;,&quot;parse-names&quot;:false,&quot;dropping-particle&quot;:&quot;&quot;,&quot;non-dropping-particle&quot;:&quot;&quot;},{&quot;family&quot;:&quot;Thomas&quot;,&quot;given&quot;:&quot;Seth&quot;,&quot;parse-names&quot;:false,&quot;dropping-particle&quot;:&quot;&quot;,&quot;non-dropping-particle&quot;:&quot;&quot;},{&quot;family&quot;:&quot;Jacobs&quot;,&quot;given&quot;:&quot;Elizabeth R.&quot;,&quot;parse-names&quot;:false,&quot;dropping-particle&quot;:&quot;&quot;,&quot;non-dropping-particle&quot;:&quot;&quot;},{&quot;family&quot;:&quot;Nanchal&quot;,&quot;given&quot;:&quot;Rahul&quot;,&quot;parse-names&quot;:false,&quot;dropping-particle&quot;:&quot;&quot;,&quot;non-dropping-particle&quot;:&quot;&quot;},{&quot;family&quot;:&quot;Kumar&quot;,&quot;given&quot;:&quot;Gagan&quot;,&quot;parse-names&quot;:false,&quot;dropping-particle&quot;:&quot;&quot;,&quot;non-dropping-particle&quot;:&quot;&quot;}],&quot;container-title&quot;:&quot;Journal of Intensive Care Medicine&quot;,&quot;container-title-short&quot;:&quot;J Intensive Care Med&quot;,&quot;DOI&quot;:&quot;10.1177/0885066614554887&quot;,&quot;ISSN&quot;:&quot;15251489&quot;,&quot;PMID&quot;:&quot;25315218&quot;,&quot;issued&quot;:{&quot;date-parts&quot;:[[2016,8,1]]},&quot;page&quot;:&quot;471-477&quot;,&quot;abstract&quot;:&quot;Purpose: Current guidelines provide weak recommendations for starting enteral nutrition (EN) in patients with septic shock (on vasopressor support). Outcomes of patients receiving EN in septic shock on vasopressor support have not been well studied. We hypothesize that early trophic EN in mechanically ventilated patients with septic shock is associated with improved outcomes. Methods: Single-center retrospective study of mechanically ventilated patients admitted with septic shock to identify patients receiving (1) no EN, (2) &lt;600 kcal/d within 48 hours, and (3) ≥600 kcal/d within 48 hours. Outcomes studied included in-hospital mortality, length of intensive care unit stay (LOS), duration of mechanical ventilation (DOMV), and complications of feeding intolerance. Results: Sixty-six patients were identified. In all, 15 received no EN, 37 received &lt;600 kcal/d, and 14 received ≥600 kcal/d EN daily. Median LOS was 12, 5, and 13 days, respectively. The LOS was lower in patients receiving &lt;600 kcal/d when compared to either no EN (P &lt;.001) or those receiving ≥600 kcal/d (P &lt;.001). Median DOMV was lower in patients receiving &lt;600 kcal/d (median 3, P &lt;.001) as compared to no EN (median 7, P &lt;.001) or those receiving ≥600 kcal/d (median 7.5, P &lt;.001). Mortality was not different. There were no significant complications among groups. Conclusion: In patients with septic shock, those receiving &lt;600 kcal/d EN within 48 hours had lower DOMV and LOS when compared to those who did not receive EN or those who received ≥600 kcal/d. These observations provide strong justification for prospective evaluation of the effect of early trophic EN in patients with septic shock.&quot;,&quot;publisher&quot;:&quot;SAGE Publications Inc.&quot;,&quot;issue&quot;:&quot;7&quot;,&quot;volume&quot;:&quot;31&quot;},&quot;isTemporary&quot;:false}]},{&quot;citationID&quot;:&quot;MENDELEY_CITATION_42f0eab5-44e5-4849-bd5e-6dc515ca59ab&quot;,&quot;properties&quot;:{&quot;noteIndex&quot;:0},&quot;isEdited&quot;:false,&quot;manualOverride&quot;:{&quot;isManuallyOverridden&quot;:false,&quot;citeprocText&quot;:&quot;(Finkel et al., 2004)&quot;,&quot;manualOverrideText&quot;:&quot;&quot;},&quot;citationTag&quot;:&quot;MENDELEY_CITATION_v3_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&quot;,&quot;citationItems&quot;:[{&quot;id&quot;:&quot;6072a6f3-8dd0-36b1-8dda-533d831d9f84&quot;,&quot;itemData&quot;:{&quot;type&quot;:&quot;report&quot;,&quot;id&quot;:&quot;6072a6f3-8dd0-36b1-8dda-533d831d9f84&quot;,&quot;title&quot;:&quot;News and Views A Critical Perspective on Trophic Feeding&quot;,&quot;author&quot;:[{&quot;family&quot;:&quot;Finkel&quot;,&quot;given&quot;:&quot;Yigael&quot;,&quot;parse-names&quot;:false,&quot;dropping-particle&quot;:&quot;&quot;,&quot;non-dropping-particle&quot;:&quot;&quot;},{&quot;family&quot;:&quot;Baker&quot;,&quot;given&quot;:&quot;Robert D&quot;,&quot;parse-names&quot;:false,&quot;dropping-particle&quot;:&quot;&quot;,&quot;non-dropping-particle&quot;:&quot;&quot;},{&quot;family&quot;:&quot;Rosenthal&quot;,&quot;given&quot;:&quot;Philip&quot;,&quot;parse-names&quot;:false,&quot;dropping-particle&quot;:&quot;&quot;,&quot;non-dropping-particle&quot;:&quot;&quot;},{&quot;family&quot;:&quot;Sherman&quot;,&quot;given&quot;:&quot;Philip M&quot;,&quot;parse-names&quot;:false,&quot;dropping-particle&quot;:&quot;&quot;,&quot;non-dropping-particle&quot;:&quot;&quot;}],&quot;URL&quot;:&quot;http://journals.lww.com/jpgn&quot;,&quot;issued&quot;:{&quot;date-parts&quot;:[[2004]]},&quot;container-title-short&quot;:&quot;&quot;},&quot;isTemporary&quot;:false}]},{&quot;citationID&quot;:&quot;MENDELEY_CITATION_eacf9a86-33d5-4c9d-a5ab-b0537845276f&quot;,&quot;properties&quot;:{&quot;noteIndex&quot;:0},&quot;isEdited&quot;:false,&quot;manualOverride&quot;:{&quot;isManuallyOverridden&quot;:false,&quot;citeprocText&quot;:&quot;(Mehta et al., 2017; Peterson et al., 2018, 2019; Rice et al., 2011; Wang et al., 2020)&quot;,&quot;manualOverrideText&quot;:&quot;&quot;},&quot;citationTag&quot;:&quot;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&quot;,&quot;citationItems&quot;:[{&quot;id&quot;:&quot;a429941a-8df8-31ab-86ac-3c8c2616f874&quot;,&quot;itemData&quot;:{&quot;type&quot;:&quot;article-journal&quot;,&quot;id&quot;:&quot;a429941a-8df8-31ab-86ac-3c8c2616f874&quot;,&quot;title&quot;:&quot;Combination of High-Calorie Delivery and Organ Failure Increases Mortality Among Patients With Acute Respiratory Distress Syndrome&quot;,&quot;author&quot;:[{&quot;family&quot;:&quot;Peterson&quot;,&quot;given&quot;:&quot;Sarah J.&quot;,&quot;parse-names&quot;:false,&quot;dropping-particle&quot;:&quot;&quot;,&quot;non-dropping-particle&quot;:&quot;&quot;},{&quot;family&quot;:&quot;McKeever&quot;,&quot;given&quot;:&quot;Liam&quot;,&quot;parse-names&quot;:false,&quot;dropping-particle&quot;:&quot;&quot;,&quot;non-dropping-particle&quot;:&quot;&quot;},{&quot;family&quot;:&quot;Lateef&quot;,&quot;given&quot;:&quot;Omar B.&quot;,&quot;parse-names&quot;:false,&quot;dropping-particle&quot;:&quot;&quot;,&quot;non-dropping-particle&quot;:&quot;&quot;},{&quot;family&quot;:&quot;Freels&quot;,&quot;given&quot;:&quot;Sally&quot;,&quot;parse-names&quot;:false,&quot;dropping-particle&quot;:&quot;&quot;,&quot;non-dropping-particle&quot;:&quot;&quot;},{&quot;family&quot;:&quot;Fantuzzi&quot;,&quot;given&quot;:&quot;Giamila&quot;,&quot;parse-names&quot;:false,&quot;dropping-particle&quot;:&quot;&quot;,&quot;non-dropping-particle&quot;:&quot;&quot;},{&quot;family&quot;:&quot;Braunschweig&quot;,&quot;given&quot;:&quot;Carol A.&quot;,&quot;parse-names&quot;:false,&quot;dropping-particle&quot;:&quot;&quot;,&quot;non-dropping-particle&quot;:&quot;&quot;}],&quot;container-title&quot;:&quot;Critical Care Medicine&quot;,&quot;container-title-short&quot;:&quot;Crit Care Med&quot;,&quot;DOI&quot;:&quot;10.1097/CCM.0000000000003476&quot;,&quot;ISSN&quot;:&quot;15300293&quot;,&quot;PMID&quot;:&quot;30303837&quot;,&quot;issued&quot;:{&quot;date-parts&quot;:[[2019,1,1]]},&quot;page&quot;:&quot;69-75&quot;,&quot;abstract&quot;:&quot;Objectives: Among critically ill patients, the benefits of nutrition support may vary depending on severity of organ dysfunction. The objective of the current article was to explore the relationship between organ failure and calories exposure with hospital mortality during the first week of acute respiratory distress syndrome. Design: Retrospective observational study. Setting: Single-center ICU. Patients: Adults admitted to the ICU with a diagnosis of acute respiratory distress syndrome. Interventions: Calorie delivery from enteral nutrition, parenteral nutrition, propofol, and dextrose containing fluids were collected for 7 days following intubation. Sequential Organ Failure Assessment score was calculated at ICU admit and for the same 7 days to describe organ dysfunction; four different Sequential Organ Failure Assessment variables were created 1) Sequential Organ Failure Assessment at ICU admit, 2) average Sequential Organ Failure Assessment for the first 7 days following intubation, 3) the highest Sequential Organ Failure Assessment for the first 7 days following intubation, and 4) change in Sequential Organ Failure Assessment from intubation to 7 days later. Measurements and Main Results: A total of 298 patients were included. Sequential Organ Failure Assessment at ICU admit, average Sequential Organ Failure Assessment for the first 7 days following intubation, highest Sequential Organ Failure Assessment for the first 7 days following intubation, change in Sequential Organ Failure Assessment from intubation to 7 days later, and calorie delivery the first 7 days following intubation were all associated with increased likelihood of mortality. Compared with patients with low organ failure and low-calorie delivery, those with high-calorie delivery and low organ failure, low-calorie delivery and high organ failure, and the combination of both high organ failure with high-calorie delivery were associated with an incremental increase in the likelihood or mortality. Conclusions: Organ failure appears to modify the relationship between calorie exposure and ICU outcome. Additional research is needed to identify appropriate thresholds for safe calorie exposure with increased organ failure.&quot;,&quot;publisher&quot;:&quot;Lippincott Williams and Wilkins&quot;,&quot;issue&quot;:&quot;1&quot;,&quot;volume&quot;:&quot;47&quot;},&quot;isTemporary&quot;:false},{&quot;id&quot;:&quot;729b1d60-5734-3001-aa58-b68874390c92&quot;,&quot;itemData&quot;:{&quot;type&quot;:&quot;article-journal&quot;,&quot;id&quot;:&quot;729b1d60-5734-3001-aa58-b68874390c92&quot;,&quot;title&quot;:&quot;Early Exposure to Recommended Calorie Delivery in the Intensive Care Unit Is Associated With Increased Mortality in Patients With Acute Respiratory Distress Syndrome&quot;,&quot;author&quot;:[{&quot;family&quot;:&quot;Peterson&quot;,&quot;given&quot;:&quot;Sarah J.&quot;,&quot;parse-names&quot;:false,&quot;dropping-particle&quot;:&quot;&quot;,&quot;non-dropping-particle&quot;:&quot;&quot;},{&quot;family&quot;:&quot;Lateef&quot;,&quot;given&quot;:&quot;Omar B.&quot;,&quot;parse-names&quot;:false,&quot;dropping-particle&quot;:&quot;&quot;,&quot;non-dropping-particle&quot;:&quot;&quot;},{&quot;family&quot;:&quot;Freels&quot;,&quot;given&quot;:&quot;Sally&quot;,&quot;parse-names&quot;:false,&quot;dropping-particle&quot;:&quot;&quot;,&quot;non-dropping-particle&quot;:&quot;&quot;},{&quot;family&quot;:&quot;McKeever&quot;,&quot;given&quot;:&quot;Liam&quot;,&quot;parse-names&quot;:false,&quot;dropping-particle&quot;:&quot;&quot;,&quot;non-dropping-particle&quot;:&quot;&quot;},{&quot;family&quot;:&quot;Fantuzzi&quot;,&quot;given&quot;:&quot;Giamila&quot;,&quot;parse-names&quot;:false,&quot;dropping-particle&quot;:&quot;&quot;,&quot;non-dropping-particle&quot;:&quot;&quot;},{&quot;family&quot;:&quot;Braunschweig&quot;,&quot;given&quot;:&quot;Carol A.&quot;,&quot;parse-names&quot;:false,&quot;dropping-particle&quot;:&quot;&quot;,&quot;non-dropping-particle&quot;:&quot;&quot;}],&quot;container-title&quot;:&quot;Journal of Parenteral and Enteral Nutrition&quot;,&quot;DOI&quot;:&quot;10.1177/0148607117713483&quot;,&quot;ISSN&quot;:&quot;19412444&quot;,&quot;PMID&quot;:&quot;28662370&quot;,&quot;issued&quot;:{&quot;date-parts&quot;:[[2018,5,1]]},&quot;page&quot;:&quot;739-747&quot;,&quot;abstract&quot;:&quot;Background: The Intensive Nutrition in Acute Lung Injury: Clinical Trial (INTACT), designed to evaluate outcomes of calorie delivery from acute respiratory distress syndrome (ARDS) diagnosis through hospital discharge, was stopped due to higher mortality in the intervention group. Post hoc analysis found timing and dose of calorie delivery influenced mortality. The objective of this retrospective cohort study was to determine if early vs late calorie exposure changed the hazard of death among a larger sample of patients with ARDS. Methods: Adult patients who met the eligibility criteria for INTACT but did not participate were included. Daily calorie delivery was collected from the date INTACT eligibility was determined to extubation or death. Cox proportional hazards regression was used to model the relationship between hazard of hospital death with average calorie exposure received over increasing study days and after day 7. Results: A total of 298 patients were included; overall mortality was 33%. Among patients who remained intubated at 1 week (n = 202), higher kcal/kg received from intensive care unit (ICU) days 1–6 increased hazards of subsequent death on days 7+ (hazard ratio [HR], 1.04; 95% confidence interval [CI], 1.01–1.06); kcal/kg received after ICU day 7 decreased the hazards of death on day 7+ (HR, 0.53; 95% CI, 0.33–0.84). Conclusions: Higher calorie exposure between ICU days 1 and 7 was associated with higher subsequent hazard of mortality, and provision of high-calorie exposure after day 8 decreased the hazards of death.&quot;,&quot;publisher&quot;:&quot;John Wiley and Sons Inc.&quot;,&quot;issue&quot;:&quot;4&quot;,&quot;volume&quot;:&quot;42&quot;,&quot;container-title-short&quot;:&quot;&quot;},&quot;isTemporary&quot;:false},{&quot;id&quot;:&quot;c877d89a-949b-3b80-9810-9413ab80734b&quot;,&quot;itemData&quot;:{&quot;type&quot;:&quot;paper-conference&quot;,&quot;id&quot;:&quot;c877d89a-949b-3b80-9810-9413ab80734b&quot;,&quot;title&quot;:&quot;Randomized trial of initial trophic versus full-energy enteral nutrition in mechanically ventilated patients with acute respiratory failure&quot;,&quot;author&quot;:[{&quot;family&quot;:&quot;Rice&quot;,&quot;given&quot;:&quot;Todd W.&quot;,&quot;parse-names&quot;:false,&quot;dropping-particle&quot;:&quot;&quot;,&quot;non-dropping-particle&quot;:&quot;&quot;},{&quot;family&quot;:&quot;Mogan&quot;,&quot;given&quot;:&quot;Susan&quot;,&quot;parse-names&quot;:false,&quot;dropping-particle&quot;:&quot;&quot;,&quot;non-dropping-particle&quot;:&quot;&quot;},{&quot;family&quot;:&quot;Hays&quot;,&quot;given&quot;:&quot;Margaret A.&quot;,&quot;parse-names&quot;:false,&quot;dropping-particle&quot;:&quot;&quot;,&quot;non-dropping-particle&quot;:&quot;&quot;},{&quot;family&quot;:&quot;Bernard&quot;,&quot;given&quot;:&quot;Gordon R.&quot;,&quot;parse-names&quot;:false,&quot;dropping-particle&quot;:&quot;&quot;,&quot;non-dropping-particle&quot;:&quot;&quot;},{&quot;family&quot;:&quot;Jensen&quot;,&quot;given&quot;:&quot;Gordon L.&quot;,&quot;parse-names&quot;:false,&quot;dropping-particle&quot;:&quot;&quot;,&quot;non-dropping-particle&quot;:&quot;&quot;},{&quot;family&quot;:&quot;Wheeler&quot;,&quot;given&quot;:&quot;Arthur P.&quot;,&quot;parse-names&quot;:false,&quot;dropping-particle&quot;:&quot;&quot;,&quot;non-dropping-particle&quot;:&quot;&quot;}],&quot;container-title&quot;:&quot;Critical Care Medicine&quot;,&quot;container-title-short&quot;:&quot;Crit Care Med&quot;,&quot;DOI&quot;:&quot;10.1097/CCM.0b013e31820a905a&quot;,&quot;ISSN&quot;:&quot;15300293&quot;,&quot;issued&quot;:{&quot;date-parts&quot;:[[2011]]},&quot;page&quot;:&quot;967-974&quot;,&quot;abstract&quot;:&quot;OBJECTIVE: Enteral nutrition is provided to mechanically ventilated patients who cannot eat normally, yet the amount of support needed is unknown. We conducted this randomized, open-label study to test the hypothesis that initial low-volume (i.e., trophic) enteral nutrition would decrease episodes of gastrointestinal intolerance/complications and improve outcomes as compared to initial full-energy enteral nutrition in patients with acute respiratory failure. DESIGN: Randomized, open-label study. PATIENTS: A total of 200 patients with acute respiratory failure expected to require mechanical ventilation for at least 72 hrs. INTERVENTIONS: Patients were randomized to receive either initial trophic (10 mL/hr) or full-energy enteral nutrition for the initial 6 days of ventilation. MEASUREMENTS AND MAIN RESULTS: The primary outcome measure was ventilator-free days to day 28. Baseline characteristics were similar between the 98 patients randomized to trophic and the 102 patients randomized to full-energy nutrition. At enrollment, patients had a mean Acute Physiology and Chronic Health Evaluation II score of 26.9 and a Pao2/Fio2 ratio of 182 and 38% were in shock. Both groups received similar durations of enteral nutrition (5.5 vs. 5.1 days; p =.51). The trophic group received an average of 15.8% ± 11% of goal calories daily through day 6 compared to 74.8% ± 38.5% (p &lt;.001) for the full-energy group. Both groups had a median of 23.0 ventilator-free days (p =.90) and a median of 21.0 intensive-care-unit-free days (p =.64). Mortality to hospital discharge was 22.4% for the trophic group vs. 19.6% for the full-energy group (p =.62). In the first 6 days, the trophic group had trends for less diarrhea (19% vs. 24% of feeding days; p =.08) and significantly fewer episodes of elevated gastric residual volumes (2% vs. 8% of feeding days; p &lt;.001). CONCLUSION: Initial trophic enteral nutrition resulted in clinical outcomes in mechanically ventilated patients with acute respiratory failure similar to those of early full-energy enteral nutrition but with fewer episodes of gastrointestinal intolerance. Copyright © 2011 by the Society of Critical Care Medicine and Lippincott Williams &amp; Wilkins.&quot;,&quot;publisher&quot;:&quot;Lippincott Williams and Wilkins&quot;,&quot;issue&quot;:&quot;5&quot;,&quot;volume&quot;:&quot;39&quot;},&quot;isTemporary&quot;:false},{&quot;id&quot;:&quot;eb94ea59-9f6f-312d-a41a-e2df3badc0b9&quot;,&quot;itemData&quot;:{&quot;type&quot;:&quot;article-journal&quot;,&quot;id&quot;:&quot;eb94ea59-9f6f-312d-a41a-e2df3badc0b9&quot;,&quot;title&quot;:&quot;Guidelines for the Provision and Assessment of Nutrition Support Therapy in the Pediatric Critically Ill Patient: Society of Critical Care Medicine and American Society for Parenteral and Enteral Nutrition&quot;,&quot;author&quot;:[{&quot;family&quot;:&quot;Mehta&quot;,&quot;given&quot;:&quot;Nilesh M.&quot;,&quot;parse-names&quot;:false,&quot;dropping-particle&quot;:&quot;&quot;,&quot;non-dropping-particle&quot;:&quot;&quot;},{&quot;family&quot;:&quot;Skillman&quot;,&quot;given&quot;:&quot;Heather E.&quot;,&quot;parse-names&quot;:false,&quot;dropping-particle&quot;:&quot;&quot;,&quot;non-dropping-particle&quot;:&quot;&quot;},{&quot;family&quot;:&quot;Irving&quot;,&quot;given&quot;:&quot;Sharon Y.&quot;,&quot;parse-names&quot;:false,&quot;dropping-particle&quot;:&quot;&quot;,&quot;non-dropping-particle&quot;:&quot;&quot;},{&quot;family&quot;:&quot;Coss-Bu&quot;,&quot;given&quot;:&quot;Jorge A.&quot;,&quot;parse-names&quot;:false,&quot;dropping-particle&quot;:&quot;&quot;,&quot;non-dropping-particle&quot;:&quot;&quot;},{&quot;family&quot;:&quot;Vermilyea&quot;,&quot;given&quot;:&quot;Sarah&quot;,&quot;parse-names&quot;:false,&quot;dropping-particle&quot;:&quot;&quot;,&quot;non-dropping-particle&quot;:&quot;&quot;},{&quot;family&quot;:&quot;Farrington&quot;,&quot;given&quot;:&quot;Elizabeth Anne&quot;,&quot;parse-names&quot;:false,&quot;dropping-particle&quot;:&quot;&quot;,&quot;non-dropping-particle&quot;:&quot;&quot;},{&quot;family&quot;:&quot;McKeever&quot;,&quot;given&quot;:&quot;Liam&quot;,&quot;parse-names&quot;:false,&quot;dropping-particle&quot;:&quot;&quot;,&quot;non-dropping-particle&quot;:&quot;&quot;},{&quot;family&quot;:&quot;Hall&quot;,&quot;given&quot;:&quot;Amber M.&quot;,&quot;parse-names&quot;:false,&quot;dropping-particle&quot;:&quot;&quot;,&quot;non-dropping-particle&quot;:&quot;&quot;},{&quot;family&quot;:&quot;Goday&quot;,&quot;given&quot;:&quot;Praveen S.&quot;,&quot;parse-names&quot;:false,&quot;dropping-particle&quot;:&quot;&quot;,&quot;non-dropping-particle&quot;:&quot;&quot;},{&quot;family&quot;:&quot;Braunschweig&quot;,&quot;given&quot;:&quot;Carol&quot;,&quot;parse-names&quot;:false,&quot;dropping-particle&quot;:&quot;&quot;,&quot;non-dropping-particle&quot;:&quot;&quot;}],&quot;container-title&quot;:&quot;Pediatric Critical Care Medicine&quot;,&quot;DOI&quot;:&quot;10.1097/PCC.0000000000001134&quot;,&quot;ISSN&quot;:&quot;19473893&quot;,&quot;PMID&quot;:&quot;28691958&quot;,&quot;issued&quot;:{&quot;date-parts&quot;:[[2017,7,1]]},&quot;page&quot;:&quot;675-715&quot;,&quot;abstract&quot;:&quot;This document represents the first collaboration between two organizations, American Society of Parenteral and Enteral Nutrition and the Society of Critical Care Medicine, to describe best practices in nutrition therapy in critically ill children. The target of these guidelines is intended to be the pediatric (&gt; 1 mo and &lt; 18 yr) critically ill patient expected to require a length of stay greater than 2 or 3 days in a PICU admitting medical, surgical, and cardiac patients. In total, 2,032 citations were scanned for relevance. The PubMed/Medline search resulted in 960 citations for clinical trials and 925 citations for cohort studies. The EMBASE search for clinical trials culled 1,661 citations. In total, the search for clinical trials yielded 1,107 citations, whereas the cohort search yielded 925. After careful review, 16 randomized controlled trials and 37 cohort studies appeared to answer one of the eight preidentified question groups for this guideline. We used the Grading of Recommendations, Assessment, Development and Evaluation criteria to adjust the evidence grade based on assessment of the quality of study design and execution. These guidelines are not intended for neonates or adult patients. The guidelines reiterate the importance of nutritional assessment, particularly the detection of malnourished patients who are most vulnerable and therefore potentially may benefit from timely intervention. There is a need for renewed focus on accurate estimation of energy needs and attention to optimizing protein intake. Indirect calorimetry, where feasible, and cautious use of estimating equations and increased surveillance for unintended caloric underfeeding and overfeeding are recommended. Optimal protein intake and its correlation with clinical outcomes are areas of great interest. The optimal route and timing of nutrient delivery is an area of intense debate and investigations. Enteral nutrition remains the preferred route for nutrient delivery. Several strategies to optimize enteral nutrition during critical illness have emerged. The role of supplemental parenteral nutrition has been highlighted, and a delayed approach appears to be beneficial. Immunonutrition cannot be currently recommended. Overall, the pediatric critical care population is heterogeneous, and a nuanced approach to individualizing nutrition support with the aim of improving clinical outcomes is necessary.&quot;,&quot;publisher&quot;:&quot;Lippincott Williams and Wilkins&quot;,&quot;issue&quot;:&quot;7&quot;,&quot;volume&quot;:&quot;18&quot;,&quot;container-title-short&quot;:&quot;&quot;},&quot;isTemporary&quot;:false},{&quot;id&quot;:&quot;3c8e73de-c178-3573-83db-3579b85dfde9&quot;,&quot;itemData&quot;:{&quot;type&quot;:&quot;article-journal&quot;,&quot;id&quot;:&quot;3c8e73de-c178-3573-83db-3579b85dfde9&quot;,&quot;title&quot;:&quot;Full versus trophic feeds in critically ill adults with high and low nutritional risk scores: A randomized controlled trial&quot;,&quot;author&quot;:[{&quot;family&quot;:&quot;Wang&quot;,&quot;given&quot;:&quot;Chen Yu&quot;,&quot;parse-names&quot;:false,&quot;dropping-particle&quot;:&quot;&quot;,&quot;non-dropping-particle&quot;:&quot;&quot;},{&quot;family&quot;:&quot;Fu&quot;,&quot;given&quot;:&quot;Pin Kuei&quot;,&quot;parse-names&quot;:false,&quot;dropping-particle&quot;:&quot;&quot;,&quot;non-dropping-particle&quot;:&quot;&quot;},{&quot;family&quot;:&quot;Chao&quot;,&quot;given&quot;:&quot;Wen Cheng&quot;,&quot;parse-names&quot;:false,&quot;dropping-particle&quot;:&quot;&quot;,&quot;non-dropping-particle&quot;:&quot;&quot;},{&quot;family&quot;:&quot;Wang&quot;,&quot;given&quot;:&quot;Wei Ning&quot;,&quot;parse-names&quot;:false,&quot;dropping-particle&quot;:&quot;&quot;,&quot;non-dropping-particle&quot;:&quot;&quot;},{&quot;family&quot;:&quot;Chen&quot;,&quot;given&quot;:&quot;Chao Hsiu&quot;,&quot;parse-names&quot;:false,&quot;dropping-particle&quot;:&quot;&quot;,&quot;non-dropping-particle&quot;:&quot;&quot;},{&quot;family&quot;:&quot;Huang&quot;,&quot;given&quot;:&quot;Yi Chia&quot;,&quot;parse-names&quot;:false,&quot;dropping-particle&quot;:&quot;&quot;,&quot;non-dropping-particle&quot;:&quot;&quot;}],&quot;container-title&quot;:&quot;Nutrients&quot;,&quot;container-title-short&quot;:&quot;Nutrients&quot;,&quot;DOI&quot;:&quot;10.3390/nu12113518&quot;,&quot;ISSN&quot;:&quot;20726643&quot;,&quot;PMID&quot;:&quot;33203167&quot;,&quot;issued&quot;:{&quot;date-parts&quot;:[[2020,11,1]]},&quot;page&quot;:&quot;1-12&quot;,&quot;abstract&quot;:&quot;Although energy intake might be associated with clinical outcomes in critically ill patients, it remains unclear whether full or trophic feeding is suitable for critically ill patients with high or low nutrition risk. We conducted a prospective study to determine which feeding energy intakes were associated with clinical outcomes in critically ill patients with high or low nutrition risk. This was an investigator-initiated, single center, single blind, randomized controlled trial. Critically ill patients were allocated to either high or low nutrition risk based on their Nutrition Risk in the Critically Ill score, and then randomized to receive either the full or the trophic feeding. The feeding procedure was administered for six days. No significant differences were observed in in-hospital, 14-day and 28-day mortalities, the length of ventilator dependency, or ICU and hospital stay among the four groups. There were no associations between energy and protein intakes and in-hospital, 14-day and 28-day mortalities in any of the four groups. However, protein intake was positively associated with the length of hospital stay and ventilator dependency in patients with low nutrition risk receiving trophic feeding. Full or trophic feeding in critically ill patients showed no associations with clinical outcomes, regardless of nutrition risk.&quot;,&quot;publisher&quot;:&quot;MDPI AG&quot;,&quot;issue&quot;:&quot;11&quot;,&quot;volume&quot;:&quot;12&quot;},&quot;isTemporary&quot;:false}]},{&quot;citationID&quot;:&quot;MENDELEY_CITATION_60d7f057-72c4-4643-9469-0c90f60a5a62&quot;,&quot;properties&quot;:{&quot;noteIndex&quot;:0},&quot;isEdited&quot;:false,&quot;manualOverride&quot;:{&quot;isManuallyOverridden&quot;:false,&quot;citeprocText&quot;:&quot;(Wang et al., 2020)&quot;,&quot;manualOverrideText&quot;:&quot;&quot;},&quot;citationTag&quot;:&quot;MENDELEY_CITATION_v3_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&quot;,&quot;citationItems&quot;:[{&quot;id&quot;:&quot;3c8e73de-c178-3573-83db-3579b85dfde9&quot;,&quot;itemData&quot;:{&quot;type&quot;:&quot;article-journal&quot;,&quot;id&quot;:&quot;3c8e73de-c178-3573-83db-3579b85dfde9&quot;,&quot;title&quot;:&quot;Full versus trophic feeds in critically ill adults with high and low nutritional risk scores: A randomized controlled trial&quot;,&quot;author&quot;:[{&quot;family&quot;:&quot;Wang&quot;,&quot;given&quot;:&quot;Chen Yu&quot;,&quot;parse-names&quot;:false,&quot;dropping-particle&quot;:&quot;&quot;,&quot;non-dropping-particle&quot;:&quot;&quot;},{&quot;family&quot;:&quot;Fu&quot;,&quot;given&quot;:&quot;Pin Kuei&quot;,&quot;parse-names&quot;:false,&quot;dropping-particle&quot;:&quot;&quot;,&quot;non-dropping-particle&quot;:&quot;&quot;},{&quot;family&quot;:&quot;Chao&quot;,&quot;given&quot;:&quot;Wen Cheng&quot;,&quot;parse-names&quot;:false,&quot;dropping-particle&quot;:&quot;&quot;,&quot;non-dropping-particle&quot;:&quot;&quot;},{&quot;family&quot;:&quot;Wang&quot;,&quot;given&quot;:&quot;Wei Ning&quot;,&quot;parse-names&quot;:false,&quot;dropping-particle&quot;:&quot;&quot;,&quot;non-dropping-particle&quot;:&quot;&quot;},{&quot;family&quot;:&quot;Chen&quot;,&quot;given&quot;:&quot;Chao Hsiu&quot;,&quot;parse-names&quot;:false,&quot;dropping-particle&quot;:&quot;&quot;,&quot;non-dropping-particle&quot;:&quot;&quot;},{&quot;family&quot;:&quot;Huang&quot;,&quot;given&quot;:&quot;Yi Chia&quot;,&quot;parse-names&quot;:false,&quot;dropping-particle&quot;:&quot;&quot;,&quot;non-dropping-particle&quot;:&quot;&quot;}],&quot;container-title&quot;:&quot;Nutrients&quot;,&quot;container-title-short&quot;:&quot;Nutrients&quot;,&quot;DOI&quot;:&quot;10.3390/nu12113518&quot;,&quot;ISSN&quot;:&quot;20726643&quot;,&quot;PMID&quot;:&quot;33203167&quot;,&quot;issued&quot;:{&quot;date-parts&quot;:[[2020,11,1]]},&quot;page&quot;:&quot;1-12&quot;,&quot;abstract&quot;:&quot;Although energy intake might be associated with clinical outcomes in critically ill patients, it remains unclear whether full or trophic feeding is suitable for critically ill patients with high or low nutrition risk. We conducted a prospective study to determine which feeding energy intakes were associated with clinical outcomes in critically ill patients with high or low nutrition risk. This was an investigator-initiated, single center, single blind, randomized controlled trial. Critically ill patients were allocated to either high or low nutrition risk based on their Nutrition Risk in the Critically Ill score, and then randomized to receive either the full or the trophic feeding. The feeding procedure was administered for six days. No significant differences were observed in in-hospital, 14-day and 28-day mortalities, the length of ventilator dependency, or ICU and hospital stay among the four groups. There were no associations between energy and protein intakes and in-hospital, 14-day and 28-day mortalities in any of the four groups. However, protein intake was positively associated with the length of hospital stay and ventilator dependency in patients with low nutrition risk receiving trophic feeding. Full or trophic feeding in critically ill patients showed no associations with clinical outcomes, regardless of nutrition risk.&quot;,&quot;publisher&quot;:&quot;MDPI AG&quot;,&quot;issue&quot;:&quot;11&quot;,&quot;volume&quot;:&quot;12&quot;},&quot;isTemporary&quot;:false}]},{&quot;citationID&quot;:&quot;MENDELEY_CITATION_367deda1-1c4a-40e7-8185-026f025d8a1a&quot;,&quot;properties&quot;:{&quot;noteIndex&quot;:0},&quot;isEdited&quot;:false,&quot;manualOverride&quot;:{&quot;isManuallyOverridden&quot;:false,&quot;citeprocText&quot;:&quot;(Zhang et al., 2019)&quot;,&quot;manualOverrideText&quot;:&quot;&quot;},&quot;citationTag&quot;:&quot;MENDELEY_CITATION_v3_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&quot;,&quot;citationItems&quot;:[{&quot;id&quot;:&quot;97d7dd3a-b159-3ddf-b57d-55d7cea2780e&quot;,&quot;itemData&quot;:{&quot;type&quot;:&quot;article-journal&quot;,&quot;id&quot;:&quot;97d7dd3a-b159-3ddf-b57d-55d7cea2780e&quot;,&quot;title&quot;:&quot;Gut rest strategy and trophic feeding in the acute phase of critical illness with acute gastrointestinal injury&quot;,&quot;author&quot;:[{&quot;family&quot;:&quot;Zhang&quot;,&quot;given&quot;:&quot;Dong&quot;,&quot;parse-names&quot;:false,&quot;dropping-particle&quot;:&quot;&quot;,&quot;non-dropping-particle&quot;:&quot;&quot;},{&quot;family&quot;:&quot;Li&quot;,&quot;given&quot;:&quot;Hongxiang&quot;,&quot;parse-names&quot;:false,&quot;dropping-particle&quot;:&quot;&quot;,&quot;non-dropping-particle&quot;:&quot;&quot;},{&quot;family&quot;:&quot;Li&quot;,&quot;given&quot;:&quot;Yuting&quot;,&quot;parse-names&quot;:false,&quot;dropping-particle&quot;:&quot;&quot;,&quot;non-dropping-particle&quot;:&quot;&quot;},{&quot;family&quot;:&quot;Qu&quot;,&quot;given&quot;:&quot;Lai&quot;,&quot;parse-names&quot;:false,&quot;dropping-particle&quot;:&quot;&quot;,&quot;non-dropping-particle&quot;:&quot;&quot;}],&quot;container-title&quot;:&quot;Nutrition Research Reviews&quot;,&quot;container-title-short&quot;:&quot;Nutr Res Rev&quot;,&quot;DOI&quot;:&quot;10.1017/S0954422419000027&quot;,&quot;ISSN&quot;:&quot;14752700&quot;,&quot;PMID&quot;:&quot;30919797&quot;,&quot;issued&quot;:{&quot;date-parts&quot;:[[2019,12,1]]},&quot;page&quot;:&quot;176-182&quot;,&quot;abstract&quot;:&quot;Critically ill patients frequently suffer from gastrointestinal dysfunction as the intestine is a vulnerable organ. In critically ill patients who require nutritional support, the current guidelines recommend the use of enteral nutrition within 24-48 h and advancing towards optimal nutritional goals over the next 48-72 h; however, this may be contraindicated in patients with acute gastrointestinal injury because overuse of the gut in the acute phase of critical illness may have an adverse effect on the prognosis. We propose that trophic feeding after 72 h, as a partial gut rest strategy, should be provided to critically ill patients during the acute phase of illness as an organ-protective strategy, especially for those with acute gastrointestinal injury.&quot;,&quot;publisher&quot;:&quot;Cambridge University Press&quot;,&quot;issue&quot;:&quot;2&quot;,&quot;volume&quot;:&quot;32&quot;},&quot;isTemporary&quot;:false}]},{&quot;citationID&quot;:&quot;MENDELEY_CITATION_8e526b57-67b0-4428-9e98-da6c0d5948c3&quot;,&quot;properties&quot;:{&quot;noteIndex&quot;:0},&quot;isEdited&quot;:false,&quot;manualOverride&quot;:{&quot;isManuallyOverridden&quot;:false,&quot;citeprocText&quot;:&quot;(Y. Arabi et al., 2002)&quot;,&quot;manualOverrideText&quot;:&quot;&quot;},&quot;citationTag&quot;:&quot;MENDELEY_CITATION_v3_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&quot;,&quot;citationItems&quot;:[{&quot;id&quot;:&quot;6ec31f65-c74e-3bad-81c0-c3566209e4d8&quot;,&quot;itemData&quot;:{&quot;type&quot;:&quot;report&quot;,&quot;id&quot;:&quot;6ec31f65-c74e-3bad-81c0-c3566209e4d8&quot;,&quot;title&quot;:&quot;A prospective study of prolonged stay in the intensive care unit: predictors and impact on resource utilization&quot;,&quot;author&quot;:[{&quot;family&quot;:&quot;Arabi&quot;,&quot;given&quot;:&quot;Yaseen&quot;,&quot;parse-names&quot;:false,&quot;dropping-particle&quot;:&quot;&quot;,&quot;non-dropping-particle&quot;:&quot;&quot;},{&quot;family&quot;:&quot;Venkatesh&quot;,&quot;given&quot;:&quot;S&quot;,&quot;parse-names&quot;:false,&quot;dropping-particle&quot;:&quot;&quot;,&quot;non-dropping-particle&quot;:&quot;&quot;},{&quot;family&quot;:&quot;Haddad&quot;,&quot;given&quot;:&quot;Samir&quot;,&quot;parse-names&quot;:false,&quot;dropping-particle&quot;:&quot;&quot;,&quot;non-dropping-particle&quot;:&quot;&quot;},{&quot;family&quot;:&quot;Shimemeri&quot;,&quot;given&quot;:&quot;Abdullah&quot;,&quot;parse-names&quot;:false,&quot;dropping-particle&quot;:&quot;Al&quot;,&quot;non-dropping-particle&quot;:&quot;&quot;},{&quot;family&quot;:&quot;Malik&quot;,&quot;given&quot;:&quot;Salim&quot;,&quot;parse-names&quot;:false,&quot;dropping-particle&quot;:&quot;&quot;,&quot;non-dropping-particle&quot;:&quot;Al&quot;}],&quot;container-title&quot;:&quot;International Journal for Quality in Health Care&quot;,&quot;issued&quot;:{&quot;date-parts&quot;:[[2002]]},&quot;number-of-pages&quot;:&quot;403-410&quot;,&quot;abstract&quot;:&quot;Objective. To evaluate the predictors of prolonged Intensive Care Unit (ICU) stay and the impact on resource utilization. Design. Prospective study. Setting. Adult medical/surgical ICU in a tertiary-care teaching hospital. Study participants. All admissions to the ICU (numbering 947) over a 20-month period were enrolled. Data on demographic and clinical profile, length of stay, and outcome were collected prospectively. The ICU length of stay and mechanical ventilation days were used as surrogate parameters for resource utilization. Potential predictors were analyzed for possible association with prolonged ICU stay (length of stay &gt;14 days). Results. Patients with prolonged ICU stay formed only 11% of patients, but utilized 45.1% of ICU days and 55.5% of mechanical ventilation days. Non-elective admissions, readmissions, respiratory or trauma-related reasons for admission, and first 24-hour evidence of infection, oliguria, coagulopathy, and the need for mechanical ventilation or vasopressor therapy had significant association with prolonged ICU stay. Mean APACHE II and SAPS II were slightly higher in patients with prolonged stay. ICU outcome was comparable to patients with Ζ14 days ICU stay. Conclusions. Patients with prolonged ICU stay form a small proportion of ICU patients, yet they consume a significant share of the ICU resources. The outcome of this group of patients is comparable to that of shorter stay patients. The predictors identified in the study can be used in targeting this group to improve resource utilization and efficiency of ICU care. Keywords: intensive care, length of stay, predictors, prospective study, resource utilization, severity of illness Research on Intensive Care Unit (ICU) outcomes provides a factor known to affect patient outcome. These issues become all the more relevant in the context of the ongoing valuable inputs in developing more improved models for patient-centered outcomes, more robust predictions of re-global shortages of critical care nursing staff [6]. There is a need for optimizing an efficient distribution and source use, better individual outcome prediction, and alternative outcome predictions under different treatment use of ICU beds [7]. Collection, analysis, and interpretation of relevant objective data on the utilization of ICU beds will paradigms [1]. Among the studies examining strategies to improve quality and reduce costs by changing the way care help plan for reducing the length of ICU stay and facilitate covering more patients who require this care. Identification is provided to critically ill patients, attention has recently focused on assessing patients with a prolonged length of stay of predictors of prolonged stay may help in determining the proper timing of ICU discharge. It may also suggest the need (LOS) in the ICU [2-4]. Prolonged ICU stay can adversely affect the health status by for intermediate care units (IMCU) for ICU patients who are stabilized and no longer need critical care, but are not stable increasing the risk of infection, complications, and, possibly, mortality [5]. Operationally, it impacts upon ICU bed avail-enough to be discharged to the floor. There are many measures to assess ICU resource utilization. ability and results in cancellation of elective surgeries, leading to long waiting times. The lead-time, defined as the time A simple and readily available measure is ICU LOS. Cost analysis studies have found that the ICU cost per day per spent on the ward before ICU admission, is also prolonged,&quot;,&quot;issue&quot;:&quot;5&quot;,&quot;volume&quot;:&quot;14&quot;,&quot;container-title-short&quot;:&quot;&quot;},&quot;isTemporary&quot;:false}]},{&quot;citationID&quot;:&quot;MENDELEY_CITATION_56418cc2-f80a-4b22-9493-4744362c070e&quot;,&quot;properties&quot;:{&quot;noteIndex&quot;:0},&quot;isEdited&quot;:false,&quot;manualOverride&quot;:{&quot;isManuallyOverridden&quot;:false,&quot;citeprocText&quot;:&quot;(Heyland et al., 2011; Rahman et al., 2016)&quot;,&quot;manualOverrideText&quot;:&quot;&quot;},&quot;citationTag&quot;:&quot;MENDELEY_CITATION_v3_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&quot;,&quot;citationItems&quot;:[{&quot;id&quot;:&quot;17e663e1-09db-37f5-9ea3-edb8adfdfd68&quot;,&quot;itemData&quot;:{&quot;type&quot;:&quot;report&quot;,&quot;id&quot;:&quot;17e663e1-09db-37f5-9ea3-edb8adfdfd68&quot;,&quot;title&quot;:&quot;Identifying critically ill patients who benefit the most from nutrition therapy: the development and initial validation of a novel risk assessment tool&quot;,&quot;author&quot;:[{&quot;family&quot;:&quot;Heyland&quot;,&quot;given&quot;:&quot;Daren K&quot;,&quot;parse-names&quot;:false,&quot;dropping-particle&quot;:&quot;&quot;,&quot;non-dropping-particle&quot;:&quot;&quot;},{&quot;family&quot;:&quot;Dhaliwal&quot;,&quot;given&quot;:&quot;Rupinder&quot;,&quot;parse-names&quot;:false,&quot;dropping-particle&quot;:&quot;&quot;,&quot;non-dropping-particle&quot;:&quot;&quot;},{&quot;family&quot;:&quot;Jiang&quot;,&quot;given&quot;:&quot;Xuran&quot;,&quot;parse-names&quot;:false,&quot;dropping-particle&quot;:&quot;&quot;,&quot;non-dropping-particle&quot;:&quot;&quot;},{&quot;family&quot;:&quot;Day&quot;,&quot;given&quot;:&quot;Andrew G&quot;,&quot;parse-names&quot;:false,&quot;dropping-particle&quot;:&quot;&quot;,&quot;non-dropping-particle&quot;:&quot;&quot;}],&quot;URL&quot;:&quot;http://ccforum.com/content/15/6/R268&quot;,&quot;issued&quot;:{&quot;date-parts&quot;:[[2011]]},&quot;abstract&quot;:&quot;Introduction: To develop a scoring method for quantifying nutrition risk in the intensive care unit (ICU).&quot;,&quot;container-title-short&quot;:&quot;&quot;},&quot;isTemporary&quot;:false},{&quot;id&quot;:&quot;5e5208cf-3115-38e2-99f5-88618a46b42b&quot;,&quot;itemData&quot;:{&quot;type&quot;:&quot;article-journal&quot;,&quot;id&quot;:&quot;5e5208cf-3115-38e2-99f5-88618a46b42b&quot;,&quot;title&quot;:&quot;Identifying critically-ill patients who will benefit most from nutritional therapy: Further validation of the \&quot;modified NUTRIC\&quot; nutritional risk assessment tool&quot;,&quot;author&quot;:[{&quot;family&quot;:&quot;Rahman&quot;,&quot;given&quot;:&quot;Adam&quot;,&quot;parse-names&quot;:false,&quot;dropping-particle&quot;:&quot;&quot;,&quot;non-dropping-particle&quot;:&quot;&quot;},{&quot;family&quot;:&quot;Hasan&quot;,&quot;given&quot;:&quot;Rana M.&quot;,&quot;parse-names&quot;:false,&quot;dropping-particle&quot;:&quot;&quot;,&quot;non-dropping-particle&quot;:&quot;&quot;},{&quot;family&quot;:&quot;Agarwala&quot;,&quot;given&quot;:&quot;Ravi&quot;,&quot;parse-names&quot;:false,&quot;dropping-particle&quot;:&quot;&quot;,&quot;non-dropping-particle&quot;:&quot;&quot;},{&quot;family&quot;:&quot;Martin&quot;,&quot;given&quot;:&quot;Claudio&quot;,&quot;parse-names&quot;:false,&quot;dropping-particle&quot;:&quot;&quot;,&quot;non-dropping-particle&quot;:&quot;&quot;},{&quot;family&quot;:&quot;Day&quot;,&quot;given&quot;:&quot;Andrew G.&quot;,&quot;parse-names&quot;:false,&quot;dropping-particle&quot;:&quot;&quot;,&quot;non-dropping-particle&quot;:&quot;&quot;},{&quot;family&quot;:&quot;Heyland&quot;,&quot;given&quot;:&quot;Daren K.&quot;,&quot;parse-names&quot;:false,&quot;dropping-particle&quot;:&quot;&quot;,&quot;non-dropping-particle&quot;:&quot;&quot;}],&quot;container-title&quot;:&quot;Clinical Nutrition&quot;,&quot;DOI&quot;:&quot;10.1016/j.clnu.2015.01.015&quot;,&quot;ISSN&quot;:&quot;15321983&quot;,&quot;PMID&quot;:&quot;25698099&quot;,&quot;issued&quot;:{&quot;date-parts&quot;:[[2016,2,1]]},&quot;page&quot;:&quot;158-162&quot;,&quot;abstract&quot;:&quot;Introduction: Better tools are needed to assist in the identification of critically ill patients most likely to benefit from artificial nutrition therapy. Recently, the Nutrition Risk in Critically ill (NUTRIC) score has been developed for such purpose. The objective of this study was to externally validate a modified version of the NUTRIC score in a second database. Methods: We conducted a post hoc analysis of a database of a randomized control trial of intensive care unit (ICU) patients with multi-organ failure. Data for all variables of the NUTRIC score with the exception of IL-6 levels were collected. These included age, APACHE II score, SOFA score, number of co-morbidities, days from hospital admission to ICU admission. The NUTRIC score was calculated using the exact same thresholds and point system as developed previously except the IL-6 item was omitted. A logistic model including the NUTRIC score, the nutritional adequacy and their interaction was estimated to assess if the NUTRIC score modified the association between nutritional adequacy and 28-day mortality. We also examined the association of elevated NUTRIC scores and 6-month month mortality and the interaction between NUTRIC score and nutritional adequacy. Results: A total of 1199 patients were analyzed. The mean total calories prescribed was 1817 cal (SD 312) with total mean protein prescribed of 98.3 g (SD 23.6). The number of patients who received PN was 9.5%. The overall 28-day mortality rate in this validation sample was 29% and the mean NUTRIC score was 5.5 (SD 1.6). Based on the logistic model, the odds of mortality at 28 days was multiplied by 1.4 (95% CI, 1.3-1.5) for every point increase on the NUTRIC score. The mean (SD) nutritional adequacy was 50.2 (29.5) with an interquartile range from 24.8 to 74.1. The test for interaction confirmed that the association between nutritional adequacy and 28-day mortality is significantly modified by the NUTRIC score (test for interaction p = 0.029). In particular, there is a strong positive association between nutritional adequacy and 28 day survival in patients with a high NUTRIC score but this association diminishes with decreasing NUTRIC score. Higher NUTRIC scores are also significantly associated with higher 6-month mortality (p &lt; 0.0001) and again the positive association between nutritional adequacy and 6 month survival was significantly stronger (and perhaps only present) in patients with higher NUTRIC score (test for interaction p = 0.038). Conclusion: The NUTRIC scoring system is externally validated and may be useful in identifying critically ill patients most likely to benefit from optimal amounts of macronutrients when considering mortality as an outcome.&quot;,&quot;publisher&quot;:&quot;Churchill Livingstone&quot;,&quot;issue&quot;:&quot;1&quot;,&quot;volume&quot;:&quot;35&quot;,&quot;container-title-short&quot;:&quot;&quot;},&quot;isTemporary&quot;:false}]},{&quot;citationID&quot;:&quot;MENDELEY_CITATION_63bf589e-459c-416f-88cf-8b9968778498&quot;,&quot;properties&quot;:{&quot;noteIndex&quot;:0},&quot;isEdited&quot;:false,&quot;manualOverride&quot;:{&quot;isManuallyOverridden&quot;:false,&quot;citeprocText&quot;:&quot;(Jeong et al., 2018)&quot;,&quot;manualOverrideText&quot;:&quot;&quot;},&quot;citationTag&quot;:&quot;MENDELEY_CITATION_v3_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&quot;,&quot;citationItems&quot;:[{&quot;id&quot;:&quot;9cb4744a-5ecf-3a0c-805d-b73b189def20&quot;,&quot;itemData&quot;:{&quot;type&quot;:&quot;article-journal&quot;,&quot;id&quot;:&quot;9cb4744a-5ecf-3a0c-805d-b73b189def20&quot;,&quot;title&quot;:&quot;Comparison of accuracy of NUTRIC and modified NUTRIC scores in predicting 28-day mortality in patients with sepsis: A single center retrospective study&quot;,&quot;author&quot;:[{&quot;family&quot;:&quot;Jeong&quot;,&quot;given&quot;:&quot;Dae Hyun&quot;,&quot;parse-names&quot;:false,&quot;dropping-particle&quot;:&quot;&quot;,&quot;non-dropping-particle&quot;:&quot;&quot;},{&quot;family&quot;:&quot;Hong&quot;,&quot;given&quot;:&quot;Sang Bum&quot;,&quot;parse-names&quot;:false,&quot;dropping-particle&quot;:&quot;&quot;,&quot;non-dropping-particle&quot;:&quot;&quot;},{&quot;family&quot;:&quot;Lim&quot;,&quot;given&quot;:&quot;Chae Man&quot;,&quot;parse-names&quot;:false,&quot;dropping-particle&quot;:&quot;&quot;,&quot;non-dropping-particle&quot;:&quot;&quot;},{&quot;family&quot;:&quot;Koh&quot;,&quot;given&quot;:&quot;Younsuck&quot;,&quot;parse-names&quot;:false,&quot;dropping-particle&quot;:&quot;&quot;,&quot;non-dropping-particle&quot;:&quot;&quot;},{&quot;family&quot;:&quot;Seo&quot;,&quot;given&quot;:&quot;Jarim&quot;,&quot;parse-names&quot;:false,&quot;dropping-particle&quot;:&quot;&quot;,&quot;non-dropping-particle&quot;:&quot;&quot;},{&quot;family&quot;:&quot;Kim&quot;,&quot;given&quot;:&quot;Younkyoung&quot;,&quot;parse-names&quot;:false,&quot;dropping-particle&quot;:&quot;&quot;,&quot;non-dropping-particle&quot;:&quot;&quot;},{&quot;family&quot;:&quot;Min&quot;,&quot;given&quot;:&quot;Ji Yeon&quot;,&quot;parse-names&quot;:false,&quot;dropping-particle&quot;:&quot;&quot;,&quot;non-dropping-particle&quot;:&quot;&quot;},{&quot;family&quot;:&quot;Huh&quot;,&quot;given&quot;:&quot;Jin Won&quot;,&quot;parse-names&quot;:false,&quot;dropping-particle&quot;:&quot;&quot;,&quot;non-dropping-particle&quot;:&quot;&quot;}],&quot;container-title&quot;:&quot;Nutrients&quot;,&quot;container-title-short&quot;:&quot;Nutrients&quot;,&quot;DOI&quot;:&quot;10.3390/nu10070911&quot;,&quot;ISSN&quot;:&quot;20726643&quot;,&quot;PMID&quot;:&quot;30018224&quot;,&quot;issued&quot;:{&quot;date-parts&quot;:[[2018,7,17]]},&quot;abstract&quot;:&quot;The NUTRIC (Nutrition Risk in the Critically Ill) and modified NUTRIC scores are nutrition risk assessment tools specifically for intensive care unit (ICU) patients. A modified NUTRIC score is composed of all variables except for IL-6 level in the NUTRIC score. Their use in qualifying critically ill patients at nutritional risk has been extensively evaluated, although not in studies of patients with sepsis, when interleukin 6 levels, which are not included in the modified NUTRIC score, may be elevated. The present study was a retrospective comparison of the accuracy of the NUTRIC and modified NUTRIC scores in predicting 28-day mortality of 482 adult patients with sepsis who were admitted to the medical ICU of a tertiary referral hospital in South Korea between January 2011 and June 2017 and who had ICU stays longer than 24 h. The NUTRIC and modified NUTRIC scores were calculated using data from the patients’ electronic medical records relating to the first 24 h of admission to the ICU. The area under the curve of the NUTRIC Score for predicting 28-day mortality was 0.762 (95% confidence interval (CI): 0.718–0.806) and of the modified NUTRIC Score 0.757 (95% CI: 0.713–0.801). There was no significant difference between the two scores (p = 0.45). The modified NUTRIC score was a good nutritional risk assessment tool for critically ill septic patients.&quot;,&quot;publisher&quot;:&quot;MDPI AG&quot;,&quot;issue&quot;:&quot;7&quot;,&quot;volume&quot;:&quot;10&quot;},&quot;isTemporary&quot;:false}]},{&quot;citationID&quot;:&quot;MENDELEY_CITATION_06c0266a-de3f-4569-ab66-6587d89b0f32&quot;,&quot;properties&quot;:{&quot;noteIndex&quot;:0},&quot;isEdited&quot;:false,&quot;manualOverride&quot;:{&quot;isManuallyOverridden&quot;:false,&quot;citeprocText&quot;:&quot;(Wang et al., 2020)&quot;,&quot;manualOverrideText&quot;:&quot;&quot;},&quot;citationTag&quot;:&quot;MENDELEY_CITATION_v3_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&quot;,&quot;citationItems&quot;:[{&quot;id&quot;:&quot;3c8e73de-c178-3573-83db-3579b85dfde9&quot;,&quot;itemData&quot;:{&quot;type&quot;:&quot;article-journal&quot;,&quot;id&quot;:&quot;3c8e73de-c178-3573-83db-3579b85dfde9&quot;,&quot;title&quot;:&quot;Full versus trophic feeds in critically ill adults with high and low nutritional risk scores: A randomized controlled trial&quot;,&quot;author&quot;:[{&quot;family&quot;:&quot;Wang&quot;,&quot;given&quot;:&quot;Chen Yu&quot;,&quot;parse-names&quot;:false,&quot;dropping-particle&quot;:&quot;&quot;,&quot;non-dropping-particle&quot;:&quot;&quot;},{&quot;family&quot;:&quot;Fu&quot;,&quot;given&quot;:&quot;Pin Kuei&quot;,&quot;parse-names&quot;:false,&quot;dropping-particle&quot;:&quot;&quot;,&quot;non-dropping-particle&quot;:&quot;&quot;},{&quot;family&quot;:&quot;Chao&quot;,&quot;given&quot;:&quot;Wen Cheng&quot;,&quot;parse-names&quot;:false,&quot;dropping-particle&quot;:&quot;&quot;,&quot;non-dropping-particle&quot;:&quot;&quot;},{&quot;family&quot;:&quot;Wang&quot;,&quot;given&quot;:&quot;Wei Ning&quot;,&quot;parse-names&quot;:false,&quot;dropping-particle&quot;:&quot;&quot;,&quot;non-dropping-particle&quot;:&quot;&quot;},{&quot;family&quot;:&quot;Chen&quot;,&quot;given&quot;:&quot;Chao Hsiu&quot;,&quot;parse-names&quot;:false,&quot;dropping-particle&quot;:&quot;&quot;,&quot;non-dropping-particle&quot;:&quot;&quot;},{&quot;family&quot;:&quot;Huang&quot;,&quot;given&quot;:&quot;Yi Chia&quot;,&quot;parse-names&quot;:false,&quot;dropping-particle&quot;:&quot;&quot;,&quot;non-dropping-particle&quot;:&quot;&quot;}],&quot;container-title&quot;:&quot;Nutrients&quot;,&quot;container-title-short&quot;:&quot;Nutrients&quot;,&quot;DOI&quot;:&quot;10.3390/nu12113518&quot;,&quot;ISSN&quot;:&quot;20726643&quot;,&quot;PMID&quot;:&quot;33203167&quot;,&quot;issued&quot;:{&quot;date-parts&quot;:[[2020,11,1]]},&quot;page&quot;:&quot;1-12&quot;,&quot;abstract&quot;:&quot;Although energy intake might be associated with clinical outcomes in critically ill patients, it remains unclear whether full or trophic feeding is suitable for critically ill patients with high or low nutrition risk. We conducted a prospective study to determine which feeding energy intakes were associated with clinical outcomes in critically ill patients with high or low nutrition risk. This was an investigator-initiated, single center, single blind, randomized controlled trial. Critically ill patients were allocated to either high or low nutrition risk based on their Nutrition Risk in the Critically Ill score, and then randomized to receive either the full or the trophic feeding. The feeding procedure was administered for six days. No significant differences were observed in in-hospital, 14-day and 28-day mortalities, the length of ventilator dependency, or ICU and hospital stay among the four groups. There were no associations between energy and protein intakes and in-hospital, 14-day and 28-day mortalities in any of the four groups. However, protein intake was positively associated with the length of hospital stay and ventilator dependency in patients with low nutrition risk receiving trophic feeding. Full or trophic feeding in critically ill patients showed no associations with clinical outcomes, regardless of nutrition risk.&quot;,&quot;publisher&quot;:&quot;MDPI AG&quot;,&quot;issue&quot;:&quot;11&quot;,&quot;volume&quot;:&quot;1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E1E33ED-3FD3-4762-9F13-D7FA7DC27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Nilesh Nawale</cp:lastModifiedBy>
  <cp:revision>2</cp:revision>
  <cp:lastPrinted>2023-07-28T05:46:00Z</cp:lastPrinted>
  <dcterms:created xsi:type="dcterms:W3CDTF">2024-06-24T04:07:00Z</dcterms:created>
  <dcterms:modified xsi:type="dcterms:W3CDTF">2024-06-24T04:07:00Z</dcterms:modified>
</cp:coreProperties>
</file>