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5000" w:type="pct"/>
        <w:tblBorders>
          <w:insideV w:val="none" w:sz="0" w:space="0" w:color="auto"/>
        </w:tblBorders>
        <w:tblLook w:val="04A0"/>
      </w:tblPr>
      <w:tblGrid>
        <w:gridCol w:w="2445"/>
        <w:gridCol w:w="2407"/>
        <w:gridCol w:w="2296"/>
        <w:gridCol w:w="2140"/>
      </w:tblGrid>
      <w:tr w:rsidR="00B42B5A" w:rsidRPr="0007264C" w:rsidTr="005F7322">
        <w:tc>
          <w:tcPr>
            <w:tcW w:w="1316" w:type="pct"/>
          </w:tcPr>
          <w:p w:rsidR="00B42B5A" w:rsidRPr="0007264C" w:rsidRDefault="00B42B5A" w:rsidP="005F7322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1296" w:type="pct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  <w:t>Control</w:t>
            </w:r>
          </w:p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  <w:t>(n=56)</w:t>
            </w:r>
          </w:p>
        </w:tc>
        <w:tc>
          <w:tcPr>
            <w:tcW w:w="1236" w:type="pct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  <w:t>Patient</w:t>
            </w:r>
          </w:p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  <w:t>(n=73)</w:t>
            </w:r>
          </w:p>
        </w:tc>
        <w:tc>
          <w:tcPr>
            <w:tcW w:w="1152" w:type="pct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  <w:t>p</w:t>
            </w:r>
          </w:p>
        </w:tc>
      </w:tr>
      <w:tr w:rsidR="00B42B5A" w:rsidRPr="0007264C" w:rsidTr="005F7322">
        <w:tc>
          <w:tcPr>
            <w:tcW w:w="1316" w:type="pct"/>
          </w:tcPr>
          <w:p w:rsidR="00B42B5A" w:rsidRPr="0007264C" w:rsidRDefault="00B42B5A" w:rsidP="005F7322">
            <w:pPr>
              <w:spacing w:line="480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  <w:t>Age</w:t>
            </w:r>
          </w:p>
        </w:tc>
        <w:tc>
          <w:tcPr>
            <w:tcW w:w="1296" w:type="pct"/>
          </w:tcPr>
          <w:p w:rsidR="00B42B5A" w:rsidRPr="0007264C" w:rsidRDefault="00B42B5A" w:rsidP="005F7322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  <w:t>56.0 ± 18.0</w:t>
            </w:r>
          </w:p>
        </w:tc>
        <w:tc>
          <w:tcPr>
            <w:tcW w:w="1236" w:type="pct"/>
          </w:tcPr>
          <w:p w:rsidR="00B42B5A" w:rsidRPr="0007264C" w:rsidRDefault="00B42B5A" w:rsidP="005F7322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  <w:t>73.0 ± 10.3</w:t>
            </w:r>
          </w:p>
        </w:tc>
        <w:tc>
          <w:tcPr>
            <w:tcW w:w="1152" w:type="pct"/>
          </w:tcPr>
          <w:p w:rsidR="00B42B5A" w:rsidRPr="0007264C" w:rsidRDefault="00B42B5A" w:rsidP="005F7322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  <w:t>0.095</w:t>
            </w:r>
          </w:p>
        </w:tc>
      </w:tr>
      <w:tr w:rsidR="00B42B5A" w:rsidRPr="0007264C" w:rsidTr="005F7322">
        <w:tc>
          <w:tcPr>
            <w:tcW w:w="1316" w:type="pct"/>
          </w:tcPr>
          <w:p w:rsidR="00B42B5A" w:rsidRPr="0007264C" w:rsidRDefault="00B42B5A" w:rsidP="005F7322">
            <w:pPr>
              <w:spacing w:line="480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  <w:t>BMI</w:t>
            </w:r>
          </w:p>
        </w:tc>
        <w:tc>
          <w:tcPr>
            <w:tcW w:w="1296" w:type="pct"/>
          </w:tcPr>
          <w:p w:rsidR="00B42B5A" w:rsidRPr="0007264C" w:rsidRDefault="00B42B5A" w:rsidP="005F7322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  <w:t>28.18 ± 4.54</w:t>
            </w:r>
          </w:p>
        </w:tc>
        <w:tc>
          <w:tcPr>
            <w:tcW w:w="1236" w:type="pct"/>
          </w:tcPr>
          <w:p w:rsidR="00B42B5A" w:rsidRPr="0007264C" w:rsidRDefault="00B42B5A" w:rsidP="005F7322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  <w:t>28.54 ± 4.77</w:t>
            </w:r>
          </w:p>
        </w:tc>
        <w:tc>
          <w:tcPr>
            <w:tcW w:w="1152" w:type="pct"/>
          </w:tcPr>
          <w:p w:rsidR="00B42B5A" w:rsidRPr="0007264C" w:rsidRDefault="00B42B5A" w:rsidP="005F7322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  <w:t>0.666</w:t>
            </w:r>
          </w:p>
        </w:tc>
      </w:tr>
      <w:tr w:rsidR="00B42B5A" w:rsidRPr="0007264C" w:rsidTr="005F7322">
        <w:tc>
          <w:tcPr>
            <w:tcW w:w="1316" w:type="pct"/>
          </w:tcPr>
          <w:p w:rsidR="00B42B5A" w:rsidRPr="0007264C" w:rsidRDefault="00B42B5A" w:rsidP="005F7322">
            <w:pPr>
              <w:spacing w:line="480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  <w:t>Fibronectin level (ng/ml)</w:t>
            </w:r>
          </w:p>
        </w:tc>
        <w:tc>
          <w:tcPr>
            <w:tcW w:w="1296" w:type="pct"/>
          </w:tcPr>
          <w:p w:rsidR="00B42B5A" w:rsidRPr="0007264C" w:rsidRDefault="00B42B5A" w:rsidP="005F7322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  <w:t>50.486 ± 25.156</w:t>
            </w:r>
          </w:p>
        </w:tc>
        <w:tc>
          <w:tcPr>
            <w:tcW w:w="1236" w:type="pct"/>
          </w:tcPr>
          <w:p w:rsidR="00B42B5A" w:rsidRPr="0007264C" w:rsidRDefault="00B42B5A" w:rsidP="005F7322">
            <w:pPr>
              <w:spacing w:line="48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  <w:t>76.794 ± 66.998</w:t>
            </w:r>
          </w:p>
        </w:tc>
        <w:tc>
          <w:tcPr>
            <w:tcW w:w="1152" w:type="pct"/>
          </w:tcPr>
          <w:p w:rsidR="00B42B5A" w:rsidRPr="0007264C" w:rsidRDefault="00B42B5A" w:rsidP="005F7322">
            <w:pPr>
              <w:spacing w:line="480" w:lineRule="auto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  <w:t>0.003</w:t>
            </w:r>
          </w:p>
        </w:tc>
      </w:tr>
    </w:tbl>
    <w:p w:rsidR="00B42B5A" w:rsidRPr="0007264C" w:rsidRDefault="00B42B5A" w:rsidP="00B42B5A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07264C">
        <w:rPr>
          <w:rFonts w:ascii="Arial" w:hAnsi="Arial" w:cs="Arial"/>
          <w:b/>
          <w:bCs/>
          <w:color w:val="000000" w:themeColor="text1"/>
        </w:rPr>
        <w:t>Table 1. Distribution of Continuous Measurements between Groups</w:t>
      </w:r>
    </w:p>
    <w:p w:rsidR="00B42B5A" w:rsidRPr="0007264C" w:rsidRDefault="00B42B5A" w:rsidP="00B42B5A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07264C">
        <w:rPr>
          <w:rFonts w:ascii="Arial" w:hAnsi="Arial" w:cs="Arial"/>
          <w:b/>
          <w:bCs/>
          <w:color w:val="000000" w:themeColor="text1"/>
        </w:rPr>
        <w:t>n: Number of samples, BMI: Body mass index, p: Values of significance with difference of each group</w:t>
      </w:r>
      <w:r w:rsidRPr="0007264C">
        <w:rPr>
          <w:rFonts w:ascii="Arial" w:hAnsi="Arial" w:cs="Arial"/>
          <w:b/>
          <w:bCs/>
          <w:color w:val="000000" w:themeColor="text1"/>
        </w:rPr>
        <w:br w:type="page"/>
      </w:r>
    </w:p>
    <w:tbl>
      <w:tblPr>
        <w:tblStyle w:val="TabloKlavuzu"/>
        <w:tblW w:w="6020" w:type="pct"/>
        <w:jc w:val="center"/>
        <w:tblBorders>
          <w:insideV w:val="none" w:sz="0" w:space="0" w:color="auto"/>
        </w:tblBorders>
        <w:tblLook w:val="04A0"/>
      </w:tblPr>
      <w:tblGrid>
        <w:gridCol w:w="1561"/>
        <w:gridCol w:w="1313"/>
        <w:gridCol w:w="1313"/>
        <w:gridCol w:w="1313"/>
        <w:gridCol w:w="841"/>
        <w:gridCol w:w="1313"/>
        <w:gridCol w:w="1313"/>
        <w:gridCol w:w="1040"/>
        <w:gridCol w:w="1176"/>
      </w:tblGrid>
      <w:tr w:rsidR="00B42B5A" w:rsidRPr="0007264C" w:rsidTr="005F7322">
        <w:trPr>
          <w:jc w:val="center"/>
        </w:trPr>
        <w:tc>
          <w:tcPr>
            <w:tcW w:w="698" w:type="pct"/>
            <w:vMerge w:val="restar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137" w:type="pct"/>
            <w:gridSpan w:val="4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RS35343655</w:t>
            </w:r>
          </w:p>
        </w:tc>
        <w:tc>
          <w:tcPr>
            <w:tcW w:w="2165" w:type="pct"/>
            <w:gridSpan w:val="4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RS10202709</w:t>
            </w:r>
          </w:p>
        </w:tc>
      </w:tr>
      <w:tr w:rsidR="00B42B5A" w:rsidRPr="0007264C" w:rsidTr="005F7322">
        <w:trPr>
          <w:jc w:val="center"/>
        </w:trPr>
        <w:tc>
          <w:tcPr>
            <w:tcW w:w="698" w:type="pct"/>
            <w:vMerge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7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CC</w:t>
            </w:r>
          </w:p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(n=56)</w:t>
            </w:r>
          </w:p>
        </w:tc>
        <w:tc>
          <w:tcPr>
            <w:tcW w:w="587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CT</w:t>
            </w:r>
          </w:p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(n=56)</w:t>
            </w:r>
          </w:p>
        </w:tc>
        <w:tc>
          <w:tcPr>
            <w:tcW w:w="587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TT</w:t>
            </w:r>
          </w:p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(n=17)</w:t>
            </w:r>
          </w:p>
        </w:tc>
        <w:tc>
          <w:tcPr>
            <w:tcW w:w="374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</w:t>
            </w:r>
          </w:p>
        </w:tc>
        <w:tc>
          <w:tcPr>
            <w:tcW w:w="587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CC</w:t>
            </w:r>
          </w:p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(n=95)</w:t>
            </w:r>
          </w:p>
        </w:tc>
        <w:tc>
          <w:tcPr>
            <w:tcW w:w="587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CT</w:t>
            </w:r>
          </w:p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(n=33)</w:t>
            </w:r>
          </w:p>
        </w:tc>
        <w:tc>
          <w:tcPr>
            <w:tcW w:w="465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TT</w:t>
            </w:r>
          </w:p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(n=1)</w:t>
            </w:r>
          </w:p>
        </w:tc>
        <w:tc>
          <w:tcPr>
            <w:tcW w:w="525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</w:t>
            </w:r>
          </w:p>
        </w:tc>
      </w:tr>
      <w:tr w:rsidR="00B42B5A" w:rsidRPr="0007264C" w:rsidTr="005F7322">
        <w:trPr>
          <w:jc w:val="center"/>
        </w:trPr>
        <w:tc>
          <w:tcPr>
            <w:tcW w:w="698" w:type="pct"/>
            <w:vAlign w:val="center"/>
          </w:tcPr>
          <w:p w:rsidR="00B42B5A" w:rsidRPr="0007264C" w:rsidRDefault="00B42B5A" w:rsidP="005F7322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Fibronectin level</w:t>
            </w:r>
          </w:p>
        </w:tc>
        <w:tc>
          <w:tcPr>
            <w:tcW w:w="587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69.6±55.3</w:t>
            </w:r>
          </w:p>
        </w:tc>
        <w:tc>
          <w:tcPr>
            <w:tcW w:w="587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61.1±57.1</w:t>
            </w:r>
          </w:p>
        </w:tc>
        <w:tc>
          <w:tcPr>
            <w:tcW w:w="587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65.6±43.6</w:t>
            </w:r>
          </w:p>
        </w:tc>
        <w:tc>
          <w:tcPr>
            <w:tcW w:w="374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0.714</w:t>
            </w:r>
          </w:p>
        </w:tc>
        <w:tc>
          <w:tcPr>
            <w:tcW w:w="587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69.7±60.7</w:t>
            </w:r>
          </w:p>
        </w:tc>
        <w:tc>
          <w:tcPr>
            <w:tcW w:w="587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53.6±28.8</w:t>
            </w:r>
          </w:p>
        </w:tc>
        <w:tc>
          <w:tcPr>
            <w:tcW w:w="465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39.9±...</w:t>
            </w:r>
          </w:p>
        </w:tc>
        <w:tc>
          <w:tcPr>
            <w:tcW w:w="525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0.309</w:t>
            </w:r>
          </w:p>
        </w:tc>
      </w:tr>
    </w:tbl>
    <w:p w:rsidR="00B42B5A" w:rsidRPr="0007264C" w:rsidRDefault="00B42B5A" w:rsidP="00B42B5A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07264C">
        <w:rPr>
          <w:rFonts w:ascii="Arial" w:hAnsi="Arial" w:cs="Arial"/>
          <w:b/>
          <w:bCs/>
          <w:color w:val="000000" w:themeColor="text1"/>
        </w:rPr>
        <w:t>Table 2. Distributions of Continuous Measurements for Gene Polymorphisms</w:t>
      </w:r>
    </w:p>
    <w:p w:rsidR="00B42B5A" w:rsidRPr="0007264C" w:rsidRDefault="00B42B5A" w:rsidP="00B42B5A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07264C">
        <w:rPr>
          <w:rFonts w:ascii="Arial" w:hAnsi="Arial" w:cs="Arial"/>
          <w:b/>
          <w:bCs/>
          <w:color w:val="000000" w:themeColor="text1"/>
        </w:rPr>
        <w:t>n: Number of samples, p: Values of significance with the difference of each group</w:t>
      </w:r>
      <w:r w:rsidRPr="0007264C">
        <w:rPr>
          <w:rFonts w:ascii="Arial" w:hAnsi="Arial" w:cs="Arial"/>
          <w:b/>
          <w:bCs/>
          <w:color w:val="000000" w:themeColor="text1"/>
        </w:rPr>
        <w:br w:type="page"/>
      </w:r>
    </w:p>
    <w:tbl>
      <w:tblPr>
        <w:tblStyle w:val="TabloKlavuzu"/>
        <w:tblW w:w="9351" w:type="dxa"/>
        <w:tblBorders>
          <w:insideV w:val="none" w:sz="0" w:space="0" w:color="auto"/>
        </w:tblBorders>
        <w:tblLook w:val="04A0"/>
      </w:tblPr>
      <w:tblGrid>
        <w:gridCol w:w="1778"/>
        <w:gridCol w:w="630"/>
        <w:gridCol w:w="1020"/>
        <w:gridCol w:w="976"/>
        <w:gridCol w:w="1020"/>
        <w:gridCol w:w="976"/>
        <w:gridCol w:w="1010"/>
        <w:gridCol w:w="976"/>
        <w:gridCol w:w="965"/>
      </w:tblGrid>
      <w:tr w:rsidR="00B42B5A" w:rsidRPr="0007264C" w:rsidTr="005F7322">
        <w:tc>
          <w:tcPr>
            <w:tcW w:w="2408" w:type="dxa"/>
            <w:gridSpan w:val="2"/>
            <w:vMerge w:val="restar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CC</w:t>
            </w:r>
          </w:p>
        </w:tc>
        <w:tc>
          <w:tcPr>
            <w:tcW w:w="1996" w:type="dxa"/>
            <w:gridSpan w:val="2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CT</w:t>
            </w:r>
          </w:p>
        </w:tc>
        <w:tc>
          <w:tcPr>
            <w:tcW w:w="1986" w:type="dxa"/>
            <w:gridSpan w:val="2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TT</w:t>
            </w:r>
          </w:p>
        </w:tc>
        <w:tc>
          <w:tcPr>
            <w:tcW w:w="965" w:type="dxa"/>
            <w:vMerge w:val="restar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</w:t>
            </w:r>
          </w:p>
        </w:tc>
      </w:tr>
      <w:tr w:rsidR="00B42B5A" w:rsidRPr="0007264C" w:rsidTr="005F7322">
        <w:tc>
          <w:tcPr>
            <w:tcW w:w="2408" w:type="dxa"/>
            <w:gridSpan w:val="2"/>
            <w:vMerge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02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2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1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965" w:type="dxa"/>
            <w:vMerge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42B5A" w:rsidRPr="0007264C" w:rsidTr="005F7322">
        <w:tc>
          <w:tcPr>
            <w:tcW w:w="1778" w:type="dxa"/>
            <w:vMerge w:val="restar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BCG refractory tumor</w:t>
            </w:r>
          </w:p>
        </w:tc>
        <w:tc>
          <w:tcPr>
            <w:tcW w:w="63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02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73.3</w:t>
            </w:r>
          </w:p>
        </w:tc>
        <w:tc>
          <w:tcPr>
            <w:tcW w:w="102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75.8</w:t>
            </w:r>
          </w:p>
        </w:tc>
        <w:tc>
          <w:tcPr>
            <w:tcW w:w="101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70.0</w:t>
            </w:r>
          </w:p>
        </w:tc>
        <w:tc>
          <w:tcPr>
            <w:tcW w:w="965" w:type="dxa"/>
            <w:vMerge w:val="restar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0.931</w:t>
            </w:r>
          </w:p>
        </w:tc>
      </w:tr>
      <w:tr w:rsidR="00B42B5A" w:rsidRPr="0007264C" w:rsidTr="005F7322">
        <w:tc>
          <w:tcPr>
            <w:tcW w:w="1778" w:type="dxa"/>
            <w:vMerge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2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26.7</w:t>
            </w:r>
          </w:p>
        </w:tc>
        <w:tc>
          <w:tcPr>
            <w:tcW w:w="102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24.2</w:t>
            </w:r>
          </w:p>
        </w:tc>
        <w:tc>
          <w:tcPr>
            <w:tcW w:w="101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30.0</w:t>
            </w:r>
          </w:p>
        </w:tc>
        <w:tc>
          <w:tcPr>
            <w:tcW w:w="965" w:type="dxa"/>
            <w:vMerge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42B5A" w:rsidRPr="0007264C" w:rsidTr="005F7322">
        <w:trPr>
          <w:trHeight w:val="402"/>
        </w:trPr>
        <w:tc>
          <w:tcPr>
            <w:tcW w:w="1778" w:type="dxa"/>
            <w:vMerge w:val="restar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BCG unresponsive tumor</w:t>
            </w:r>
          </w:p>
        </w:tc>
        <w:tc>
          <w:tcPr>
            <w:tcW w:w="63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02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73.3</w:t>
            </w:r>
          </w:p>
        </w:tc>
        <w:tc>
          <w:tcPr>
            <w:tcW w:w="102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75.8</w:t>
            </w:r>
          </w:p>
        </w:tc>
        <w:tc>
          <w:tcPr>
            <w:tcW w:w="101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70.0</w:t>
            </w:r>
          </w:p>
        </w:tc>
        <w:tc>
          <w:tcPr>
            <w:tcW w:w="965" w:type="dxa"/>
            <w:vMerge w:val="restar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0.931</w:t>
            </w:r>
          </w:p>
        </w:tc>
      </w:tr>
      <w:tr w:rsidR="00B42B5A" w:rsidRPr="0007264C" w:rsidTr="005F7322">
        <w:trPr>
          <w:trHeight w:val="402"/>
        </w:trPr>
        <w:tc>
          <w:tcPr>
            <w:tcW w:w="1778" w:type="dxa"/>
            <w:vMerge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2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26.7</w:t>
            </w:r>
          </w:p>
        </w:tc>
        <w:tc>
          <w:tcPr>
            <w:tcW w:w="102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24.2</w:t>
            </w:r>
          </w:p>
        </w:tc>
        <w:tc>
          <w:tcPr>
            <w:tcW w:w="101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30.0</w:t>
            </w:r>
          </w:p>
        </w:tc>
        <w:tc>
          <w:tcPr>
            <w:tcW w:w="965" w:type="dxa"/>
            <w:vMerge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42B5A" w:rsidRPr="0007264C" w:rsidTr="005F7322">
        <w:trPr>
          <w:trHeight w:val="198"/>
        </w:trPr>
        <w:tc>
          <w:tcPr>
            <w:tcW w:w="1778" w:type="dxa"/>
            <w:vMerge w:val="restar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BCG intolerance tumor</w:t>
            </w:r>
          </w:p>
        </w:tc>
        <w:tc>
          <w:tcPr>
            <w:tcW w:w="63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102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86.7</w:t>
            </w:r>
          </w:p>
        </w:tc>
        <w:tc>
          <w:tcPr>
            <w:tcW w:w="102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75.8</w:t>
            </w:r>
          </w:p>
        </w:tc>
        <w:tc>
          <w:tcPr>
            <w:tcW w:w="101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80.0</w:t>
            </w:r>
          </w:p>
        </w:tc>
        <w:tc>
          <w:tcPr>
            <w:tcW w:w="965" w:type="dxa"/>
            <w:vMerge w:val="restar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0.546</w:t>
            </w:r>
          </w:p>
        </w:tc>
      </w:tr>
      <w:tr w:rsidR="00B42B5A" w:rsidRPr="0007264C" w:rsidTr="005F7322">
        <w:trPr>
          <w:trHeight w:val="198"/>
        </w:trPr>
        <w:tc>
          <w:tcPr>
            <w:tcW w:w="1778" w:type="dxa"/>
            <w:vMerge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102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13.3</w:t>
            </w:r>
          </w:p>
        </w:tc>
        <w:tc>
          <w:tcPr>
            <w:tcW w:w="102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24.2</w:t>
            </w:r>
          </w:p>
        </w:tc>
        <w:tc>
          <w:tcPr>
            <w:tcW w:w="1010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76" w:type="dxa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</w:rPr>
              <w:t>20.0</w:t>
            </w:r>
          </w:p>
        </w:tc>
        <w:tc>
          <w:tcPr>
            <w:tcW w:w="965" w:type="dxa"/>
            <w:vMerge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:rsidR="00B42B5A" w:rsidRPr="0007264C" w:rsidRDefault="00B42B5A" w:rsidP="00B42B5A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07264C">
        <w:rPr>
          <w:rFonts w:ascii="Arial" w:hAnsi="Arial" w:cs="Arial"/>
          <w:b/>
          <w:bCs/>
          <w:color w:val="000000" w:themeColor="text1"/>
        </w:rPr>
        <w:t>Table 3. Relationships between the RS35343655 Gene Polymorphism and BCG Treatment Responsiveness</w:t>
      </w:r>
    </w:p>
    <w:p w:rsidR="00B42B5A" w:rsidRPr="0007264C" w:rsidRDefault="00B42B5A" w:rsidP="00B42B5A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07264C">
        <w:rPr>
          <w:rFonts w:ascii="Arial" w:hAnsi="Arial" w:cs="Arial"/>
          <w:b/>
          <w:bCs/>
          <w:color w:val="000000" w:themeColor="text1"/>
        </w:rPr>
        <w:t>n: Number of samples, p: Values of significance with the difference of each group</w:t>
      </w:r>
      <w:r w:rsidRPr="0007264C">
        <w:rPr>
          <w:rFonts w:ascii="Arial" w:hAnsi="Arial" w:cs="Arial"/>
          <w:b/>
          <w:bCs/>
          <w:color w:val="000000" w:themeColor="text1"/>
        </w:rPr>
        <w:br w:type="page"/>
      </w:r>
    </w:p>
    <w:tbl>
      <w:tblPr>
        <w:tblStyle w:val="TabloKlavuzu"/>
        <w:tblW w:w="5498" w:type="pct"/>
        <w:tblBorders>
          <w:insideV w:val="none" w:sz="0" w:space="0" w:color="auto"/>
        </w:tblBorders>
        <w:tblLook w:val="04A0"/>
      </w:tblPr>
      <w:tblGrid>
        <w:gridCol w:w="4500"/>
        <w:gridCol w:w="1591"/>
        <w:gridCol w:w="2478"/>
        <w:gridCol w:w="1644"/>
      </w:tblGrid>
      <w:tr w:rsidR="00B42B5A" w:rsidRPr="0007264C" w:rsidTr="005F7322">
        <w:tc>
          <w:tcPr>
            <w:tcW w:w="2203" w:type="pct"/>
            <w:vAlign w:val="center"/>
          </w:tcPr>
          <w:p w:rsidR="00B42B5A" w:rsidRPr="0007264C" w:rsidRDefault="00B42B5A" w:rsidP="005F7322">
            <w:pPr>
              <w:spacing w:line="480" w:lineRule="auto"/>
              <w:ind w:firstLine="709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</w:pPr>
          </w:p>
        </w:tc>
        <w:tc>
          <w:tcPr>
            <w:tcW w:w="779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  <w:t>Number of patients (n=53)</w:t>
            </w:r>
          </w:p>
        </w:tc>
        <w:tc>
          <w:tcPr>
            <w:tcW w:w="1213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FN level</w:t>
            </w:r>
          </w:p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Mean ±Standard Deviation</w:t>
            </w:r>
          </w:p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(ng/ml)</w:t>
            </w:r>
          </w:p>
        </w:tc>
        <w:tc>
          <w:tcPr>
            <w:tcW w:w="805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  <w:t>p</w:t>
            </w:r>
          </w:p>
        </w:tc>
      </w:tr>
      <w:tr w:rsidR="00B42B5A" w:rsidRPr="0007264C" w:rsidTr="005F7322">
        <w:tc>
          <w:tcPr>
            <w:tcW w:w="2203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  <w:t>Early Relapse (First six months)</w:t>
            </w:r>
          </w:p>
        </w:tc>
        <w:tc>
          <w:tcPr>
            <w:tcW w:w="779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  <w:t>21</w:t>
            </w:r>
          </w:p>
        </w:tc>
        <w:tc>
          <w:tcPr>
            <w:tcW w:w="1213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  <w:t>102 ±86.1</w:t>
            </w:r>
          </w:p>
        </w:tc>
        <w:tc>
          <w:tcPr>
            <w:tcW w:w="805" w:type="pct"/>
            <w:vMerge w:val="restar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  <w:t>&lt;0.001</w:t>
            </w:r>
          </w:p>
        </w:tc>
      </w:tr>
      <w:tr w:rsidR="00B42B5A" w:rsidRPr="0007264C" w:rsidTr="005F7322">
        <w:tc>
          <w:tcPr>
            <w:tcW w:w="2203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tr-TR"/>
              </w:rPr>
              <w:t>Late Relapse (relapses after six months)</w:t>
            </w:r>
          </w:p>
        </w:tc>
        <w:tc>
          <w:tcPr>
            <w:tcW w:w="779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  <w:t>32</w:t>
            </w:r>
          </w:p>
        </w:tc>
        <w:tc>
          <w:tcPr>
            <w:tcW w:w="1213" w:type="pct"/>
            <w:vAlign w:val="center"/>
          </w:tcPr>
          <w:p w:rsidR="00B42B5A" w:rsidRPr="0007264C" w:rsidRDefault="00B42B5A" w:rsidP="005F7322">
            <w:pPr>
              <w:spacing w:line="48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</w:pPr>
            <w:r w:rsidRPr="0007264C"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  <w:t>44.7 ±11.8</w:t>
            </w:r>
          </w:p>
        </w:tc>
        <w:tc>
          <w:tcPr>
            <w:tcW w:w="805" w:type="pct"/>
            <w:vMerge/>
            <w:vAlign w:val="center"/>
          </w:tcPr>
          <w:p w:rsidR="00B42B5A" w:rsidRPr="0007264C" w:rsidRDefault="00B42B5A" w:rsidP="005F7322">
            <w:pPr>
              <w:spacing w:line="480" w:lineRule="auto"/>
              <w:ind w:firstLine="709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tr-TR"/>
              </w:rPr>
            </w:pPr>
          </w:p>
        </w:tc>
      </w:tr>
    </w:tbl>
    <w:p w:rsidR="00B42B5A" w:rsidRPr="0007264C" w:rsidRDefault="00B42B5A" w:rsidP="00B42B5A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07264C">
        <w:rPr>
          <w:rFonts w:ascii="Arial" w:hAnsi="Arial" w:cs="Arial"/>
          <w:b/>
          <w:bCs/>
          <w:color w:val="000000" w:themeColor="text1"/>
        </w:rPr>
        <w:t>Table 4. Statistical analysis of fibronectin levels and recurrence durations in patients with a history of recurrence</w:t>
      </w:r>
    </w:p>
    <w:p w:rsidR="001B5474" w:rsidRPr="007B1487" w:rsidRDefault="00B42B5A" w:rsidP="007B1487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07264C">
        <w:rPr>
          <w:rFonts w:ascii="Arial" w:hAnsi="Arial" w:cs="Arial"/>
          <w:b/>
          <w:bCs/>
          <w:color w:val="000000" w:themeColor="text1"/>
        </w:rPr>
        <w:t>n: Number of samples, p: Values of significance with the difference of each group</w:t>
      </w:r>
    </w:p>
    <w:sectPr w:rsidR="001B5474" w:rsidRPr="007B1487" w:rsidSect="0007264C">
      <w:footerReference w:type="default" r:id="rId4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5170037"/>
      <w:docPartObj>
        <w:docPartGallery w:val="Page Numbers (Bottom of Page)"/>
        <w:docPartUnique/>
      </w:docPartObj>
    </w:sdtPr>
    <w:sdtEndPr/>
    <w:sdtContent>
      <w:p w:rsidR="00F0678D" w:rsidRDefault="007B1487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F0678D" w:rsidRDefault="007B1487">
    <w:pPr>
      <w:pStyle w:val="Altbilgi"/>
    </w:pPr>
  </w:p>
  <w:p w:rsidR="00405F9D" w:rsidRDefault="007B1487"/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compat/>
  <w:rsids>
    <w:rsidRoot w:val="00B42B5A"/>
    <w:rsid w:val="001B5474"/>
    <w:rsid w:val="007B1487"/>
    <w:rsid w:val="00B42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B5A"/>
    <w:pPr>
      <w:spacing w:after="0" w:line="240" w:lineRule="auto"/>
    </w:pPr>
    <w:rPr>
      <w:kern w:val="2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42B5A"/>
    <w:pPr>
      <w:spacing w:after="0" w:line="240" w:lineRule="auto"/>
    </w:pPr>
    <w:rPr>
      <w:rFonts w:eastAsiaTheme="minorEastAsia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FRAFFF">
    <w:name w:val="PARAFRAFFF"/>
    <w:basedOn w:val="GvdeMetni"/>
    <w:uiPriority w:val="1"/>
    <w:qFormat/>
    <w:rsid w:val="00B42B5A"/>
    <w:pPr>
      <w:widowControl w:val="0"/>
      <w:autoSpaceDE w:val="0"/>
      <w:autoSpaceDN w:val="0"/>
      <w:spacing w:after="0" w:line="360" w:lineRule="auto"/>
      <w:ind w:firstLine="709"/>
      <w:jc w:val="both"/>
    </w:pPr>
    <w:rPr>
      <w:rFonts w:ascii="Arial" w:eastAsia="Arial" w:hAnsi="Arial" w:cs="Arial"/>
      <w:kern w:val="0"/>
    </w:rPr>
  </w:style>
  <w:style w:type="paragraph" w:styleId="Altbilgi">
    <w:name w:val="footer"/>
    <w:basedOn w:val="Normal"/>
    <w:link w:val="AltbilgiChar"/>
    <w:uiPriority w:val="99"/>
    <w:unhideWhenUsed/>
    <w:rsid w:val="00B42B5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42B5A"/>
    <w:rPr>
      <w:kern w:val="2"/>
      <w:sz w:val="24"/>
      <w:szCs w:val="24"/>
    </w:rPr>
  </w:style>
  <w:style w:type="paragraph" w:styleId="GvdeMetni">
    <w:name w:val="Body Text"/>
    <w:basedOn w:val="Normal"/>
    <w:link w:val="GvdeMetniChar"/>
    <w:uiPriority w:val="99"/>
    <w:semiHidden/>
    <w:unhideWhenUsed/>
    <w:rsid w:val="00B42B5A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B42B5A"/>
    <w:rPr>
      <w:kern w:val="2"/>
      <w:sz w:val="24"/>
      <w:szCs w:val="24"/>
    </w:rPr>
  </w:style>
  <w:style w:type="character" w:styleId="SatrNumaras">
    <w:name w:val="line number"/>
    <w:basedOn w:val="VarsaylanParagrafYazTipi"/>
    <w:uiPriority w:val="99"/>
    <w:semiHidden/>
    <w:unhideWhenUsed/>
    <w:rsid w:val="00B42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plk-uroandro</dc:creator>
  <cp:lastModifiedBy>plk-uroandro</cp:lastModifiedBy>
  <cp:revision>2</cp:revision>
  <dcterms:created xsi:type="dcterms:W3CDTF">2024-06-13T05:41:00Z</dcterms:created>
  <dcterms:modified xsi:type="dcterms:W3CDTF">2024-06-13T05:42:00Z</dcterms:modified>
</cp:coreProperties>
</file>