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E5D58" w14:textId="4A0F4618" w:rsidR="00CD6E8C" w:rsidRDefault="00CD6E8C" w:rsidP="006423A2">
      <w:pPr>
        <w:spacing w:line="480" w:lineRule="auto"/>
        <w:rPr>
          <w:rFonts w:ascii="Arial" w:hAnsi="Arial" w:cs="Arial"/>
          <w:b/>
          <w:bCs/>
        </w:rPr>
      </w:pPr>
    </w:p>
    <w:tbl>
      <w:tblPr>
        <w:tblStyle w:val="TabloKlavuzu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2078"/>
        <w:gridCol w:w="2081"/>
        <w:gridCol w:w="2113"/>
      </w:tblGrid>
      <w:tr w:rsidR="006423A2" w:rsidRPr="002B28B8" w14:paraId="49169AE8" w14:textId="77777777" w:rsidTr="00EF6CEF">
        <w:trPr>
          <w:jc w:val="center"/>
        </w:trPr>
        <w:tc>
          <w:tcPr>
            <w:tcW w:w="4868" w:type="dxa"/>
            <w:gridSpan w:val="2"/>
            <w:vAlign w:val="center"/>
          </w:tcPr>
          <w:p w14:paraId="0C20CD7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2081" w:type="dxa"/>
            <w:vAlign w:val="center"/>
          </w:tcPr>
          <w:p w14:paraId="61773B5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113" w:type="dxa"/>
            <w:vAlign w:val="center"/>
          </w:tcPr>
          <w:p w14:paraId="362BCAF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6423A2" w:rsidRPr="002B28B8" w14:paraId="6742E86D" w14:textId="77777777" w:rsidTr="00EF6CEF">
        <w:trPr>
          <w:trHeight w:val="408"/>
          <w:jc w:val="center"/>
        </w:trPr>
        <w:tc>
          <w:tcPr>
            <w:tcW w:w="2790" w:type="dxa"/>
            <w:vMerge w:val="restart"/>
            <w:vAlign w:val="center"/>
          </w:tcPr>
          <w:p w14:paraId="0341981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Occupational exposure</w:t>
            </w:r>
          </w:p>
        </w:tc>
        <w:tc>
          <w:tcPr>
            <w:tcW w:w="2078" w:type="dxa"/>
            <w:vAlign w:val="center"/>
          </w:tcPr>
          <w:p w14:paraId="0673793B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16FE70A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113" w:type="dxa"/>
            <w:vAlign w:val="center"/>
          </w:tcPr>
          <w:p w14:paraId="3A3390B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95.9</w:t>
            </w:r>
          </w:p>
        </w:tc>
      </w:tr>
      <w:tr w:rsidR="006423A2" w:rsidRPr="002B28B8" w14:paraId="405B17F4" w14:textId="77777777" w:rsidTr="00EF6CEF">
        <w:trPr>
          <w:trHeight w:val="408"/>
          <w:jc w:val="center"/>
        </w:trPr>
        <w:tc>
          <w:tcPr>
            <w:tcW w:w="2790" w:type="dxa"/>
            <w:vMerge/>
            <w:vAlign w:val="center"/>
          </w:tcPr>
          <w:p w14:paraId="0CDB9D94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6038F38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03E38E2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13" w:type="dxa"/>
            <w:vAlign w:val="center"/>
          </w:tcPr>
          <w:p w14:paraId="4BD187FF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4.1</w:t>
            </w:r>
          </w:p>
        </w:tc>
      </w:tr>
      <w:tr w:rsidR="006423A2" w:rsidRPr="002B28B8" w14:paraId="397A2CA5" w14:textId="77777777" w:rsidTr="00EF6CEF">
        <w:trPr>
          <w:trHeight w:val="402"/>
          <w:jc w:val="center"/>
        </w:trPr>
        <w:tc>
          <w:tcPr>
            <w:tcW w:w="2790" w:type="dxa"/>
            <w:vMerge w:val="restart"/>
            <w:vAlign w:val="center"/>
          </w:tcPr>
          <w:p w14:paraId="01B2CF1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Chronic urinary tract infection</w:t>
            </w:r>
          </w:p>
        </w:tc>
        <w:tc>
          <w:tcPr>
            <w:tcW w:w="2078" w:type="dxa"/>
            <w:vAlign w:val="center"/>
          </w:tcPr>
          <w:p w14:paraId="43BEC0C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07F75B7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113" w:type="dxa"/>
            <w:vAlign w:val="center"/>
          </w:tcPr>
          <w:p w14:paraId="377C5FF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89.0</w:t>
            </w:r>
          </w:p>
        </w:tc>
      </w:tr>
      <w:tr w:rsidR="006423A2" w:rsidRPr="002B28B8" w14:paraId="2AFB7602" w14:textId="77777777" w:rsidTr="00EF6CEF">
        <w:trPr>
          <w:trHeight w:val="402"/>
          <w:jc w:val="center"/>
        </w:trPr>
        <w:tc>
          <w:tcPr>
            <w:tcW w:w="2790" w:type="dxa"/>
            <w:vMerge/>
            <w:vAlign w:val="center"/>
          </w:tcPr>
          <w:p w14:paraId="1F0F8C5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3287834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13C411F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13" w:type="dxa"/>
            <w:vAlign w:val="center"/>
          </w:tcPr>
          <w:p w14:paraId="63F0E12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11.0</w:t>
            </w:r>
          </w:p>
        </w:tc>
      </w:tr>
      <w:tr w:rsidR="006423A2" w:rsidRPr="002B28B8" w14:paraId="302F8B77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0BEAEB7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History of radiotherapy</w:t>
            </w:r>
          </w:p>
        </w:tc>
        <w:tc>
          <w:tcPr>
            <w:tcW w:w="2078" w:type="dxa"/>
            <w:vAlign w:val="center"/>
          </w:tcPr>
          <w:p w14:paraId="4E580BA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22C49E5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113" w:type="dxa"/>
            <w:vAlign w:val="center"/>
          </w:tcPr>
          <w:p w14:paraId="6BFBA68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95.9</w:t>
            </w:r>
          </w:p>
        </w:tc>
      </w:tr>
      <w:tr w:rsidR="006423A2" w:rsidRPr="002B28B8" w14:paraId="05F01438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2B061D9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24A9D6A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229D031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13" w:type="dxa"/>
            <w:vAlign w:val="center"/>
          </w:tcPr>
          <w:p w14:paraId="7C8B455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4.1</w:t>
            </w:r>
          </w:p>
        </w:tc>
      </w:tr>
      <w:tr w:rsidR="006423A2" w:rsidRPr="002B28B8" w14:paraId="1B80A23F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6644545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History of chemotherapy</w:t>
            </w:r>
          </w:p>
        </w:tc>
        <w:tc>
          <w:tcPr>
            <w:tcW w:w="2078" w:type="dxa"/>
            <w:vAlign w:val="center"/>
          </w:tcPr>
          <w:p w14:paraId="6663E5E4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217751B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113" w:type="dxa"/>
            <w:vAlign w:val="center"/>
          </w:tcPr>
          <w:p w14:paraId="7985C26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95.9</w:t>
            </w:r>
          </w:p>
        </w:tc>
      </w:tr>
      <w:tr w:rsidR="006423A2" w:rsidRPr="002B28B8" w14:paraId="4A4ED20B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30DD0BD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2B1C702E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7D08613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13" w:type="dxa"/>
            <w:vAlign w:val="center"/>
          </w:tcPr>
          <w:p w14:paraId="45863FE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4.1</w:t>
            </w:r>
          </w:p>
        </w:tc>
      </w:tr>
      <w:tr w:rsidR="006423A2" w:rsidRPr="002B28B8" w14:paraId="605885A8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4CDCC84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Family history</w:t>
            </w:r>
          </w:p>
        </w:tc>
        <w:tc>
          <w:tcPr>
            <w:tcW w:w="2078" w:type="dxa"/>
            <w:vAlign w:val="center"/>
          </w:tcPr>
          <w:p w14:paraId="4CFB8B2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6915543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2113" w:type="dxa"/>
            <w:vAlign w:val="center"/>
          </w:tcPr>
          <w:p w14:paraId="724BC885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87.7</w:t>
            </w:r>
          </w:p>
        </w:tc>
      </w:tr>
      <w:tr w:rsidR="006423A2" w:rsidRPr="002B28B8" w14:paraId="0F6E2C30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3F0C7B1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5CDADAE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530C969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13" w:type="dxa"/>
            <w:vAlign w:val="center"/>
          </w:tcPr>
          <w:p w14:paraId="24F96A42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12.3</w:t>
            </w:r>
          </w:p>
        </w:tc>
      </w:tr>
      <w:tr w:rsidR="006423A2" w:rsidRPr="002B28B8" w14:paraId="75B00C01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10A1E87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Pathological tumor grade</w:t>
            </w:r>
          </w:p>
        </w:tc>
        <w:tc>
          <w:tcPr>
            <w:tcW w:w="2078" w:type="dxa"/>
            <w:vAlign w:val="center"/>
          </w:tcPr>
          <w:p w14:paraId="2E60959E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Low grade</w:t>
            </w:r>
          </w:p>
        </w:tc>
        <w:tc>
          <w:tcPr>
            <w:tcW w:w="2081" w:type="dxa"/>
            <w:vAlign w:val="center"/>
          </w:tcPr>
          <w:p w14:paraId="4A58AD8F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113" w:type="dxa"/>
            <w:vAlign w:val="center"/>
          </w:tcPr>
          <w:p w14:paraId="470714A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50.7</w:t>
            </w:r>
          </w:p>
        </w:tc>
      </w:tr>
      <w:tr w:rsidR="006423A2" w:rsidRPr="002B28B8" w14:paraId="758C7D0A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7DC96B2F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3321EEC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High grade</w:t>
            </w:r>
          </w:p>
        </w:tc>
        <w:tc>
          <w:tcPr>
            <w:tcW w:w="2081" w:type="dxa"/>
            <w:vAlign w:val="center"/>
          </w:tcPr>
          <w:p w14:paraId="37D1EFC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113" w:type="dxa"/>
            <w:vAlign w:val="center"/>
          </w:tcPr>
          <w:p w14:paraId="0BE89AEF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49.3</w:t>
            </w:r>
          </w:p>
        </w:tc>
      </w:tr>
      <w:tr w:rsidR="006423A2" w:rsidRPr="002B28B8" w14:paraId="408F8BDF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29A5EE02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CIS</w:t>
            </w:r>
          </w:p>
        </w:tc>
        <w:tc>
          <w:tcPr>
            <w:tcW w:w="2078" w:type="dxa"/>
            <w:vAlign w:val="center"/>
          </w:tcPr>
          <w:p w14:paraId="5DA8827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24A2E55B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113" w:type="dxa"/>
            <w:vAlign w:val="center"/>
          </w:tcPr>
          <w:p w14:paraId="184595C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90.4</w:t>
            </w:r>
          </w:p>
        </w:tc>
      </w:tr>
      <w:tr w:rsidR="006423A2" w:rsidRPr="002B28B8" w14:paraId="785031F8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5DF5B3A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35FA6FC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639FECA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13" w:type="dxa"/>
            <w:vAlign w:val="center"/>
          </w:tcPr>
          <w:p w14:paraId="0946B31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9.6</w:t>
            </w:r>
          </w:p>
        </w:tc>
      </w:tr>
      <w:tr w:rsidR="006423A2" w:rsidRPr="002B28B8" w14:paraId="11D1DF70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3799EA09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Papillary/Solid</w:t>
            </w:r>
          </w:p>
        </w:tc>
        <w:tc>
          <w:tcPr>
            <w:tcW w:w="2078" w:type="dxa"/>
            <w:vAlign w:val="center"/>
          </w:tcPr>
          <w:p w14:paraId="26B4272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Papillary</w:t>
            </w:r>
          </w:p>
        </w:tc>
        <w:tc>
          <w:tcPr>
            <w:tcW w:w="2081" w:type="dxa"/>
            <w:vAlign w:val="center"/>
          </w:tcPr>
          <w:p w14:paraId="684F9CE5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113" w:type="dxa"/>
            <w:vAlign w:val="center"/>
          </w:tcPr>
          <w:p w14:paraId="5142FC32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89.0</w:t>
            </w:r>
          </w:p>
        </w:tc>
      </w:tr>
      <w:tr w:rsidR="006423A2" w:rsidRPr="002B28B8" w14:paraId="796CD4A2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3B7573E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23ED1355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Solid</w:t>
            </w:r>
          </w:p>
        </w:tc>
        <w:tc>
          <w:tcPr>
            <w:tcW w:w="2081" w:type="dxa"/>
            <w:vAlign w:val="center"/>
          </w:tcPr>
          <w:p w14:paraId="590B5B4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13" w:type="dxa"/>
            <w:vAlign w:val="center"/>
          </w:tcPr>
          <w:p w14:paraId="23B88902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11.0</w:t>
            </w:r>
          </w:p>
        </w:tc>
      </w:tr>
      <w:tr w:rsidR="006423A2" w:rsidRPr="002B28B8" w14:paraId="27828CE0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5F2652EB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Tumor size</w:t>
            </w:r>
          </w:p>
        </w:tc>
        <w:tc>
          <w:tcPr>
            <w:tcW w:w="2078" w:type="dxa"/>
            <w:vAlign w:val="center"/>
          </w:tcPr>
          <w:p w14:paraId="5C47FC2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&lt;3cm</w:t>
            </w:r>
          </w:p>
        </w:tc>
        <w:tc>
          <w:tcPr>
            <w:tcW w:w="2081" w:type="dxa"/>
            <w:vAlign w:val="center"/>
          </w:tcPr>
          <w:p w14:paraId="50A23F6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113" w:type="dxa"/>
            <w:vAlign w:val="center"/>
          </w:tcPr>
          <w:p w14:paraId="7B668829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60.3</w:t>
            </w:r>
          </w:p>
        </w:tc>
      </w:tr>
      <w:tr w:rsidR="006423A2" w:rsidRPr="002B28B8" w14:paraId="37A2286E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56632A24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35548CD5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≥ 3cm</w:t>
            </w:r>
          </w:p>
        </w:tc>
        <w:tc>
          <w:tcPr>
            <w:tcW w:w="2081" w:type="dxa"/>
            <w:vAlign w:val="center"/>
          </w:tcPr>
          <w:p w14:paraId="07AB947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center"/>
          </w:tcPr>
          <w:p w14:paraId="5C6C090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39.7</w:t>
            </w:r>
          </w:p>
        </w:tc>
      </w:tr>
      <w:tr w:rsidR="006423A2" w:rsidRPr="002B28B8" w14:paraId="2D5BDA13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62F5DF39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Number of tumor formations</w:t>
            </w:r>
          </w:p>
        </w:tc>
        <w:tc>
          <w:tcPr>
            <w:tcW w:w="2078" w:type="dxa"/>
            <w:vAlign w:val="center"/>
          </w:tcPr>
          <w:p w14:paraId="0D8170B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Solitary</w:t>
            </w:r>
          </w:p>
        </w:tc>
        <w:tc>
          <w:tcPr>
            <w:tcW w:w="2081" w:type="dxa"/>
            <w:vAlign w:val="center"/>
          </w:tcPr>
          <w:p w14:paraId="39CCE7C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113" w:type="dxa"/>
            <w:vAlign w:val="center"/>
          </w:tcPr>
          <w:p w14:paraId="04E3AC7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54.8</w:t>
            </w:r>
          </w:p>
        </w:tc>
      </w:tr>
      <w:tr w:rsidR="006423A2" w:rsidRPr="002B28B8" w14:paraId="2BBC86CF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37C9CF0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5417843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Multiple</w:t>
            </w:r>
          </w:p>
        </w:tc>
        <w:tc>
          <w:tcPr>
            <w:tcW w:w="2081" w:type="dxa"/>
            <w:vAlign w:val="center"/>
          </w:tcPr>
          <w:p w14:paraId="253777C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113" w:type="dxa"/>
            <w:vAlign w:val="center"/>
          </w:tcPr>
          <w:p w14:paraId="5BFA4882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45.2</w:t>
            </w:r>
          </w:p>
        </w:tc>
      </w:tr>
      <w:tr w:rsidR="006423A2" w:rsidRPr="002B28B8" w14:paraId="4B797D58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7A8C760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Re-Tur (Transurethral resection) story</w:t>
            </w:r>
          </w:p>
        </w:tc>
        <w:tc>
          <w:tcPr>
            <w:tcW w:w="2078" w:type="dxa"/>
            <w:vAlign w:val="center"/>
          </w:tcPr>
          <w:p w14:paraId="7999120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0054AF5F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113" w:type="dxa"/>
            <w:vAlign w:val="center"/>
          </w:tcPr>
          <w:p w14:paraId="4BD87E7E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53.4</w:t>
            </w:r>
          </w:p>
        </w:tc>
      </w:tr>
      <w:tr w:rsidR="006423A2" w:rsidRPr="002B28B8" w14:paraId="479AE088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0ECA6B7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06898D8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6607FB1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113" w:type="dxa"/>
            <w:vAlign w:val="center"/>
          </w:tcPr>
          <w:p w14:paraId="5B397DC5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46.6</w:t>
            </w:r>
          </w:p>
        </w:tc>
      </w:tr>
      <w:tr w:rsidR="006423A2" w:rsidRPr="002B28B8" w14:paraId="0224052A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1BA4A5D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History of intravesical chemotherapy</w:t>
            </w:r>
          </w:p>
        </w:tc>
        <w:tc>
          <w:tcPr>
            <w:tcW w:w="2078" w:type="dxa"/>
            <w:vAlign w:val="center"/>
          </w:tcPr>
          <w:p w14:paraId="1679DF54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5C7946E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113" w:type="dxa"/>
            <w:vAlign w:val="center"/>
          </w:tcPr>
          <w:p w14:paraId="33A2A86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97.3</w:t>
            </w:r>
          </w:p>
        </w:tc>
      </w:tr>
      <w:tr w:rsidR="006423A2" w:rsidRPr="002B28B8" w14:paraId="0A2125FC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3AE6CC2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4332372E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787BAFBB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3" w:type="dxa"/>
            <w:vAlign w:val="center"/>
          </w:tcPr>
          <w:p w14:paraId="3C1198D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2.7</w:t>
            </w:r>
          </w:p>
        </w:tc>
      </w:tr>
      <w:tr w:rsidR="006423A2" w:rsidRPr="002B28B8" w14:paraId="2539AEF4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34BAD8A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History of recurrence</w:t>
            </w:r>
          </w:p>
        </w:tc>
        <w:tc>
          <w:tcPr>
            <w:tcW w:w="2078" w:type="dxa"/>
            <w:vAlign w:val="center"/>
          </w:tcPr>
          <w:p w14:paraId="7F16BA5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25F85C0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113" w:type="dxa"/>
            <w:vAlign w:val="center"/>
          </w:tcPr>
          <w:p w14:paraId="43EE3A2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27.4</w:t>
            </w:r>
          </w:p>
        </w:tc>
      </w:tr>
      <w:tr w:rsidR="006423A2" w:rsidRPr="002B28B8" w14:paraId="02E75205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30F996B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7218B12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385196A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113" w:type="dxa"/>
            <w:vAlign w:val="center"/>
          </w:tcPr>
          <w:p w14:paraId="2D0DBBB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72.6</w:t>
            </w:r>
          </w:p>
        </w:tc>
      </w:tr>
      <w:tr w:rsidR="006423A2" w:rsidRPr="002B28B8" w14:paraId="097535A2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7F424AE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History of progression</w:t>
            </w:r>
          </w:p>
        </w:tc>
        <w:tc>
          <w:tcPr>
            <w:tcW w:w="2078" w:type="dxa"/>
            <w:vAlign w:val="center"/>
          </w:tcPr>
          <w:p w14:paraId="2D416062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401B6AC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113" w:type="dxa"/>
            <w:vAlign w:val="center"/>
          </w:tcPr>
          <w:p w14:paraId="76DCA364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86.3</w:t>
            </w:r>
          </w:p>
        </w:tc>
      </w:tr>
      <w:tr w:rsidR="006423A2" w:rsidRPr="002B28B8" w14:paraId="30F79288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7097368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7413DF76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3970ACD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13" w:type="dxa"/>
            <w:vAlign w:val="center"/>
          </w:tcPr>
          <w:p w14:paraId="32A2F75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13.7</w:t>
            </w:r>
          </w:p>
        </w:tc>
      </w:tr>
      <w:tr w:rsidR="006423A2" w:rsidRPr="002B28B8" w14:paraId="36EDCE6C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24BD41A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refractory tumor</w:t>
            </w:r>
          </w:p>
        </w:tc>
        <w:tc>
          <w:tcPr>
            <w:tcW w:w="2078" w:type="dxa"/>
            <w:vAlign w:val="center"/>
          </w:tcPr>
          <w:p w14:paraId="0B8C59C5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225C939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113" w:type="dxa"/>
            <w:vAlign w:val="center"/>
          </w:tcPr>
          <w:p w14:paraId="5496C419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74.0</w:t>
            </w:r>
          </w:p>
        </w:tc>
      </w:tr>
      <w:tr w:rsidR="006423A2" w:rsidRPr="002B28B8" w14:paraId="3665359E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5C14C8D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2468F3F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6964E04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113" w:type="dxa"/>
            <w:vAlign w:val="center"/>
          </w:tcPr>
          <w:p w14:paraId="5DFC62C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26.0</w:t>
            </w:r>
          </w:p>
        </w:tc>
      </w:tr>
      <w:tr w:rsidR="006423A2" w:rsidRPr="002B28B8" w14:paraId="0DD34FC2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63C6CE61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unresponsive tumor</w:t>
            </w:r>
          </w:p>
        </w:tc>
        <w:tc>
          <w:tcPr>
            <w:tcW w:w="2078" w:type="dxa"/>
            <w:vAlign w:val="center"/>
          </w:tcPr>
          <w:p w14:paraId="5CE8533A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57CDB8C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113" w:type="dxa"/>
            <w:vAlign w:val="center"/>
          </w:tcPr>
          <w:p w14:paraId="0A377D6C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74.0</w:t>
            </w:r>
          </w:p>
        </w:tc>
      </w:tr>
      <w:tr w:rsidR="006423A2" w:rsidRPr="002B28B8" w14:paraId="35221B35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7EA78FC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7D44B2D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4F8ED12E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113" w:type="dxa"/>
            <w:vAlign w:val="center"/>
          </w:tcPr>
          <w:p w14:paraId="34FBA628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26.0</w:t>
            </w:r>
          </w:p>
        </w:tc>
      </w:tr>
      <w:tr w:rsidR="006423A2" w:rsidRPr="002B28B8" w14:paraId="32344DE5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787A8F7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relapsing tumor</w:t>
            </w:r>
          </w:p>
        </w:tc>
        <w:tc>
          <w:tcPr>
            <w:tcW w:w="2078" w:type="dxa"/>
            <w:vAlign w:val="center"/>
          </w:tcPr>
          <w:p w14:paraId="10DE2EC2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36B4853F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113" w:type="dxa"/>
            <w:vAlign w:val="center"/>
          </w:tcPr>
          <w:p w14:paraId="4668814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6423A2" w:rsidRPr="002B28B8" w14:paraId="729666E2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1B9D208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75F4FEA7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52DA4E4B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13" w:type="dxa"/>
            <w:vAlign w:val="center"/>
          </w:tcPr>
          <w:p w14:paraId="1BFA763B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0.0</w:t>
            </w:r>
          </w:p>
        </w:tc>
      </w:tr>
      <w:tr w:rsidR="006423A2" w:rsidRPr="002B28B8" w14:paraId="3F877271" w14:textId="77777777" w:rsidTr="00EF6CEF">
        <w:trPr>
          <w:trHeight w:val="204"/>
          <w:jc w:val="center"/>
        </w:trPr>
        <w:tc>
          <w:tcPr>
            <w:tcW w:w="2790" w:type="dxa"/>
            <w:vMerge w:val="restart"/>
            <w:vAlign w:val="center"/>
          </w:tcPr>
          <w:p w14:paraId="0EF5E7D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intolerance tumor</w:t>
            </w:r>
          </w:p>
        </w:tc>
        <w:tc>
          <w:tcPr>
            <w:tcW w:w="2078" w:type="dxa"/>
            <w:vAlign w:val="center"/>
          </w:tcPr>
          <w:p w14:paraId="0ACAC5D9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81" w:type="dxa"/>
            <w:vAlign w:val="center"/>
          </w:tcPr>
          <w:p w14:paraId="2014BA8D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113" w:type="dxa"/>
            <w:vAlign w:val="center"/>
          </w:tcPr>
          <w:p w14:paraId="564566D9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80.8</w:t>
            </w:r>
          </w:p>
        </w:tc>
      </w:tr>
      <w:tr w:rsidR="006423A2" w:rsidRPr="002B28B8" w14:paraId="71340009" w14:textId="77777777" w:rsidTr="00EF6CEF">
        <w:trPr>
          <w:trHeight w:val="204"/>
          <w:jc w:val="center"/>
        </w:trPr>
        <w:tc>
          <w:tcPr>
            <w:tcW w:w="2790" w:type="dxa"/>
            <w:vMerge/>
            <w:vAlign w:val="center"/>
          </w:tcPr>
          <w:p w14:paraId="4A3E2A33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8" w:type="dxa"/>
            <w:vAlign w:val="center"/>
          </w:tcPr>
          <w:p w14:paraId="4DE5B580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81" w:type="dxa"/>
            <w:vAlign w:val="center"/>
          </w:tcPr>
          <w:p w14:paraId="0070DA94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113" w:type="dxa"/>
            <w:vAlign w:val="center"/>
          </w:tcPr>
          <w:p w14:paraId="047E0289" w14:textId="77777777" w:rsidR="006423A2" w:rsidRPr="002B28B8" w:rsidRDefault="006423A2" w:rsidP="006423A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B28B8">
              <w:rPr>
                <w:rFonts w:ascii="Arial" w:hAnsi="Arial" w:cs="Arial"/>
                <w:color w:val="000000" w:themeColor="text1"/>
                <w:sz w:val="24"/>
                <w:szCs w:val="24"/>
              </w:rPr>
              <w:t>19.2</w:t>
            </w:r>
          </w:p>
        </w:tc>
      </w:tr>
    </w:tbl>
    <w:p w14:paraId="6DB0C161" w14:textId="5CDA26D3" w:rsidR="00EF6CEF" w:rsidRDefault="00EF6CEF" w:rsidP="006423A2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proofErr w:type="spellStart"/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S</w:t>
      </w:r>
      <w:r w:rsidRPr="00937748">
        <w:rPr>
          <w:rFonts w:ascii="Arial" w:hAnsi="Arial" w:cs="Arial"/>
          <w:b/>
          <w:bCs/>
          <w:color w:val="000000" w:themeColor="text1"/>
          <w:shd w:val="clear" w:color="auto" w:fill="FFFFFF"/>
        </w:rPr>
        <w:t>upplementary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Table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</w:t>
      </w:r>
      <w:r w:rsidRPr="002B28B8">
        <w:rPr>
          <w:rFonts w:ascii="Arial" w:hAnsi="Arial" w:cs="Arial"/>
          <w:b/>
          <w:bCs/>
        </w:rPr>
        <w:t xml:space="preserve">. </w:t>
      </w:r>
      <w:proofErr w:type="spellStart"/>
      <w:r w:rsidRPr="002B28B8">
        <w:rPr>
          <w:rFonts w:ascii="Arial" w:hAnsi="Arial" w:cs="Arial"/>
          <w:b/>
          <w:bCs/>
        </w:rPr>
        <w:t>Examination</w:t>
      </w:r>
      <w:proofErr w:type="spellEnd"/>
      <w:r w:rsidRPr="002B28B8">
        <w:rPr>
          <w:rFonts w:ascii="Arial" w:hAnsi="Arial" w:cs="Arial"/>
          <w:b/>
          <w:bCs/>
        </w:rPr>
        <w:t xml:space="preserve"> of </w:t>
      </w:r>
      <w:proofErr w:type="spellStart"/>
      <w:r>
        <w:rPr>
          <w:rFonts w:ascii="Arial" w:hAnsi="Arial" w:cs="Arial"/>
          <w:b/>
          <w:bCs/>
        </w:rPr>
        <w:t>D</w:t>
      </w:r>
      <w:r w:rsidRPr="002B28B8">
        <w:rPr>
          <w:rFonts w:ascii="Arial" w:hAnsi="Arial" w:cs="Arial"/>
          <w:b/>
          <w:bCs/>
        </w:rPr>
        <w:t>escriptive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Statistics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for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Predisposing</w:t>
      </w:r>
      <w:proofErr w:type="spellEnd"/>
      <w:r w:rsidRPr="002B28B8">
        <w:rPr>
          <w:rFonts w:ascii="Arial" w:hAnsi="Arial" w:cs="Arial"/>
          <w:b/>
          <w:bCs/>
        </w:rPr>
        <w:t xml:space="preserve"> Risk </w:t>
      </w:r>
      <w:proofErr w:type="spellStart"/>
      <w:r w:rsidRPr="002B28B8">
        <w:rPr>
          <w:rFonts w:ascii="Arial" w:hAnsi="Arial" w:cs="Arial"/>
          <w:b/>
          <w:bCs/>
        </w:rPr>
        <w:t>Factors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and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Tumoral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Characteristics</w:t>
      </w:r>
      <w:proofErr w:type="spellEnd"/>
      <w:r w:rsidRPr="002B28B8">
        <w:rPr>
          <w:rFonts w:ascii="Arial" w:hAnsi="Arial" w:cs="Arial"/>
          <w:b/>
          <w:bCs/>
        </w:rPr>
        <w:t xml:space="preserve"> of </w:t>
      </w:r>
      <w:proofErr w:type="spellStart"/>
      <w:r w:rsidRPr="002B28B8">
        <w:rPr>
          <w:rFonts w:ascii="Arial" w:hAnsi="Arial" w:cs="Arial"/>
          <w:b/>
          <w:bCs/>
        </w:rPr>
        <w:t>the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Patient</w:t>
      </w:r>
      <w:proofErr w:type="spellEnd"/>
      <w:r w:rsidRPr="002B28B8">
        <w:rPr>
          <w:rFonts w:ascii="Arial" w:hAnsi="Arial" w:cs="Arial"/>
          <w:b/>
          <w:bCs/>
        </w:rPr>
        <w:t xml:space="preserve"> </w:t>
      </w:r>
      <w:proofErr w:type="spellStart"/>
      <w:r w:rsidRPr="002B28B8">
        <w:rPr>
          <w:rFonts w:ascii="Arial" w:hAnsi="Arial" w:cs="Arial"/>
          <w:b/>
          <w:bCs/>
        </w:rPr>
        <w:t>Group</w:t>
      </w:r>
      <w:proofErr w:type="spellEnd"/>
    </w:p>
    <w:p w14:paraId="56A43E9D" w14:textId="634F20F8" w:rsidR="006423A2" w:rsidRPr="002B28B8" w:rsidRDefault="006423A2" w:rsidP="006423A2">
      <w:pPr>
        <w:spacing w:line="480" w:lineRule="auto"/>
        <w:rPr>
          <w:rFonts w:ascii="Arial" w:hAnsi="Arial" w:cs="Arial"/>
          <w:b/>
          <w:bCs/>
          <w:color w:val="FF0000"/>
        </w:rPr>
      </w:pPr>
      <w:proofErr w:type="gramStart"/>
      <w:r w:rsidRPr="002B28B8">
        <w:rPr>
          <w:rFonts w:ascii="Arial" w:hAnsi="Arial" w:cs="Arial"/>
          <w:b/>
          <w:bCs/>
          <w:color w:val="000000" w:themeColor="text1"/>
        </w:rPr>
        <w:t>n</w:t>
      </w:r>
      <w:proofErr w:type="gramEnd"/>
      <w:r w:rsidRPr="002B28B8">
        <w:rPr>
          <w:rFonts w:ascii="Arial" w:hAnsi="Arial" w:cs="Arial"/>
          <w:b/>
          <w:bCs/>
          <w:color w:val="000000" w:themeColor="text1"/>
        </w:rPr>
        <w:t xml:space="preserve">: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Number</w:t>
      </w:r>
      <w:proofErr w:type="spellEnd"/>
      <w:r w:rsidRPr="002B28B8">
        <w:rPr>
          <w:rFonts w:ascii="Arial" w:hAnsi="Arial" w:cs="Arial"/>
          <w:b/>
          <w:bCs/>
          <w:color w:val="000000" w:themeColor="text1"/>
        </w:rPr>
        <w:t xml:space="preserve"> of </w:t>
      </w:r>
      <w:proofErr w:type="spellStart"/>
      <w:r w:rsidRPr="002B28B8">
        <w:rPr>
          <w:rFonts w:ascii="Arial" w:hAnsi="Arial" w:cs="Arial"/>
          <w:b/>
          <w:bCs/>
          <w:color w:val="000000" w:themeColor="text1"/>
        </w:rPr>
        <w:t>samples</w:t>
      </w:r>
      <w:proofErr w:type="spellEnd"/>
    </w:p>
    <w:p w14:paraId="36FFBDCA" w14:textId="77777777" w:rsidR="006423A2" w:rsidRDefault="006423A2" w:rsidP="006423A2">
      <w:pPr>
        <w:spacing w:line="480" w:lineRule="auto"/>
      </w:pPr>
    </w:p>
    <w:sectPr w:rsidR="00642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A2"/>
    <w:rsid w:val="002C7F8F"/>
    <w:rsid w:val="0061387E"/>
    <w:rsid w:val="006423A2"/>
    <w:rsid w:val="00B12F47"/>
    <w:rsid w:val="00CD6E8C"/>
    <w:rsid w:val="00E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20CD35"/>
  <w15:chartTrackingRefBased/>
  <w15:docId w15:val="{13C276D7-BFF3-444F-8CDB-622B24DB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23A2"/>
    <w:rPr>
      <w:rFonts w:eastAsiaTheme="minorEastAsia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Nebioğlu</dc:creator>
  <cp:keywords/>
  <dc:description/>
  <cp:lastModifiedBy>Ali Nebioğlu</cp:lastModifiedBy>
  <cp:revision>4</cp:revision>
  <dcterms:created xsi:type="dcterms:W3CDTF">2024-01-30T12:12:00Z</dcterms:created>
  <dcterms:modified xsi:type="dcterms:W3CDTF">2024-03-23T14:19:00Z</dcterms:modified>
</cp:coreProperties>
</file>