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0B061" w14:textId="77777777" w:rsidR="005B0B7E" w:rsidRDefault="005B0B7E" w:rsidP="005B0B7E">
      <w:pPr>
        <w:rPr>
          <w:rFonts w:ascii="Arial" w:hAnsi="Arial" w:cs="Arial"/>
          <w:b/>
          <w:bCs/>
        </w:rPr>
      </w:pPr>
      <w:r w:rsidRPr="00AB6348">
        <w:rPr>
          <w:rFonts w:ascii="Arial" w:hAnsi="Arial" w:cs="Arial"/>
          <w:b/>
          <w:bCs/>
        </w:rPr>
        <w:t>Appendix</w:t>
      </w:r>
    </w:p>
    <w:p w14:paraId="1BAB5447" w14:textId="77777777" w:rsidR="005B0B7E" w:rsidRPr="00C509A3" w:rsidRDefault="005B0B7E" w:rsidP="005B0B7E">
      <w:pPr>
        <w:rPr>
          <w:rFonts w:ascii="Arial" w:hAnsi="Arial" w:cs="Arial"/>
        </w:rPr>
      </w:pPr>
    </w:p>
    <w:p w14:paraId="16CCF5DF" w14:textId="77777777" w:rsidR="005B0B7E" w:rsidRDefault="005B0B7E" w:rsidP="005B0B7E">
      <w:pPr>
        <w:rPr>
          <w:rFonts w:ascii="Arial" w:hAnsi="Arial" w:cs="Arial"/>
        </w:rPr>
      </w:pPr>
      <w:r>
        <w:rPr>
          <w:rFonts w:ascii="Arial" w:hAnsi="Arial" w:cs="Arial"/>
        </w:rPr>
        <w:t>Sample Items from CATCH 2.0*</w:t>
      </w:r>
    </w:p>
    <w:p w14:paraId="500129D4" w14:textId="77777777" w:rsidR="005B0B7E" w:rsidRDefault="005B0B7E" w:rsidP="005B0B7E">
      <w:pPr>
        <w:rPr>
          <w:rFonts w:ascii="Arial" w:hAnsi="Arial" w:cs="Arial"/>
        </w:rPr>
      </w:pPr>
    </w:p>
    <w:p w14:paraId="57AE7E3C" w14:textId="77777777" w:rsidR="005B0B7E" w:rsidRDefault="005B0B7E" w:rsidP="005B0B7E">
      <w:pPr>
        <w:rPr>
          <w:rFonts w:ascii="Arial" w:hAnsi="Arial" w:cs="Arial"/>
        </w:rPr>
      </w:pPr>
      <w:r>
        <w:rPr>
          <w:rFonts w:ascii="Arial" w:hAnsi="Arial" w:cs="Arial"/>
        </w:rPr>
        <w:t>Adult:</w:t>
      </w:r>
    </w:p>
    <w:p w14:paraId="5C2DA3EE" w14:textId="77777777" w:rsidR="005B0B7E" w:rsidRDefault="005B0B7E" w:rsidP="005B0B7E">
      <w:pPr>
        <w:rPr>
          <w:rFonts w:ascii="Arial" w:hAnsi="Arial" w:cs="Arial"/>
        </w:rPr>
      </w:pPr>
    </w:p>
    <w:tbl>
      <w:tblPr>
        <w:tblStyle w:val="TableGrid"/>
        <w:tblW w:w="0" w:type="auto"/>
        <w:tblLook w:val="04A0" w:firstRow="1" w:lastRow="0" w:firstColumn="1" w:lastColumn="0" w:noHBand="0" w:noVBand="1"/>
      </w:tblPr>
      <w:tblGrid>
        <w:gridCol w:w="2785"/>
        <w:gridCol w:w="6565"/>
      </w:tblGrid>
      <w:tr w:rsidR="005B0B7E" w14:paraId="6C9BF8D0" w14:textId="77777777" w:rsidTr="005B79C7">
        <w:tc>
          <w:tcPr>
            <w:tcW w:w="2785" w:type="dxa"/>
          </w:tcPr>
          <w:p w14:paraId="5DF6BD06" w14:textId="77777777" w:rsidR="005B0B7E" w:rsidRDefault="005B0B7E" w:rsidP="005B79C7">
            <w:pPr>
              <w:rPr>
                <w:rFonts w:ascii="Arial" w:hAnsi="Arial" w:cs="Arial"/>
              </w:rPr>
            </w:pPr>
            <w:r>
              <w:rPr>
                <w:rFonts w:ascii="Arial" w:hAnsi="Arial" w:cs="Arial"/>
              </w:rPr>
              <w:t>Scale</w:t>
            </w:r>
          </w:p>
        </w:tc>
        <w:tc>
          <w:tcPr>
            <w:tcW w:w="6565" w:type="dxa"/>
          </w:tcPr>
          <w:p w14:paraId="5DBE67AB" w14:textId="77777777" w:rsidR="005B0B7E" w:rsidRDefault="005B0B7E" w:rsidP="005B79C7">
            <w:pPr>
              <w:rPr>
                <w:rFonts w:ascii="Arial" w:hAnsi="Arial" w:cs="Arial"/>
              </w:rPr>
            </w:pPr>
            <w:r>
              <w:rPr>
                <w:rFonts w:ascii="Arial" w:hAnsi="Arial" w:cs="Arial"/>
              </w:rPr>
              <w:t>Question(s)</w:t>
            </w:r>
          </w:p>
        </w:tc>
      </w:tr>
      <w:tr w:rsidR="005B0B7E" w14:paraId="388AD880" w14:textId="77777777" w:rsidTr="005B79C7">
        <w:tc>
          <w:tcPr>
            <w:tcW w:w="2785" w:type="dxa"/>
          </w:tcPr>
          <w:p w14:paraId="36A540C5" w14:textId="77777777" w:rsidR="005B0B7E" w:rsidRDefault="005B0B7E" w:rsidP="005B79C7">
            <w:pPr>
              <w:rPr>
                <w:rFonts w:ascii="Arial" w:hAnsi="Arial" w:cs="Arial"/>
              </w:rPr>
            </w:pPr>
            <w:r>
              <w:rPr>
                <w:rFonts w:ascii="Arial" w:hAnsi="Arial" w:cs="Arial"/>
              </w:rPr>
              <w:t>Daily Activity Risk</w:t>
            </w:r>
          </w:p>
        </w:tc>
        <w:tc>
          <w:tcPr>
            <w:tcW w:w="6565" w:type="dxa"/>
          </w:tcPr>
          <w:p w14:paraId="7CB28D1F" w14:textId="77777777" w:rsidR="005B0B7E" w:rsidRDefault="005B0B7E" w:rsidP="005B79C7">
            <w:pPr>
              <w:rPr>
                <w:rFonts w:ascii="Arial" w:hAnsi="Arial" w:cs="Arial"/>
              </w:rPr>
            </w:pPr>
            <w:r>
              <w:rPr>
                <w:rFonts w:ascii="Arial" w:hAnsi="Arial" w:cs="Arial"/>
              </w:rPr>
              <w:t xml:space="preserve">How </w:t>
            </w:r>
            <w:r>
              <w:rPr>
                <w:rFonts w:ascii="Arial" w:hAnsi="Arial" w:cs="Arial"/>
                <w:i/>
                <w:iCs/>
              </w:rPr>
              <w:t>risky</w:t>
            </w:r>
            <w:r>
              <w:rPr>
                <w:rFonts w:ascii="Arial" w:hAnsi="Arial" w:cs="Arial"/>
              </w:rPr>
              <w:t xml:space="preserve"> (in terms of potentially causing a bleed) is…</w:t>
            </w:r>
          </w:p>
          <w:p w14:paraId="68DCCA02" w14:textId="77777777" w:rsidR="005B0B7E" w:rsidRDefault="005B0B7E" w:rsidP="005B0B7E">
            <w:pPr>
              <w:pStyle w:val="ListParagraph"/>
              <w:numPr>
                <w:ilvl w:val="0"/>
                <w:numId w:val="1"/>
              </w:numPr>
              <w:rPr>
                <w:rFonts w:ascii="Arial" w:hAnsi="Arial" w:cs="Arial"/>
              </w:rPr>
            </w:pPr>
            <w:r>
              <w:rPr>
                <w:rFonts w:ascii="Arial" w:hAnsi="Arial" w:cs="Arial"/>
              </w:rPr>
              <w:t>Getting in and out of a car</w:t>
            </w:r>
          </w:p>
          <w:p w14:paraId="793E905B" w14:textId="77777777" w:rsidR="005B0B7E" w:rsidRDefault="005B0B7E" w:rsidP="005B0B7E">
            <w:pPr>
              <w:pStyle w:val="ListParagraph"/>
              <w:numPr>
                <w:ilvl w:val="0"/>
                <w:numId w:val="1"/>
              </w:numPr>
              <w:rPr>
                <w:rFonts w:ascii="Arial" w:hAnsi="Arial" w:cs="Arial"/>
              </w:rPr>
            </w:pPr>
            <w:r>
              <w:rPr>
                <w:rFonts w:ascii="Arial" w:hAnsi="Arial" w:cs="Arial"/>
              </w:rPr>
              <w:t>Walking outside</w:t>
            </w:r>
          </w:p>
          <w:p w14:paraId="7034E6E5" w14:textId="77777777" w:rsidR="005B0B7E" w:rsidRPr="00866668" w:rsidRDefault="005B0B7E" w:rsidP="005B0B7E">
            <w:pPr>
              <w:pStyle w:val="ListParagraph"/>
              <w:numPr>
                <w:ilvl w:val="0"/>
                <w:numId w:val="1"/>
              </w:numPr>
              <w:rPr>
                <w:rFonts w:ascii="Arial" w:hAnsi="Arial" w:cs="Arial"/>
              </w:rPr>
            </w:pPr>
            <w:r>
              <w:rPr>
                <w:rFonts w:ascii="Arial" w:hAnsi="Arial" w:cs="Arial"/>
              </w:rPr>
              <w:t>Cooking</w:t>
            </w:r>
          </w:p>
        </w:tc>
      </w:tr>
      <w:tr w:rsidR="005B0B7E" w14:paraId="2F81BD7C" w14:textId="77777777" w:rsidTr="005B79C7">
        <w:tc>
          <w:tcPr>
            <w:tcW w:w="2785" w:type="dxa"/>
          </w:tcPr>
          <w:p w14:paraId="41A08356" w14:textId="77777777" w:rsidR="005B0B7E" w:rsidRDefault="005B0B7E" w:rsidP="005B79C7">
            <w:pPr>
              <w:rPr>
                <w:rFonts w:ascii="Arial" w:hAnsi="Arial" w:cs="Arial"/>
              </w:rPr>
            </w:pPr>
            <w:r>
              <w:rPr>
                <w:rFonts w:ascii="Arial" w:hAnsi="Arial" w:cs="Arial"/>
              </w:rPr>
              <w:t>Daily Activity Impact</w:t>
            </w:r>
          </w:p>
        </w:tc>
        <w:tc>
          <w:tcPr>
            <w:tcW w:w="6565" w:type="dxa"/>
          </w:tcPr>
          <w:p w14:paraId="45DB561B"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0A8317D0" w14:textId="77777777" w:rsidR="005B0B7E" w:rsidRDefault="005B0B7E" w:rsidP="005B0B7E">
            <w:pPr>
              <w:pStyle w:val="ListParagraph"/>
              <w:numPr>
                <w:ilvl w:val="0"/>
                <w:numId w:val="2"/>
              </w:numPr>
              <w:rPr>
                <w:rFonts w:ascii="Arial" w:hAnsi="Arial" w:cs="Arial"/>
              </w:rPr>
            </w:pPr>
            <w:r>
              <w:rPr>
                <w:rFonts w:ascii="Arial" w:hAnsi="Arial" w:cs="Arial"/>
              </w:rPr>
              <w:t>Walk up or down one flight of stairs</w:t>
            </w:r>
          </w:p>
          <w:p w14:paraId="62353D69" w14:textId="77777777" w:rsidR="005B0B7E" w:rsidRPr="00866668" w:rsidRDefault="005B0B7E" w:rsidP="005B0B7E">
            <w:pPr>
              <w:pStyle w:val="ListParagraph"/>
              <w:numPr>
                <w:ilvl w:val="0"/>
                <w:numId w:val="2"/>
              </w:numPr>
              <w:rPr>
                <w:rFonts w:ascii="Arial" w:hAnsi="Arial" w:cs="Arial"/>
              </w:rPr>
            </w:pPr>
            <w:r>
              <w:rPr>
                <w:rFonts w:ascii="Arial" w:hAnsi="Arial" w:cs="Arial"/>
              </w:rPr>
              <w:t>Carry heavy objects</w:t>
            </w:r>
          </w:p>
        </w:tc>
      </w:tr>
      <w:tr w:rsidR="005B0B7E" w14:paraId="1607CB0E" w14:textId="77777777" w:rsidTr="005B79C7">
        <w:tc>
          <w:tcPr>
            <w:tcW w:w="2785" w:type="dxa"/>
          </w:tcPr>
          <w:p w14:paraId="1F4F1DCF" w14:textId="77777777" w:rsidR="005B0B7E" w:rsidRDefault="005B0B7E" w:rsidP="005B79C7">
            <w:pPr>
              <w:rPr>
                <w:rFonts w:ascii="Arial" w:hAnsi="Arial" w:cs="Arial"/>
              </w:rPr>
            </w:pPr>
            <w:r>
              <w:rPr>
                <w:rFonts w:ascii="Arial" w:hAnsi="Arial" w:cs="Arial"/>
              </w:rPr>
              <w:t>Social Activity Risk</w:t>
            </w:r>
          </w:p>
        </w:tc>
        <w:tc>
          <w:tcPr>
            <w:tcW w:w="6565" w:type="dxa"/>
          </w:tcPr>
          <w:p w14:paraId="393746EC" w14:textId="77777777" w:rsidR="005B0B7E" w:rsidRDefault="005B0B7E" w:rsidP="005B79C7">
            <w:pPr>
              <w:rPr>
                <w:rFonts w:ascii="Arial" w:hAnsi="Arial" w:cs="Arial"/>
              </w:rPr>
            </w:pPr>
            <w:r>
              <w:rPr>
                <w:rFonts w:ascii="Arial" w:hAnsi="Arial" w:cs="Arial"/>
              </w:rPr>
              <w:t xml:space="preserve">How </w:t>
            </w:r>
            <w:r>
              <w:rPr>
                <w:rFonts w:ascii="Arial" w:hAnsi="Arial" w:cs="Arial"/>
                <w:i/>
                <w:iCs/>
              </w:rPr>
              <w:t>risky</w:t>
            </w:r>
            <w:r>
              <w:rPr>
                <w:rFonts w:ascii="Arial" w:hAnsi="Arial" w:cs="Arial"/>
              </w:rPr>
              <w:t xml:space="preserve"> is…</w:t>
            </w:r>
          </w:p>
          <w:p w14:paraId="18A89278" w14:textId="77777777" w:rsidR="005B0B7E" w:rsidRPr="00866668" w:rsidRDefault="005B0B7E" w:rsidP="005B0B7E">
            <w:pPr>
              <w:pStyle w:val="ListParagraph"/>
              <w:numPr>
                <w:ilvl w:val="0"/>
                <w:numId w:val="3"/>
              </w:numPr>
              <w:rPr>
                <w:rFonts w:ascii="Arial" w:hAnsi="Arial" w:cs="Arial"/>
              </w:rPr>
            </w:pPr>
            <w:r>
              <w:rPr>
                <w:rFonts w:ascii="Arial" w:hAnsi="Arial" w:cs="Arial"/>
              </w:rPr>
              <w:t>Playing rough with kids</w:t>
            </w:r>
          </w:p>
        </w:tc>
      </w:tr>
      <w:tr w:rsidR="005B0B7E" w14:paraId="2A863C37" w14:textId="77777777" w:rsidTr="005B79C7">
        <w:tc>
          <w:tcPr>
            <w:tcW w:w="2785" w:type="dxa"/>
          </w:tcPr>
          <w:p w14:paraId="44059A2C" w14:textId="77777777" w:rsidR="005B0B7E" w:rsidRDefault="005B0B7E" w:rsidP="005B79C7">
            <w:pPr>
              <w:rPr>
                <w:rFonts w:ascii="Arial" w:hAnsi="Arial" w:cs="Arial"/>
              </w:rPr>
            </w:pPr>
            <w:r>
              <w:rPr>
                <w:rFonts w:ascii="Arial" w:hAnsi="Arial" w:cs="Arial"/>
              </w:rPr>
              <w:t>Social Activity Impact</w:t>
            </w:r>
          </w:p>
        </w:tc>
        <w:tc>
          <w:tcPr>
            <w:tcW w:w="6565" w:type="dxa"/>
          </w:tcPr>
          <w:p w14:paraId="25F86BC5"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464B199E" w14:textId="77777777" w:rsidR="005B0B7E" w:rsidRDefault="005B0B7E" w:rsidP="005B0B7E">
            <w:pPr>
              <w:pStyle w:val="ListParagraph"/>
              <w:numPr>
                <w:ilvl w:val="0"/>
                <w:numId w:val="4"/>
              </w:numPr>
              <w:rPr>
                <w:rFonts w:ascii="Arial" w:hAnsi="Arial" w:cs="Arial"/>
              </w:rPr>
            </w:pPr>
            <w:r>
              <w:rPr>
                <w:rFonts w:ascii="Arial" w:hAnsi="Arial" w:cs="Arial"/>
              </w:rPr>
              <w:t>Go out to an activity where you will be sitting</w:t>
            </w:r>
          </w:p>
          <w:p w14:paraId="4A228CF4" w14:textId="77777777" w:rsidR="005B0B7E" w:rsidRPr="00866668" w:rsidRDefault="005B0B7E" w:rsidP="005B0B7E">
            <w:pPr>
              <w:pStyle w:val="ListParagraph"/>
              <w:numPr>
                <w:ilvl w:val="0"/>
                <w:numId w:val="4"/>
              </w:numPr>
              <w:rPr>
                <w:rFonts w:ascii="Arial" w:hAnsi="Arial" w:cs="Arial"/>
              </w:rPr>
            </w:pPr>
            <w:r>
              <w:rPr>
                <w:rFonts w:ascii="Arial" w:hAnsi="Arial" w:cs="Arial"/>
              </w:rPr>
              <w:t>Make plans with friends</w:t>
            </w:r>
          </w:p>
        </w:tc>
      </w:tr>
      <w:tr w:rsidR="005B0B7E" w14:paraId="3B4DBAB2" w14:textId="77777777" w:rsidTr="005B79C7">
        <w:tc>
          <w:tcPr>
            <w:tcW w:w="2785" w:type="dxa"/>
          </w:tcPr>
          <w:p w14:paraId="7AC0E012" w14:textId="77777777" w:rsidR="005B0B7E" w:rsidRDefault="005B0B7E" w:rsidP="005B79C7">
            <w:pPr>
              <w:rPr>
                <w:rFonts w:ascii="Arial" w:hAnsi="Arial" w:cs="Arial"/>
              </w:rPr>
            </w:pPr>
            <w:r>
              <w:rPr>
                <w:rFonts w:ascii="Arial" w:hAnsi="Arial" w:cs="Arial"/>
              </w:rPr>
              <w:t>Work</w:t>
            </w:r>
          </w:p>
        </w:tc>
        <w:tc>
          <w:tcPr>
            <w:tcW w:w="6565" w:type="dxa"/>
          </w:tcPr>
          <w:p w14:paraId="5461076D"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2966C83A" w14:textId="77777777" w:rsidR="005B0B7E" w:rsidRDefault="005B0B7E" w:rsidP="005B0B7E">
            <w:pPr>
              <w:pStyle w:val="ListParagraph"/>
              <w:numPr>
                <w:ilvl w:val="0"/>
                <w:numId w:val="5"/>
              </w:numPr>
              <w:rPr>
                <w:rFonts w:ascii="Arial" w:hAnsi="Arial" w:cs="Arial"/>
              </w:rPr>
            </w:pPr>
            <w:r>
              <w:rPr>
                <w:rFonts w:ascii="Arial" w:hAnsi="Arial" w:cs="Arial"/>
              </w:rPr>
              <w:t>Work full time</w:t>
            </w:r>
          </w:p>
          <w:p w14:paraId="671C1490" w14:textId="77777777" w:rsidR="005B0B7E" w:rsidRPr="00866668" w:rsidRDefault="005B0B7E" w:rsidP="005B0B7E">
            <w:pPr>
              <w:pStyle w:val="ListParagraph"/>
              <w:numPr>
                <w:ilvl w:val="0"/>
                <w:numId w:val="5"/>
              </w:numPr>
              <w:rPr>
                <w:rFonts w:ascii="Arial" w:hAnsi="Arial" w:cs="Arial"/>
              </w:rPr>
            </w:pPr>
            <w:r>
              <w:rPr>
                <w:rFonts w:ascii="Arial" w:hAnsi="Arial" w:cs="Arial"/>
              </w:rPr>
              <w:t>Get your work done</w:t>
            </w:r>
          </w:p>
        </w:tc>
      </w:tr>
    </w:tbl>
    <w:p w14:paraId="30000519" w14:textId="77777777" w:rsidR="005B0B7E" w:rsidRDefault="005B0B7E" w:rsidP="005B0B7E">
      <w:pPr>
        <w:rPr>
          <w:rFonts w:ascii="Arial" w:hAnsi="Arial" w:cs="Arial"/>
        </w:rPr>
      </w:pPr>
    </w:p>
    <w:p w14:paraId="0BD06009" w14:textId="77777777" w:rsidR="005B0B7E" w:rsidRDefault="005B0B7E" w:rsidP="005B0B7E">
      <w:pPr>
        <w:rPr>
          <w:rFonts w:ascii="Arial" w:hAnsi="Arial" w:cs="Arial"/>
        </w:rPr>
      </w:pPr>
      <w:r>
        <w:rPr>
          <w:rFonts w:ascii="Arial" w:hAnsi="Arial" w:cs="Arial"/>
        </w:rPr>
        <w:t>Pediatric:</w:t>
      </w:r>
    </w:p>
    <w:p w14:paraId="5400E57A" w14:textId="77777777" w:rsidR="005B0B7E" w:rsidRDefault="005B0B7E" w:rsidP="005B0B7E">
      <w:pPr>
        <w:rPr>
          <w:rFonts w:ascii="Arial" w:hAnsi="Arial" w:cs="Arial"/>
        </w:rPr>
      </w:pPr>
    </w:p>
    <w:tbl>
      <w:tblPr>
        <w:tblStyle w:val="TableGrid"/>
        <w:tblW w:w="0" w:type="auto"/>
        <w:tblLook w:val="04A0" w:firstRow="1" w:lastRow="0" w:firstColumn="1" w:lastColumn="0" w:noHBand="0" w:noVBand="1"/>
      </w:tblPr>
      <w:tblGrid>
        <w:gridCol w:w="2785"/>
        <w:gridCol w:w="6565"/>
      </w:tblGrid>
      <w:tr w:rsidR="005B0B7E" w14:paraId="08A9AFAA" w14:textId="77777777" w:rsidTr="005B79C7">
        <w:tc>
          <w:tcPr>
            <w:tcW w:w="2785" w:type="dxa"/>
          </w:tcPr>
          <w:p w14:paraId="4170599A" w14:textId="77777777" w:rsidR="005B0B7E" w:rsidRDefault="005B0B7E" w:rsidP="005B79C7">
            <w:pPr>
              <w:rPr>
                <w:rFonts w:ascii="Arial" w:hAnsi="Arial" w:cs="Arial"/>
              </w:rPr>
            </w:pPr>
            <w:r>
              <w:rPr>
                <w:rFonts w:ascii="Arial" w:hAnsi="Arial" w:cs="Arial"/>
              </w:rPr>
              <w:t>Scale</w:t>
            </w:r>
          </w:p>
        </w:tc>
        <w:tc>
          <w:tcPr>
            <w:tcW w:w="6565" w:type="dxa"/>
          </w:tcPr>
          <w:p w14:paraId="0E2A5273" w14:textId="77777777" w:rsidR="005B0B7E" w:rsidRDefault="005B0B7E" w:rsidP="005B79C7">
            <w:pPr>
              <w:rPr>
                <w:rFonts w:ascii="Arial" w:hAnsi="Arial" w:cs="Arial"/>
              </w:rPr>
            </w:pPr>
            <w:r>
              <w:rPr>
                <w:rFonts w:ascii="Arial" w:hAnsi="Arial" w:cs="Arial"/>
              </w:rPr>
              <w:t>Question(s)</w:t>
            </w:r>
          </w:p>
        </w:tc>
      </w:tr>
      <w:tr w:rsidR="005B0B7E" w14:paraId="2CDB280C" w14:textId="77777777" w:rsidTr="005B79C7">
        <w:tc>
          <w:tcPr>
            <w:tcW w:w="2785" w:type="dxa"/>
          </w:tcPr>
          <w:p w14:paraId="70C4D4D6" w14:textId="77777777" w:rsidR="005B0B7E" w:rsidRDefault="005B0B7E" w:rsidP="005B79C7">
            <w:pPr>
              <w:rPr>
                <w:rFonts w:ascii="Arial" w:hAnsi="Arial" w:cs="Arial"/>
              </w:rPr>
            </w:pPr>
            <w:r>
              <w:rPr>
                <w:rFonts w:ascii="Arial" w:hAnsi="Arial" w:cs="Arial"/>
              </w:rPr>
              <w:t>Daily Activity Risk</w:t>
            </w:r>
          </w:p>
        </w:tc>
        <w:tc>
          <w:tcPr>
            <w:tcW w:w="6565" w:type="dxa"/>
          </w:tcPr>
          <w:p w14:paraId="4A260BE7" w14:textId="77777777" w:rsidR="005B0B7E" w:rsidRDefault="005B0B7E" w:rsidP="005B79C7">
            <w:pPr>
              <w:rPr>
                <w:rFonts w:ascii="Arial" w:hAnsi="Arial" w:cs="Arial"/>
              </w:rPr>
            </w:pPr>
            <w:r>
              <w:rPr>
                <w:rFonts w:ascii="Arial" w:hAnsi="Arial" w:cs="Arial"/>
              </w:rPr>
              <w:t xml:space="preserve">How </w:t>
            </w:r>
            <w:r>
              <w:rPr>
                <w:rFonts w:ascii="Arial" w:hAnsi="Arial" w:cs="Arial"/>
                <w:i/>
                <w:iCs/>
              </w:rPr>
              <w:t>risky</w:t>
            </w:r>
            <w:r>
              <w:rPr>
                <w:rFonts w:ascii="Arial" w:hAnsi="Arial" w:cs="Arial"/>
              </w:rPr>
              <w:t xml:space="preserve"> (in terms of potentially causing a bleed) is…</w:t>
            </w:r>
          </w:p>
          <w:p w14:paraId="30A387FE" w14:textId="77777777" w:rsidR="005B0B7E" w:rsidRDefault="005B0B7E" w:rsidP="005B0B7E">
            <w:pPr>
              <w:pStyle w:val="ListParagraph"/>
              <w:numPr>
                <w:ilvl w:val="0"/>
                <w:numId w:val="1"/>
              </w:numPr>
              <w:rPr>
                <w:rFonts w:ascii="Arial" w:hAnsi="Arial" w:cs="Arial"/>
              </w:rPr>
            </w:pPr>
            <w:r>
              <w:rPr>
                <w:rFonts w:ascii="Arial" w:hAnsi="Arial" w:cs="Arial"/>
              </w:rPr>
              <w:t>Getting in and out of a car</w:t>
            </w:r>
          </w:p>
          <w:p w14:paraId="0CA4E468" w14:textId="77777777" w:rsidR="005B0B7E" w:rsidRPr="00866668" w:rsidRDefault="005B0B7E" w:rsidP="005B0B7E">
            <w:pPr>
              <w:pStyle w:val="ListParagraph"/>
              <w:numPr>
                <w:ilvl w:val="0"/>
                <w:numId w:val="1"/>
              </w:numPr>
              <w:rPr>
                <w:rFonts w:ascii="Arial" w:hAnsi="Arial" w:cs="Arial"/>
              </w:rPr>
            </w:pPr>
            <w:r>
              <w:rPr>
                <w:rFonts w:ascii="Arial" w:hAnsi="Arial" w:cs="Arial"/>
              </w:rPr>
              <w:t>Walking outside</w:t>
            </w:r>
          </w:p>
        </w:tc>
      </w:tr>
      <w:tr w:rsidR="005B0B7E" w14:paraId="1A5D6F79" w14:textId="77777777" w:rsidTr="005B79C7">
        <w:tc>
          <w:tcPr>
            <w:tcW w:w="2785" w:type="dxa"/>
          </w:tcPr>
          <w:p w14:paraId="6E9C2C06" w14:textId="77777777" w:rsidR="005B0B7E" w:rsidRDefault="005B0B7E" w:rsidP="005B79C7">
            <w:pPr>
              <w:rPr>
                <w:rFonts w:ascii="Arial" w:hAnsi="Arial" w:cs="Arial"/>
              </w:rPr>
            </w:pPr>
            <w:r>
              <w:rPr>
                <w:rFonts w:ascii="Arial" w:hAnsi="Arial" w:cs="Arial"/>
              </w:rPr>
              <w:t>Daily Activity Impact</w:t>
            </w:r>
          </w:p>
        </w:tc>
        <w:tc>
          <w:tcPr>
            <w:tcW w:w="6565" w:type="dxa"/>
          </w:tcPr>
          <w:p w14:paraId="7851CFF2"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75A37B29" w14:textId="77777777" w:rsidR="005B0B7E" w:rsidRDefault="005B0B7E" w:rsidP="005B0B7E">
            <w:pPr>
              <w:pStyle w:val="ListParagraph"/>
              <w:numPr>
                <w:ilvl w:val="0"/>
                <w:numId w:val="2"/>
              </w:numPr>
              <w:rPr>
                <w:rFonts w:ascii="Arial" w:hAnsi="Arial" w:cs="Arial"/>
              </w:rPr>
            </w:pPr>
            <w:r>
              <w:rPr>
                <w:rFonts w:ascii="Arial" w:hAnsi="Arial" w:cs="Arial"/>
              </w:rPr>
              <w:t>Dry your whole body after a shower or bath</w:t>
            </w:r>
          </w:p>
          <w:p w14:paraId="1BB8C4AA" w14:textId="77777777" w:rsidR="005B0B7E" w:rsidRPr="007F585F" w:rsidRDefault="005B0B7E" w:rsidP="005B0B7E">
            <w:pPr>
              <w:pStyle w:val="ListParagraph"/>
              <w:numPr>
                <w:ilvl w:val="0"/>
                <w:numId w:val="2"/>
              </w:numPr>
              <w:rPr>
                <w:rFonts w:ascii="Arial" w:hAnsi="Arial" w:cs="Arial"/>
              </w:rPr>
            </w:pPr>
            <w:r>
              <w:rPr>
                <w:rFonts w:ascii="Arial" w:hAnsi="Arial" w:cs="Arial"/>
              </w:rPr>
              <w:t>Put on socks and shoes</w:t>
            </w:r>
          </w:p>
        </w:tc>
      </w:tr>
      <w:tr w:rsidR="005B0B7E" w14:paraId="67E4B1C6" w14:textId="77777777" w:rsidTr="005B79C7">
        <w:tc>
          <w:tcPr>
            <w:tcW w:w="2785" w:type="dxa"/>
          </w:tcPr>
          <w:p w14:paraId="0D8A33E6" w14:textId="77777777" w:rsidR="005B0B7E" w:rsidRDefault="005B0B7E" w:rsidP="005B79C7">
            <w:pPr>
              <w:rPr>
                <w:rFonts w:ascii="Arial" w:hAnsi="Arial" w:cs="Arial"/>
              </w:rPr>
            </w:pPr>
            <w:r>
              <w:rPr>
                <w:rFonts w:ascii="Arial" w:hAnsi="Arial" w:cs="Arial"/>
              </w:rPr>
              <w:t>Social Activity Risk</w:t>
            </w:r>
          </w:p>
        </w:tc>
        <w:tc>
          <w:tcPr>
            <w:tcW w:w="6565" w:type="dxa"/>
          </w:tcPr>
          <w:p w14:paraId="09F5C836" w14:textId="77777777" w:rsidR="005B0B7E" w:rsidRDefault="005B0B7E" w:rsidP="005B79C7">
            <w:pPr>
              <w:rPr>
                <w:rFonts w:ascii="Arial" w:hAnsi="Arial" w:cs="Arial"/>
              </w:rPr>
            </w:pPr>
            <w:r>
              <w:rPr>
                <w:rFonts w:ascii="Arial" w:hAnsi="Arial" w:cs="Arial"/>
              </w:rPr>
              <w:t xml:space="preserve">How </w:t>
            </w:r>
            <w:r>
              <w:rPr>
                <w:rFonts w:ascii="Arial" w:hAnsi="Arial" w:cs="Arial"/>
                <w:i/>
                <w:iCs/>
              </w:rPr>
              <w:t>risky</w:t>
            </w:r>
            <w:r>
              <w:rPr>
                <w:rFonts w:ascii="Arial" w:hAnsi="Arial" w:cs="Arial"/>
              </w:rPr>
              <w:t xml:space="preserve"> is…</w:t>
            </w:r>
          </w:p>
          <w:p w14:paraId="350E884C" w14:textId="77777777" w:rsidR="005B0B7E" w:rsidRDefault="005B0B7E" w:rsidP="005B0B7E">
            <w:pPr>
              <w:pStyle w:val="ListParagraph"/>
              <w:numPr>
                <w:ilvl w:val="0"/>
                <w:numId w:val="3"/>
              </w:numPr>
              <w:rPr>
                <w:rFonts w:ascii="Arial" w:hAnsi="Arial" w:cs="Arial"/>
              </w:rPr>
            </w:pPr>
            <w:r>
              <w:rPr>
                <w:rFonts w:ascii="Arial" w:hAnsi="Arial" w:cs="Arial"/>
              </w:rPr>
              <w:t>Playing with friends inside/outside</w:t>
            </w:r>
          </w:p>
          <w:p w14:paraId="098FACCC" w14:textId="77777777" w:rsidR="005B0B7E" w:rsidRPr="007F585F" w:rsidRDefault="005B0B7E" w:rsidP="005B0B7E">
            <w:pPr>
              <w:pStyle w:val="ListParagraph"/>
              <w:numPr>
                <w:ilvl w:val="0"/>
                <w:numId w:val="3"/>
              </w:numPr>
              <w:rPr>
                <w:rFonts w:ascii="Arial" w:hAnsi="Arial" w:cs="Arial"/>
              </w:rPr>
            </w:pPr>
            <w:r>
              <w:rPr>
                <w:rFonts w:ascii="Arial" w:hAnsi="Arial" w:cs="Arial"/>
              </w:rPr>
              <w:t>Traveling long distances</w:t>
            </w:r>
          </w:p>
        </w:tc>
      </w:tr>
      <w:tr w:rsidR="005B0B7E" w14:paraId="07F82F9E" w14:textId="77777777" w:rsidTr="005B79C7">
        <w:tc>
          <w:tcPr>
            <w:tcW w:w="2785" w:type="dxa"/>
          </w:tcPr>
          <w:p w14:paraId="4B84E474" w14:textId="77777777" w:rsidR="005B0B7E" w:rsidRDefault="005B0B7E" w:rsidP="005B79C7">
            <w:pPr>
              <w:rPr>
                <w:rFonts w:ascii="Arial" w:hAnsi="Arial" w:cs="Arial"/>
              </w:rPr>
            </w:pPr>
            <w:r>
              <w:rPr>
                <w:rFonts w:ascii="Arial" w:hAnsi="Arial" w:cs="Arial"/>
              </w:rPr>
              <w:t>Social Activity Impact</w:t>
            </w:r>
          </w:p>
        </w:tc>
        <w:tc>
          <w:tcPr>
            <w:tcW w:w="6565" w:type="dxa"/>
          </w:tcPr>
          <w:p w14:paraId="443D02B8"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739E18BE" w14:textId="77777777" w:rsidR="005B0B7E" w:rsidRDefault="005B0B7E" w:rsidP="005B0B7E">
            <w:pPr>
              <w:pStyle w:val="ListParagraph"/>
              <w:numPr>
                <w:ilvl w:val="0"/>
                <w:numId w:val="4"/>
              </w:numPr>
              <w:rPr>
                <w:rFonts w:ascii="Arial" w:hAnsi="Arial" w:cs="Arial"/>
              </w:rPr>
            </w:pPr>
            <w:r>
              <w:rPr>
                <w:rFonts w:ascii="Arial" w:hAnsi="Arial" w:cs="Arial"/>
              </w:rPr>
              <w:t>Go out to an activity where you will be moving your body</w:t>
            </w:r>
          </w:p>
          <w:p w14:paraId="1328314E" w14:textId="77777777" w:rsidR="005B0B7E" w:rsidRPr="007F585F" w:rsidRDefault="005B0B7E" w:rsidP="005B0B7E">
            <w:pPr>
              <w:pStyle w:val="ListParagraph"/>
              <w:numPr>
                <w:ilvl w:val="0"/>
                <w:numId w:val="4"/>
              </w:numPr>
              <w:rPr>
                <w:rFonts w:ascii="Arial" w:hAnsi="Arial" w:cs="Arial"/>
              </w:rPr>
            </w:pPr>
            <w:r>
              <w:rPr>
                <w:rFonts w:ascii="Arial" w:hAnsi="Arial" w:cs="Arial"/>
              </w:rPr>
              <w:t>Travel long distances</w:t>
            </w:r>
          </w:p>
        </w:tc>
      </w:tr>
      <w:tr w:rsidR="005B0B7E" w14:paraId="78F5B710" w14:textId="77777777" w:rsidTr="005B79C7">
        <w:tc>
          <w:tcPr>
            <w:tcW w:w="2785" w:type="dxa"/>
          </w:tcPr>
          <w:p w14:paraId="57476F4D" w14:textId="77777777" w:rsidR="005B0B7E" w:rsidRDefault="005B0B7E" w:rsidP="005B79C7">
            <w:pPr>
              <w:rPr>
                <w:rFonts w:ascii="Arial" w:hAnsi="Arial" w:cs="Arial"/>
              </w:rPr>
            </w:pPr>
            <w:r>
              <w:rPr>
                <w:rFonts w:ascii="Arial" w:hAnsi="Arial" w:cs="Arial"/>
              </w:rPr>
              <w:t>School</w:t>
            </w:r>
          </w:p>
        </w:tc>
        <w:tc>
          <w:tcPr>
            <w:tcW w:w="6565" w:type="dxa"/>
          </w:tcPr>
          <w:p w14:paraId="6A85D1EF" w14:textId="77777777" w:rsidR="005B0B7E" w:rsidRDefault="005B0B7E" w:rsidP="005B79C7">
            <w:pPr>
              <w:rPr>
                <w:rFonts w:ascii="Arial" w:hAnsi="Arial" w:cs="Arial"/>
              </w:rPr>
            </w:pPr>
            <w:r>
              <w:rPr>
                <w:rFonts w:ascii="Arial" w:hAnsi="Arial" w:cs="Arial"/>
              </w:rPr>
              <w:t xml:space="preserve">How often does hemophilia </w:t>
            </w:r>
            <w:r>
              <w:rPr>
                <w:rFonts w:ascii="Arial" w:hAnsi="Arial" w:cs="Arial"/>
                <w:i/>
                <w:iCs/>
              </w:rPr>
              <w:t>impact</w:t>
            </w:r>
            <w:r>
              <w:rPr>
                <w:rFonts w:ascii="Arial" w:hAnsi="Arial" w:cs="Arial"/>
              </w:rPr>
              <w:t xml:space="preserve"> your ability to…</w:t>
            </w:r>
          </w:p>
          <w:p w14:paraId="2AD3AC6C" w14:textId="77777777" w:rsidR="005B0B7E" w:rsidRDefault="005B0B7E" w:rsidP="005B0B7E">
            <w:pPr>
              <w:pStyle w:val="ListParagraph"/>
              <w:numPr>
                <w:ilvl w:val="0"/>
                <w:numId w:val="5"/>
              </w:numPr>
              <w:rPr>
                <w:rFonts w:ascii="Arial" w:hAnsi="Arial" w:cs="Arial"/>
              </w:rPr>
            </w:pPr>
            <w:r>
              <w:rPr>
                <w:rFonts w:ascii="Arial" w:hAnsi="Arial" w:cs="Arial"/>
              </w:rPr>
              <w:t>Get around school</w:t>
            </w:r>
          </w:p>
          <w:p w14:paraId="158A629C" w14:textId="77777777" w:rsidR="005B0B7E" w:rsidRPr="00866668" w:rsidRDefault="005B0B7E" w:rsidP="005B0B7E">
            <w:pPr>
              <w:pStyle w:val="ListParagraph"/>
              <w:numPr>
                <w:ilvl w:val="0"/>
                <w:numId w:val="5"/>
              </w:numPr>
              <w:rPr>
                <w:rFonts w:ascii="Arial" w:hAnsi="Arial" w:cs="Arial"/>
              </w:rPr>
            </w:pPr>
            <w:r>
              <w:rPr>
                <w:rFonts w:ascii="Arial" w:hAnsi="Arial" w:cs="Arial"/>
              </w:rPr>
              <w:t>Concentrate on tasks at school</w:t>
            </w:r>
          </w:p>
        </w:tc>
      </w:tr>
    </w:tbl>
    <w:p w14:paraId="057CCA17" w14:textId="77777777" w:rsidR="005B0B7E" w:rsidRDefault="005B0B7E" w:rsidP="005B0B7E">
      <w:pPr>
        <w:rPr>
          <w:rFonts w:ascii="Arial" w:hAnsi="Arial" w:cs="Arial"/>
        </w:rPr>
      </w:pPr>
    </w:p>
    <w:p w14:paraId="1F618FC7" w14:textId="77777777" w:rsidR="005B0B7E" w:rsidRDefault="005B0B7E" w:rsidP="005B0B7E">
      <w:pPr>
        <w:rPr>
          <w:rFonts w:ascii="Arial" w:hAnsi="Arial" w:cs="Arial"/>
        </w:rPr>
      </w:pPr>
    </w:p>
    <w:p w14:paraId="7CD57A57" w14:textId="77777777" w:rsidR="005B0B7E" w:rsidRDefault="005B0B7E" w:rsidP="005B0B7E">
      <w:pPr>
        <w:rPr>
          <w:rFonts w:ascii="Arial" w:hAnsi="Arial" w:cs="Arial"/>
        </w:rPr>
      </w:pPr>
    </w:p>
    <w:p w14:paraId="24C34C86" w14:textId="77777777" w:rsidR="005B0B7E" w:rsidRDefault="005B0B7E" w:rsidP="005B0B7E">
      <w:pPr>
        <w:rPr>
          <w:rFonts w:ascii="Arial" w:hAnsi="Arial" w:cs="Arial"/>
        </w:rPr>
      </w:pPr>
      <w:r>
        <w:rPr>
          <w:rFonts w:ascii="Arial" w:hAnsi="Arial" w:cs="Arial"/>
        </w:rPr>
        <w:lastRenderedPageBreak/>
        <w:t>Caregiver:</w:t>
      </w:r>
    </w:p>
    <w:p w14:paraId="735B8053" w14:textId="77777777" w:rsidR="005B0B7E" w:rsidRDefault="005B0B7E" w:rsidP="005B0B7E">
      <w:pPr>
        <w:rPr>
          <w:rFonts w:ascii="Arial" w:hAnsi="Arial" w:cs="Arial"/>
        </w:rPr>
      </w:pPr>
    </w:p>
    <w:tbl>
      <w:tblPr>
        <w:tblStyle w:val="TableGrid"/>
        <w:tblW w:w="0" w:type="auto"/>
        <w:tblLook w:val="04A0" w:firstRow="1" w:lastRow="0" w:firstColumn="1" w:lastColumn="0" w:noHBand="0" w:noVBand="1"/>
      </w:tblPr>
      <w:tblGrid>
        <w:gridCol w:w="2785"/>
        <w:gridCol w:w="6565"/>
      </w:tblGrid>
      <w:tr w:rsidR="005B0B7E" w14:paraId="4248FC5D" w14:textId="77777777" w:rsidTr="005B79C7">
        <w:tc>
          <w:tcPr>
            <w:tcW w:w="2785" w:type="dxa"/>
          </w:tcPr>
          <w:p w14:paraId="1856F394" w14:textId="77777777" w:rsidR="005B0B7E" w:rsidRDefault="005B0B7E" w:rsidP="005B79C7">
            <w:pPr>
              <w:rPr>
                <w:rFonts w:ascii="Arial" w:hAnsi="Arial" w:cs="Arial"/>
              </w:rPr>
            </w:pPr>
            <w:r>
              <w:rPr>
                <w:rFonts w:ascii="Arial" w:hAnsi="Arial" w:cs="Arial"/>
              </w:rPr>
              <w:t>Scale</w:t>
            </w:r>
          </w:p>
        </w:tc>
        <w:tc>
          <w:tcPr>
            <w:tcW w:w="6565" w:type="dxa"/>
          </w:tcPr>
          <w:p w14:paraId="5ACB3F51" w14:textId="77777777" w:rsidR="005B0B7E" w:rsidRDefault="005B0B7E" w:rsidP="005B79C7">
            <w:pPr>
              <w:rPr>
                <w:rFonts w:ascii="Arial" w:hAnsi="Arial" w:cs="Arial"/>
              </w:rPr>
            </w:pPr>
            <w:r>
              <w:rPr>
                <w:rFonts w:ascii="Arial" w:hAnsi="Arial" w:cs="Arial"/>
              </w:rPr>
              <w:t>Question(s)</w:t>
            </w:r>
          </w:p>
        </w:tc>
      </w:tr>
      <w:tr w:rsidR="005B0B7E" w14:paraId="7F898605" w14:textId="77777777" w:rsidTr="005B79C7">
        <w:tc>
          <w:tcPr>
            <w:tcW w:w="2785" w:type="dxa"/>
          </w:tcPr>
          <w:p w14:paraId="050651E2" w14:textId="77777777" w:rsidR="005B0B7E" w:rsidRDefault="005B0B7E" w:rsidP="005B79C7">
            <w:pPr>
              <w:rPr>
                <w:rFonts w:ascii="Arial" w:hAnsi="Arial" w:cs="Arial"/>
              </w:rPr>
            </w:pPr>
            <w:r>
              <w:rPr>
                <w:rFonts w:ascii="Arial" w:hAnsi="Arial" w:cs="Arial"/>
              </w:rPr>
              <w:t>Preoccupation</w:t>
            </w:r>
          </w:p>
        </w:tc>
        <w:tc>
          <w:tcPr>
            <w:tcW w:w="6565" w:type="dxa"/>
          </w:tcPr>
          <w:p w14:paraId="5E7FF343" w14:textId="77777777" w:rsidR="005B0B7E" w:rsidRDefault="005B0B7E" w:rsidP="005B79C7">
            <w:pPr>
              <w:rPr>
                <w:rFonts w:ascii="Arial" w:hAnsi="Arial" w:cs="Arial"/>
              </w:rPr>
            </w:pPr>
            <w:r>
              <w:rPr>
                <w:rFonts w:ascii="Arial" w:hAnsi="Arial" w:cs="Arial"/>
              </w:rPr>
              <w:t>Because my child has hemophilia…</w:t>
            </w:r>
          </w:p>
          <w:p w14:paraId="6DA438F7" w14:textId="77777777" w:rsidR="005B0B7E" w:rsidRDefault="005B0B7E" w:rsidP="005B0B7E">
            <w:pPr>
              <w:pStyle w:val="ListParagraph"/>
              <w:numPr>
                <w:ilvl w:val="0"/>
                <w:numId w:val="1"/>
              </w:numPr>
              <w:rPr>
                <w:rFonts w:ascii="Arial" w:hAnsi="Arial" w:cs="Arial"/>
              </w:rPr>
            </w:pPr>
            <w:r>
              <w:rPr>
                <w:rFonts w:ascii="Arial" w:hAnsi="Arial" w:cs="Arial"/>
              </w:rPr>
              <w:t>I worry about my child’s future</w:t>
            </w:r>
          </w:p>
          <w:p w14:paraId="502A3D96" w14:textId="77777777" w:rsidR="005B0B7E" w:rsidRPr="00866668" w:rsidRDefault="005B0B7E" w:rsidP="005B0B7E">
            <w:pPr>
              <w:pStyle w:val="ListParagraph"/>
              <w:numPr>
                <w:ilvl w:val="0"/>
                <w:numId w:val="1"/>
              </w:numPr>
              <w:rPr>
                <w:rFonts w:ascii="Arial" w:hAnsi="Arial" w:cs="Arial"/>
              </w:rPr>
            </w:pPr>
            <w:r>
              <w:rPr>
                <w:rFonts w:ascii="Arial" w:hAnsi="Arial" w:cs="Arial"/>
              </w:rPr>
              <w:t>I feel like I need to watch my child closely</w:t>
            </w:r>
          </w:p>
        </w:tc>
      </w:tr>
      <w:tr w:rsidR="005B0B7E" w14:paraId="01645A41" w14:textId="77777777" w:rsidTr="005B79C7">
        <w:tc>
          <w:tcPr>
            <w:tcW w:w="2785" w:type="dxa"/>
          </w:tcPr>
          <w:p w14:paraId="59E7688C" w14:textId="77777777" w:rsidR="005B0B7E" w:rsidRDefault="005B0B7E" w:rsidP="005B79C7">
            <w:pPr>
              <w:rPr>
                <w:rFonts w:ascii="Arial" w:hAnsi="Arial" w:cs="Arial"/>
              </w:rPr>
            </w:pPr>
            <w:r>
              <w:rPr>
                <w:rFonts w:ascii="Arial" w:hAnsi="Arial" w:cs="Arial"/>
              </w:rPr>
              <w:t>Treatment</w:t>
            </w:r>
          </w:p>
        </w:tc>
        <w:tc>
          <w:tcPr>
            <w:tcW w:w="6565" w:type="dxa"/>
          </w:tcPr>
          <w:p w14:paraId="1DA2B115" w14:textId="77777777" w:rsidR="005B0B7E" w:rsidRDefault="005B0B7E" w:rsidP="005B79C7">
            <w:pPr>
              <w:rPr>
                <w:rFonts w:ascii="Arial" w:hAnsi="Arial" w:cs="Arial"/>
              </w:rPr>
            </w:pPr>
            <w:r>
              <w:rPr>
                <w:rFonts w:ascii="Arial" w:hAnsi="Arial" w:cs="Arial"/>
              </w:rPr>
              <w:t>How much of a problem for you…</w:t>
            </w:r>
          </w:p>
          <w:p w14:paraId="05702D87" w14:textId="77777777" w:rsidR="005B0B7E" w:rsidRDefault="005B0B7E" w:rsidP="005B0B7E">
            <w:pPr>
              <w:pStyle w:val="ListParagraph"/>
              <w:numPr>
                <w:ilvl w:val="0"/>
                <w:numId w:val="2"/>
              </w:numPr>
              <w:rPr>
                <w:rFonts w:ascii="Arial" w:hAnsi="Arial" w:cs="Arial"/>
              </w:rPr>
            </w:pPr>
            <w:r>
              <w:rPr>
                <w:rFonts w:ascii="Arial" w:hAnsi="Arial" w:cs="Arial"/>
              </w:rPr>
              <w:t>is the time it takes for hemophilia treatment</w:t>
            </w:r>
          </w:p>
          <w:p w14:paraId="3B8F3EAE" w14:textId="77777777" w:rsidR="005B0B7E" w:rsidRPr="007F585F" w:rsidRDefault="005B0B7E" w:rsidP="005B0B7E">
            <w:pPr>
              <w:pStyle w:val="ListParagraph"/>
              <w:numPr>
                <w:ilvl w:val="0"/>
                <w:numId w:val="2"/>
              </w:numPr>
              <w:rPr>
                <w:rFonts w:ascii="Arial" w:hAnsi="Arial" w:cs="Arial"/>
              </w:rPr>
            </w:pPr>
            <w:r>
              <w:rPr>
                <w:rFonts w:ascii="Arial" w:hAnsi="Arial" w:cs="Arial"/>
              </w:rPr>
              <w:t>Is the frequency of hemophilia treatment</w:t>
            </w:r>
          </w:p>
        </w:tc>
      </w:tr>
    </w:tbl>
    <w:p w14:paraId="01E71635" w14:textId="77777777" w:rsidR="005B0B7E" w:rsidRDefault="005B0B7E" w:rsidP="005B0B7E">
      <w:pPr>
        <w:ind w:left="2160" w:firstLine="720"/>
        <w:rPr>
          <w:rFonts w:ascii="Aptos" w:hAnsi="Aptos"/>
          <w:color w:val="000000"/>
        </w:rPr>
      </w:pPr>
      <w:r>
        <w:rPr>
          <w:rFonts w:ascii="Aptos" w:hAnsi="Aptos"/>
          <w:color w:val="000000"/>
        </w:rPr>
        <w:t xml:space="preserve">©2023, Roche Products Limited </w:t>
      </w:r>
    </w:p>
    <w:p w14:paraId="194B9146" w14:textId="77777777" w:rsidR="005B0B7E" w:rsidRDefault="005B0B7E" w:rsidP="005B0B7E">
      <w:pPr>
        <w:ind w:left="2160" w:firstLine="720"/>
        <w:rPr>
          <w:rFonts w:ascii="Aptos" w:hAnsi="Aptos"/>
          <w:color w:val="000000"/>
        </w:rPr>
      </w:pPr>
    </w:p>
    <w:p w14:paraId="0310FB3E" w14:textId="77777777" w:rsidR="005B0B7E" w:rsidRPr="00AB6348" w:rsidRDefault="005B0B7E" w:rsidP="005B0B7E">
      <w:pPr>
        <w:ind w:hanging="90"/>
        <w:rPr>
          <w:rFonts w:ascii="Arial" w:hAnsi="Arial" w:cs="Arial"/>
          <w:color w:val="000000" w:themeColor="text1"/>
        </w:rPr>
      </w:pPr>
      <w:r>
        <w:rPr>
          <w:rFonts w:ascii="Aptos" w:hAnsi="Aptos"/>
          <w:color w:val="000000"/>
        </w:rPr>
        <w:t>*</w:t>
      </w:r>
      <w:r w:rsidRPr="00AB6348">
        <w:rPr>
          <w:rFonts w:ascii="Aptos" w:hAnsi="Aptos"/>
          <w:i/>
          <w:iCs/>
          <w:color w:val="000000" w:themeColor="text1"/>
        </w:rPr>
        <w:t>The CATCH© is protected by international copyright, with all rights reserved to Roche Products Limited. Do not use without permission. For information on, or permission to use the </w:t>
      </w:r>
      <w:r w:rsidRPr="00AB6348">
        <w:rPr>
          <w:rFonts w:ascii="Aptos" w:hAnsi="Aptos"/>
          <w:b/>
          <w:bCs/>
          <w:i/>
          <w:iCs/>
          <w:color w:val="000000" w:themeColor="text1"/>
        </w:rPr>
        <w:t>CATCH©</w:t>
      </w:r>
      <w:r w:rsidRPr="00AB6348">
        <w:rPr>
          <w:rFonts w:ascii="Aptos" w:hAnsi="Aptos"/>
          <w:b/>
          <w:bCs/>
          <w:color w:val="000000" w:themeColor="text1"/>
        </w:rPr>
        <w:t>, </w:t>
      </w:r>
      <w:r w:rsidRPr="00AB6348">
        <w:rPr>
          <w:rFonts w:ascii="Aptos" w:hAnsi="Aptos"/>
          <w:i/>
          <w:iCs/>
          <w:color w:val="000000" w:themeColor="text1"/>
        </w:rPr>
        <w:t>please contact Mapi Research Trust at </w:t>
      </w:r>
      <w:hyperlink r:id="rId5" w:tgtFrame="_blank" w:tooltip="https://eprovide.mapi-trust.org/" w:history="1">
        <w:r w:rsidRPr="00AB6348">
          <w:rPr>
            <w:rStyle w:val="Hyperlink"/>
            <w:rFonts w:ascii="Aptos" w:hAnsi="Aptos"/>
            <w:i/>
            <w:iCs/>
            <w:color w:val="000000" w:themeColor="text1"/>
          </w:rPr>
          <w:t>https://eprovide.mapi-trust.org</w:t>
        </w:r>
      </w:hyperlink>
      <w:r w:rsidRPr="00AB6348">
        <w:rPr>
          <w:rFonts w:ascii="Aptos" w:hAnsi="Aptos"/>
          <w:i/>
          <w:iCs/>
          <w:color w:val="000000" w:themeColor="text1"/>
        </w:rPr>
        <w:t> </w:t>
      </w:r>
      <w:r w:rsidRPr="00AB6348">
        <w:rPr>
          <w:rFonts w:ascii="Aptos" w:hAnsi="Aptos"/>
          <w:color w:val="000000" w:themeColor="text1"/>
          <w:lang w:val="en-IE"/>
        </w:rPr>
        <w:t>. </w:t>
      </w:r>
      <w:r w:rsidRPr="00AB6348">
        <w:rPr>
          <w:rFonts w:ascii="Aptos" w:hAnsi="Aptos"/>
          <w:i/>
          <w:iCs/>
          <w:color w:val="000000" w:themeColor="text1"/>
          <w:lang w:val="en-IE"/>
        </w:rPr>
        <w:t>The users who do not receive specific funding for their use of the questionnaire can download the CATCH from ePROVIDE</w:t>
      </w:r>
      <w:r w:rsidRPr="00AB6348">
        <w:rPr>
          <w:rFonts w:ascii="Aptos" w:hAnsi="Aptos"/>
          <w:i/>
          <w:iCs/>
          <w:color w:val="000000" w:themeColor="text1"/>
          <w:vertAlign w:val="superscript"/>
          <w:lang w:val="en-IE"/>
        </w:rPr>
        <w:t>TM</w:t>
      </w:r>
      <w:r w:rsidRPr="00AB6348">
        <w:rPr>
          <w:rFonts w:ascii="Aptos" w:hAnsi="Aptos"/>
          <w:i/>
          <w:iCs/>
          <w:color w:val="000000" w:themeColor="text1"/>
          <w:lang w:val="en-IE"/>
        </w:rPr>
        <w:t>, using the “online distribution” process.</w:t>
      </w:r>
    </w:p>
    <w:p w14:paraId="3D832552" w14:textId="77777777" w:rsidR="005B0B7E" w:rsidRDefault="005B0B7E" w:rsidP="005B0B7E">
      <w:pPr>
        <w:spacing w:line="480" w:lineRule="auto"/>
        <w:rPr>
          <w:rFonts w:ascii="Arial" w:hAnsi="Arial" w:cs="Arial"/>
        </w:rPr>
      </w:pPr>
    </w:p>
    <w:p w14:paraId="6B3B87EE" w14:textId="77777777" w:rsidR="005B0B7E" w:rsidRDefault="005B0B7E" w:rsidP="005B0B7E">
      <w:pPr>
        <w:spacing w:line="480" w:lineRule="auto"/>
        <w:rPr>
          <w:rFonts w:ascii="Arial" w:hAnsi="Arial" w:cs="Arial"/>
        </w:rPr>
      </w:pPr>
      <w:r>
        <w:rPr>
          <w:rFonts w:ascii="Arial" w:hAnsi="Arial" w:cs="Arial"/>
        </w:rPr>
        <w:t>Several of the previously developed hemophilia-specific PROs have been validated to varying degrees. The PROBE questionnaire has established face validity, good internal consistency reliability, strong correlations with other measures, and known-groups validity.</w:t>
      </w:r>
      <w:r>
        <w:rPr>
          <w:rFonts w:ascii="Arial" w:hAnsi="Arial" w:cs="Arial"/>
        </w:rPr>
        <w:fldChar w:fldCharType="begin">
          <w:fldData xml:space="preserve">PEVuZE5vdGU+PENpdGU+PEF1dGhvcj5DaGFpLUFkaXNha3NvcGhhPC9BdXRob3I+PFllYXI+MjAx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PEVuZE5vdGU+PENpdGU+PEF1dGhvcj5DaGFpLUFkaXNha3NvcGhhPC9BdXRob3I+PFllYXI+MjAx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36710C">
        <w:rPr>
          <w:rFonts w:ascii="Arial" w:hAnsi="Arial" w:cs="Arial"/>
          <w:noProof/>
          <w:vertAlign w:val="superscript"/>
        </w:rPr>
        <w:t>15,16</w:t>
      </w:r>
      <w:r>
        <w:rPr>
          <w:rFonts w:ascii="Arial" w:hAnsi="Arial" w:cs="Arial"/>
        </w:rPr>
        <w:fldChar w:fldCharType="end"/>
      </w:r>
      <w:r>
        <w:rPr>
          <w:rFonts w:ascii="Arial" w:hAnsi="Arial" w:cs="Arial"/>
        </w:rPr>
        <w:t xml:space="preserve"> The HAL has demonstrated high internal consistency and good convergent validity,</w:t>
      </w:r>
      <w:r>
        <w:rPr>
          <w:rFonts w:ascii="Arial" w:hAnsi="Arial" w:cs="Arial"/>
        </w:rPr>
        <w:fldChar w:fldCharType="begin"/>
      </w:r>
      <w:r>
        <w:rPr>
          <w:rFonts w:ascii="Arial" w:hAnsi="Arial" w:cs="Arial"/>
        </w:rPr>
        <w:instrText xml:space="preserve"> ADDIN EN.CITE &lt;EndNote&gt;&lt;Cite&gt;&lt;Author&gt;van Genderen&lt;/Author&gt;&lt;Year&gt;2006&lt;/Year&gt;&lt;RecNum&gt;29&lt;/RecNum&gt;&lt;DisplayText&gt;&lt;style face="superscript"&gt;17&lt;/style&gt;&lt;/DisplayText&gt;&lt;record&gt;&lt;rec-number&gt;29&lt;/rec-number&gt;&lt;foreign-keys&gt;&lt;key app="EN" db-id="xwsdrwsz8v2sx0e90wtxttzdedzwvr292d02" timestamp="1666364741"&gt;29&lt;/key&gt;&lt;/foreign-keys&gt;&lt;ref-type name="Journal Article"&gt;17&lt;/ref-type&gt;&lt;contributors&gt;&lt;authors&gt;&lt;author&gt;van Genderen, F. R.&lt;/author&gt;&lt;author&gt;Westers, P.&lt;/author&gt;&lt;author&gt;Heijnen, L.&lt;/author&gt;&lt;author&gt;de Kleijn, P.&lt;/author&gt;&lt;author&gt;van den Berg, H. M.&lt;/author&gt;&lt;author&gt;Helders, P. J.&lt;/author&gt;&lt;author&gt;van Meeteren, N. L.&lt;/author&gt;&lt;/authors&gt;&lt;/contributors&gt;&lt;auth-address&gt;Van Creveldkliniek, University Medical Centre Utrecht, Utrecht, The Netherlands. F.R.vanGenderen@umcutrecht.nl&lt;/auth-address&gt;&lt;titles&gt;&lt;title&gt;Measuring patients&amp;apos; perceptions on their functional abilities: validation of the Haemophilia Activities List&lt;/title&gt;&lt;secondary-title&gt;Haemophilia&lt;/secondary-title&gt;&lt;/titles&gt;&lt;periodical&gt;&lt;full-title&gt;Haemophilia&lt;/full-title&gt;&lt;/periodical&gt;&lt;pages&gt;36-46&lt;/pages&gt;&lt;volume&gt;12&lt;/volume&gt;&lt;number&gt;1&lt;/number&gt;&lt;keywords&gt;&lt;keyword&gt;*Activities of Daily Living&lt;/keyword&gt;&lt;keyword&gt;Adult&lt;/keyword&gt;&lt;keyword&gt;Arthritis/physiopathology&lt;/keyword&gt;&lt;keyword&gt;Exercise Test&lt;/keyword&gt;&lt;keyword&gt;Hemophilia A/*physiopathology&lt;/keyword&gt;&lt;keyword&gt;Hemophilia B/*physiopathology&lt;/keyword&gt;&lt;keyword&gt;Humans&lt;/keyword&gt;&lt;keyword&gt;Middle Aged&lt;/keyword&gt;&lt;keyword&gt;Personal Autonomy&lt;/keyword&gt;&lt;keyword&gt;Psychomotor Performance&lt;/keyword&gt;&lt;keyword&gt;Reproducibility of Results&lt;/keyword&gt;&lt;keyword&gt;Self Concept&lt;/keyword&gt;&lt;keyword&gt;Surveys and Questionnaires&lt;/keyword&gt;&lt;/keywords&gt;&lt;dates&gt;&lt;year&gt;2006&lt;/year&gt;&lt;pub-dates&gt;&lt;date&gt;Jan&lt;/date&gt;&lt;/pub-dates&gt;&lt;/dates&gt;&lt;isbn&gt;1351-8216 (Print)&amp;#xD;1351-8216&lt;/isbn&gt;&lt;accession-num&gt;16409173&lt;/accession-num&gt;&lt;urls&gt;&lt;/urls&gt;&lt;electronic-resource-num&gt;10.1111/j.1365-2516.2006.01186.x&lt;/electronic-resource-num&gt;&lt;remote-database-provider&gt;NLM&lt;/remote-database-provider&gt;&lt;language&gt;eng&lt;/language&gt;&lt;/record&gt;&lt;/Cite&gt;&lt;/EndNote&gt;</w:instrText>
      </w:r>
      <w:r>
        <w:rPr>
          <w:rFonts w:ascii="Arial" w:hAnsi="Arial" w:cs="Arial"/>
        </w:rPr>
        <w:fldChar w:fldCharType="separate"/>
      </w:r>
      <w:r w:rsidRPr="0036710C">
        <w:rPr>
          <w:rFonts w:ascii="Arial" w:hAnsi="Arial" w:cs="Arial"/>
          <w:noProof/>
          <w:vertAlign w:val="superscript"/>
        </w:rPr>
        <w:t>17</w:t>
      </w:r>
      <w:r>
        <w:rPr>
          <w:rFonts w:ascii="Arial" w:hAnsi="Arial" w:cs="Arial"/>
        </w:rPr>
        <w:fldChar w:fldCharType="end"/>
      </w:r>
      <w:r>
        <w:rPr>
          <w:rFonts w:ascii="Arial" w:hAnsi="Arial" w:cs="Arial"/>
        </w:rPr>
        <w:t xml:space="preserve"> and the pediatric version of the HAL showed moderate correlation to other measures and good test-retest reliability.</w:t>
      </w:r>
      <w:r>
        <w:rPr>
          <w:rFonts w:ascii="Arial" w:hAnsi="Arial" w:cs="Arial"/>
        </w:rPr>
        <w:fldChar w:fldCharType="begin"/>
      </w:r>
      <w:r>
        <w:rPr>
          <w:rFonts w:ascii="Arial" w:hAnsi="Arial" w:cs="Arial"/>
        </w:rPr>
        <w:instrText xml:space="preserve"> ADDIN EN.CITE &lt;EndNote&gt;&lt;Cite&gt;&lt;Author&gt;Groen&lt;/Author&gt;&lt;Year&gt;2010&lt;/Year&gt;&lt;RecNum&gt;30&lt;/RecNum&gt;&lt;DisplayText&gt;&lt;style face="superscript"&gt;18&lt;/style&gt;&lt;/DisplayText&gt;&lt;record&gt;&lt;rec-number&gt;30&lt;/rec-number&gt;&lt;foreign-keys&gt;&lt;key app="EN" db-id="xwsdrwsz8v2sx0e90wtxttzdedzwvr292d02" timestamp="1666364752"&gt;30&lt;/key&gt;&lt;/foreign-keys&gt;&lt;ref-type name="Journal Article"&gt;17&lt;/ref-type&gt;&lt;contributors&gt;&lt;authors&gt;&lt;author&gt;Groen, W. G.&lt;/author&gt;&lt;author&gt;van der Net, J.&lt;/author&gt;&lt;author&gt;Helders, P. J.&lt;/author&gt;&lt;author&gt;Fischer, K.&lt;/author&gt;&lt;/authors&gt;&lt;/contributors&gt;&lt;auth-address&gt;Child Development and Exercise Center, University Children&amp;apos;s Hospital, University Medical Center Utrecht, Utrecht.&lt;/auth-address&gt;&lt;titles&gt;&lt;title&gt;Development and preliminary testing of a Paediatric Version of the Haemophilia Activities List (pedhal)&lt;/title&gt;&lt;secondary-title&gt;Haemophilia&lt;/secondary-title&gt;&lt;/titles&gt;&lt;periodical&gt;&lt;full-title&gt;Haemophilia&lt;/full-title&gt;&lt;/periodical&gt;&lt;pages&gt;281-9&lt;/pages&gt;&lt;volume&gt;16&lt;/volume&gt;&lt;number&gt;2&lt;/number&gt;&lt;edition&gt;20091111&lt;/edition&gt;&lt;keywords&gt;&lt;keyword&gt;Activities of Daily Living/*psychology&lt;/keyword&gt;&lt;keyword&gt;Adolescent&lt;/keyword&gt;&lt;keyword&gt;Child&lt;/keyword&gt;&lt;keyword&gt;Child, Preschool&lt;/keyword&gt;&lt;keyword&gt;Hemophilia A/*psychology&lt;/keyword&gt;&lt;keyword&gt;Hemophilia B/*psychology&lt;/keyword&gt;&lt;keyword&gt;Humans&lt;/keyword&gt;&lt;keyword&gt;Netherlands&lt;/keyword&gt;&lt;keyword&gt;Parents/psychology&lt;/keyword&gt;&lt;keyword&gt;Pilot Projects&lt;/keyword&gt;&lt;keyword&gt;Psychometrics/*methods&lt;/keyword&gt;&lt;keyword&gt;Reproducibility of Results&lt;/keyword&gt;&lt;keyword&gt;Surveys and Questionnaires&lt;/keyword&gt;&lt;/keywords&gt;&lt;dates&gt;&lt;year&gt;2010&lt;/year&gt;&lt;pub-dates&gt;&lt;date&gt;Mar&lt;/date&gt;&lt;/pub-dates&gt;&lt;/dates&gt;&lt;isbn&gt;1351-8216&lt;/isbn&gt;&lt;accession-num&gt;19906160&lt;/accession-num&gt;&lt;urls&gt;&lt;/urls&gt;&lt;electronic-resource-num&gt;10.1111/j.1365-2516.2009.02136.x&lt;/electronic-resource-num&gt;&lt;remote-database-provider&gt;NLM&lt;/remote-database-provider&gt;&lt;language&gt;eng&lt;/language&gt;&lt;/record&gt;&lt;/Cite&gt;&lt;/EndNote&gt;</w:instrText>
      </w:r>
      <w:r>
        <w:rPr>
          <w:rFonts w:ascii="Arial" w:hAnsi="Arial" w:cs="Arial"/>
        </w:rPr>
        <w:fldChar w:fldCharType="separate"/>
      </w:r>
      <w:r w:rsidRPr="0036710C">
        <w:rPr>
          <w:rFonts w:ascii="Arial" w:hAnsi="Arial" w:cs="Arial"/>
          <w:noProof/>
          <w:vertAlign w:val="superscript"/>
        </w:rPr>
        <w:t>18</w:t>
      </w:r>
      <w:r>
        <w:rPr>
          <w:rFonts w:ascii="Arial" w:hAnsi="Arial" w:cs="Arial"/>
        </w:rPr>
        <w:fldChar w:fldCharType="end"/>
      </w:r>
      <w:r>
        <w:rPr>
          <w:rFonts w:ascii="Arial" w:hAnsi="Arial" w:cs="Arial"/>
        </w:rPr>
        <w:t xml:space="preserve"> The HAEMO-SYM, for measuring symptom severity, has shown good internal consistency and test-retest reliability, and high correlations with scores from other validated tools.</w:t>
      </w:r>
      <w:r>
        <w:rPr>
          <w:rFonts w:ascii="Arial" w:hAnsi="Arial" w:cs="Arial"/>
        </w:rPr>
        <w:fldChar w:fldCharType="begin"/>
      </w:r>
      <w:r>
        <w:rPr>
          <w:rFonts w:ascii="Arial" w:hAnsi="Arial" w:cs="Arial"/>
        </w:rPr>
        <w:instrText xml:space="preserve"> ADDIN EN.CITE &lt;EndNote&gt;&lt;Cite&gt;&lt;Author&gt;Rentz&lt;/Author&gt;&lt;Year&gt;2009&lt;/Year&gt;&lt;RecNum&gt;33&lt;/RecNum&gt;&lt;DisplayText&gt;&lt;style face="superscript"&gt;20&lt;/style&gt;&lt;/DisplayText&gt;&lt;record&gt;&lt;rec-number&gt;33&lt;/rec-number&gt;&lt;foreign-keys&gt;&lt;key app="EN" db-id="xwsdrwsz8v2sx0e90wtxttzdedzwvr292d02" timestamp="1666623152"&gt;33&lt;/key&gt;&lt;/foreign-keys&gt;&lt;ref-type name="Journal Article"&gt;17&lt;/ref-type&gt;&lt;contributors&gt;&lt;authors&gt;&lt;author&gt;Rentz, A.&lt;/author&gt;&lt;author&gt;Flood, E.&lt;/author&gt;&lt;author&gt;Butler, R.&lt;/author&gt;&lt;author&gt;Christie, B.&lt;/author&gt;&lt;author&gt;Giangrande, P.&lt;/author&gt;&lt;author&gt;McCusker, P.&lt;/author&gt;&lt;author&gt;Wasserman, J.&lt;/author&gt;&lt;author&gt;Gorina, E.&lt;/author&gt;&lt;/authors&gt;&lt;/contributors&gt;&lt;auth-address&gt;The Center for Health Outcomes Research at UBC, Bethesda, MD, USA.&lt;/auth-address&gt;&lt;titles&gt;&lt;title&gt;Psychometric evaluation of a patient-reported symptom assessment tool for adults with haemophilia (the HAEMO-SYM)&lt;/title&gt;&lt;secondary-title&gt;Haemophilia&lt;/secondary-title&gt;&lt;/titles&gt;&lt;periodical&gt;&lt;full-title&gt;Haemophilia&lt;/full-title&gt;&lt;/periodical&gt;&lt;pages&gt;1039-47&lt;/pages&gt;&lt;volume&gt;15&lt;/volume&gt;&lt;number&gt;5&lt;/number&gt;&lt;edition&gt;20090610&lt;/edition&gt;&lt;keywords&gt;&lt;keyword&gt;Activities of Daily Living/*psychology&lt;/keyword&gt;&lt;keyword&gt;Adult&lt;/keyword&gt;&lt;keyword&gt;Canada&lt;/keyword&gt;&lt;keyword&gt;Cross-Cultural Comparison&lt;/keyword&gt;&lt;keyword&gt;Hemophilia A/complications/*psychology/therapy&lt;/keyword&gt;&lt;keyword&gt;Humans&lt;/keyword&gt;&lt;keyword&gt;Male&lt;/keyword&gt;&lt;keyword&gt;Psychometrics/methods&lt;/keyword&gt;&lt;keyword&gt;Quality of Life/*psychology&lt;/keyword&gt;&lt;keyword&gt;Severity of Illness Index&lt;/keyword&gt;&lt;keyword&gt;Surveys and Questionnaires&lt;/keyword&gt;&lt;keyword&gt;Treatment Outcome&lt;/keyword&gt;&lt;keyword&gt;United States&lt;/keyword&gt;&lt;/keywords&gt;&lt;dates&gt;&lt;year&gt;2009&lt;/year&gt;&lt;pub-dates&gt;&lt;date&gt;Sep&lt;/date&gt;&lt;/pub-dates&gt;&lt;/dates&gt;&lt;isbn&gt;1351-8216&lt;/isbn&gt;&lt;accession-num&gt;19515029&lt;/accession-num&gt;&lt;urls&gt;&lt;/urls&gt;&lt;electronic-resource-num&gt;10.1111/j.1365-2516.2008.01955.x&lt;/electronic-resource-num&gt;&lt;remote-database-provider&gt;NLM&lt;/remote-database-provider&gt;&lt;language&gt;eng&lt;/language&gt;&lt;/record&gt;&lt;/Cite&gt;&lt;/EndNote&gt;</w:instrText>
      </w:r>
      <w:r>
        <w:rPr>
          <w:rFonts w:ascii="Arial" w:hAnsi="Arial" w:cs="Arial"/>
        </w:rPr>
        <w:fldChar w:fldCharType="separate"/>
      </w:r>
      <w:r w:rsidRPr="0036710C">
        <w:rPr>
          <w:rFonts w:ascii="Arial" w:hAnsi="Arial" w:cs="Arial"/>
          <w:noProof/>
          <w:vertAlign w:val="superscript"/>
        </w:rPr>
        <w:t>20</w:t>
      </w:r>
      <w:r>
        <w:rPr>
          <w:rFonts w:ascii="Arial" w:hAnsi="Arial" w:cs="Arial"/>
        </w:rPr>
        <w:fldChar w:fldCharType="end"/>
      </w:r>
      <w:r>
        <w:rPr>
          <w:rFonts w:ascii="Arial" w:hAnsi="Arial" w:cs="Arial"/>
        </w:rPr>
        <w:t xml:space="preserve"> When tested in children with hemophilia aged 4 to 16, the Haemo-QoL demonstrated acceptable internal consistency, test-retest reliability, as well as discriminant and convergent validity,</w:t>
      </w:r>
      <w:r>
        <w:rPr>
          <w:rFonts w:ascii="Arial" w:hAnsi="Arial" w:cs="Arial"/>
        </w:rPr>
        <w:fldChar w:fldCharType="begin"/>
      </w:r>
      <w:r>
        <w:rPr>
          <w:rFonts w:ascii="Arial" w:hAnsi="Arial" w:cs="Arial"/>
        </w:rPr>
        <w:instrText xml:space="preserve"> ADDIN EN.CITE &lt;EndNote&gt;&lt;Cite&gt;&lt;Author&gt;von Mackensen&lt;/Author&gt;&lt;Year&gt;2004&lt;/Year&gt;&lt;RecNum&gt;28&lt;/RecNum&gt;&lt;DisplayText&gt;&lt;style face="superscript"&gt;23&lt;/style&gt;&lt;/DisplayText&gt;&lt;record&gt;&lt;rec-number&gt;28&lt;/rec-number&gt;&lt;foreign-keys&gt;&lt;key app="EN" db-id="xwsdrwsz8v2sx0e90wtxttzdedzwvr292d02" timestamp="1666364733"&gt;28&lt;/key&gt;&lt;/foreign-keys&gt;&lt;ref-type name="Journal Article"&gt;17&lt;/ref-type&gt;&lt;contributors&gt;&lt;authors&gt;&lt;author&gt;von Mackensen, S.&lt;/author&gt;&lt;author&gt;Bullinger, M.&lt;/author&gt;&lt;/authors&gt;&lt;/contributors&gt;&lt;auth-address&gt;Institute and Policlinic for Medical Psychology, University Hospital of Hamburg-Eppendorf, Hamburg, Germany. s.mackensen@uke.uni-hamburg.de&lt;/auth-address&gt;&lt;titles&gt;&lt;title&gt;Development and testing of an instrument to assess the Quality of Life of Children with Haemophilia in Europe (Haemo-QoL)&lt;/title&gt;&lt;secondary-title&gt;Haemophilia&lt;/secondary-title&gt;&lt;/titles&gt;&lt;periodical&gt;&lt;full-title&gt;Haemophilia&lt;/full-title&gt;&lt;/periodical&gt;&lt;pages&gt;17-25&lt;/pages&gt;&lt;volume&gt;10 Suppl 1&lt;/volume&gt;&lt;keywords&gt;&lt;keyword&gt;Adolescent&lt;/keyword&gt;&lt;keyword&gt;Age Factors&lt;/keyword&gt;&lt;keyword&gt;Child&lt;/keyword&gt;&lt;keyword&gt;Child, Preschool&lt;/keyword&gt;&lt;keyword&gt;Cross-Cultural Comparison&lt;/keyword&gt;&lt;keyword&gt;Cross-Sectional Studies&lt;/keyword&gt;&lt;keyword&gt;Educational Status&lt;/keyword&gt;&lt;keyword&gt;Female&lt;/keyword&gt;&lt;keyword&gt;Health Status&lt;/keyword&gt;&lt;keyword&gt;Hemophilia A/*psychology&lt;/keyword&gt;&lt;keyword&gt;Humans&lt;/keyword&gt;&lt;keyword&gt;Infant&lt;/keyword&gt;&lt;keyword&gt;Male&lt;/keyword&gt;&lt;keyword&gt;Marital Status&lt;/keyword&gt;&lt;keyword&gt;Psychometrics&lt;/keyword&gt;&lt;keyword&gt;*Quality of Life&lt;/keyword&gt;&lt;keyword&gt;Surveys and Questionnaires/*standards&lt;/keyword&gt;&lt;/keywords&gt;&lt;dates&gt;&lt;year&gt;2004&lt;/year&gt;&lt;pub-dates&gt;&lt;date&gt;Mar&lt;/date&gt;&lt;/pub-dates&gt;&lt;/dates&gt;&lt;isbn&gt;1351-8216 (Print)&amp;#xD;1351-8216&lt;/isbn&gt;&lt;accession-num&gt;14987245&lt;/accession-num&gt;&lt;urls&gt;&lt;/urls&gt;&lt;electronic-resource-num&gt;10.1111/j.1355-0691.2004.00875.x&lt;/electronic-resource-num&gt;&lt;remote-database-provider&gt;NLM&lt;/remote-database-provider&gt;&lt;language&gt;eng&lt;/language&gt;&lt;/record&gt;&lt;/Cite&gt;&lt;/EndNote&gt;</w:instrText>
      </w:r>
      <w:r>
        <w:rPr>
          <w:rFonts w:ascii="Arial" w:hAnsi="Arial" w:cs="Arial"/>
        </w:rPr>
        <w:fldChar w:fldCharType="separate"/>
      </w:r>
      <w:r w:rsidRPr="0036710C">
        <w:rPr>
          <w:rFonts w:ascii="Arial" w:hAnsi="Arial" w:cs="Arial"/>
          <w:noProof/>
          <w:vertAlign w:val="superscript"/>
        </w:rPr>
        <w:t>23</w:t>
      </w:r>
      <w:r>
        <w:rPr>
          <w:rFonts w:ascii="Arial" w:hAnsi="Arial" w:cs="Arial"/>
        </w:rPr>
        <w:fldChar w:fldCharType="end"/>
      </w:r>
      <w:r>
        <w:rPr>
          <w:rFonts w:ascii="Arial" w:hAnsi="Arial" w:cs="Arial"/>
        </w:rPr>
        <w:t xml:space="preserve"> and for adults, the Haemo-Qol-A has shown good internal consistency, and test-retest reliability, along with good concurrent validity when correlated with other validated measures.</w:t>
      </w:r>
      <w:r>
        <w:rPr>
          <w:rFonts w:ascii="Arial" w:hAnsi="Arial" w:cs="Arial"/>
        </w:rPr>
        <w:fldChar w:fldCharType="begin"/>
      </w:r>
      <w:r>
        <w:rPr>
          <w:rFonts w:ascii="Arial" w:hAnsi="Arial" w:cs="Arial"/>
        </w:rPr>
        <w:instrText xml:space="preserve"> ADDIN EN.CITE &lt;EndNote&gt;&lt;Cite&gt;&lt;Author&gt;Rentz&lt;/Author&gt;&lt;Year&gt;2008&lt;/Year&gt;&lt;RecNum&gt;27&lt;/RecNum&gt;&lt;DisplayText&gt;&lt;style face="superscript"&gt;21&lt;/style&gt;&lt;/DisplayText&gt;&lt;record&gt;&lt;rec-number&gt;27&lt;/rec-number&gt;&lt;foreign-keys&gt;&lt;key app="EN" db-id="xwsdrwsz8v2sx0e90wtxttzdedzwvr292d02" timestamp="1666364725"&gt;27&lt;/key&gt;&lt;/foreign-keys&gt;&lt;ref-type name="Journal Article"&gt;17&lt;/ref-type&gt;&lt;contributors&gt;&lt;authors&gt;&lt;author&gt;Rentz, A.&lt;/author&gt;&lt;author&gt;Flood, E.&lt;/author&gt;&lt;author&gt;Altisent, C.&lt;/author&gt;&lt;author&gt;Bullinger, M.&lt;/author&gt;&lt;author&gt;Klamroth, R.&lt;/author&gt;&lt;author&gt;Garrido, R. P.&lt;/author&gt;&lt;author&gt;Scharrer, I.&lt;/author&gt;&lt;author&gt;Schramm, W.&lt;/author&gt;&lt;author&gt;Gorina, E.&lt;/author&gt;&lt;/authors&gt;&lt;/contributors&gt;&lt;auth-address&gt;The Center for Health Outcomes Research at UBC, Bethesda, MD, USA.&lt;/auth-address&gt;&lt;titles&gt;&lt;title&gt;Cross-cultural development and psychometric evaluation of a patient-reported health-related quality of life questionnaire for adults with haemophilia&lt;/title&gt;&lt;secondary-title&gt;Haemophilia&lt;/secondary-title&gt;&lt;/titles&gt;&lt;periodical&gt;&lt;full-title&gt;Haemophilia&lt;/full-title&gt;&lt;/periodical&gt;&lt;pages&gt;1023-34&lt;/pages&gt;&lt;volume&gt;14&lt;/volume&gt;&lt;number&gt;5&lt;/number&gt;&lt;edition&gt;20080728&lt;/edition&gt;&lt;keywords&gt;&lt;keyword&gt;Activities of Daily Living&lt;/keyword&gt;&lt;keyword&gt;Adult&lt;/keyword&gt;&lt;keyword&gt;*Attitude to Health&lt;/keyword&gt;&lt;keyword&gt;Cross-Cultural Comparison&lt;/keyword&gt;&lt;keyword&gt;Epidemiologic Methods&lt;/keyword&gt;&lt;keyword&gt;HIV Infections/complications&lt;/keyword&gt;&lt;keyword&gt;Hemophilia A/physiopathology/psychology/*rehabilitation/therapy&lt;/keyword&gt;&lt;keyword&gt;Humans&lt;/keyword&gt;&lt;keyword&gt;Male&lt;/keyword&gt;&lt;keyword&gt;Middle Aged&lt;/keyword&gt;&lt;keyword&gt;Psychometrics&lt;/keyword&gt;&lt;keyword&gt;*Quality of Life&lt;/keyword&gt;&lt;keyword&gt;Young Adult&lt;/keyword&gt;&lt;/keywords&gt;&lt;dates&gt;&lt;year&gt;2008&lt;/year&gt;&lt;pub-dates&gt;&lt;date&gt;Sep&lt;/date&gt;&lt;/pub-dates&gt;&lt;/dates&gt;&lt;isbn&gt;1351-8216&lt;/isbn&gt;&lt;accession-num&gt;18665853&lt;/accession-num&gt;&lt;urls&gt;&lt;/urls&gt;&lt;electronic-resource-num&gt;10.1111/j.1365-2516.2008.01812.x&lt;/electronic-resource-num&gt;&lt;remote-database-provider&gt;NLM&lt;/remote-database-provider&gt;&lt;language&gt;eng&lt;/language&gt;&lt;/record&gt;&lt;/Cite&gt;&lt;/EndNote&gt;</w:instrText>
      </w:r>
      <w:r>
        <w:rPr>
          <w:rFonts w:ascii="Arial" w:hAnsi="Arial" w:cs="Arial"/>
        </w:rPr>
        <w:fldChar w:fldCharType="separate"/>
      </w:r>
      <w:r w:rsidRPr="0036710C">
        <w:rPr>
          <w:rFonts w:ascii="Arial" w:hAnsi="Arial" w:cs="Arial"/>
          <w:noProof/>
          <w:vertAlign w:val="superscript"/>
        </w:rPr>
        <w:t>21</w:t>
      </w:r>
      <w:r>
        <w:rPr>
          <w:rFonts w:ascii="Arial" w:hAnsi="Arial" w:cs="Arial"/>
        </w:rPr>
        <w:fldChar w:fldCharType="end"/>
      </w:r>
      <w:r>
        <w:rPr>
          <w:rFonts w:ascii="Arial" w:hAnsi="Arial" w:cs="Arial"/>
        </w:rPr>
        <w:t xml:space="preserve"> The CATCH 2.0 provides a brief, accessible measure that is relevant for PwH and can be used in practice settings as well as for clinical research. The shorter </w:t>
      </w:r>
      <w:r>
        <w:rPr>
          <w:rFonts w:ascii="Arial" w:hAnsi="Arial" w:cs="Arial"/>
        </w:rPr>
        <w:lastRenderedPageBreak/>
        <w:t>length and easier scoring compared with the CATCH 1.0 should reduce the burden on both respondents and clinicians.</w:t>
      </w:r>
    </w:p>
    <w:p w14:paraId="65DA930B" w14:textId="77777777" w:rsidR="005B0B7E" w:rsidRDefault="005B0B7E" w:rsidP="005B0B7E">
      <w:pPr>
        <w:spacing w:line="480" w:lineRule="auto"/>
        <w:rPr>
          <w:rFonts w:ascii="Arial" w:hAnsi="Arial" w:cs="Arial"/>
        </w:rPr>
      </w:pPr>
    </w:p>
    <w:p w14:paraId="0D480842" w14:textId="77777777" w:rsidR="005B0B7E" w:rsidRDefault="005B0B7E" w:rsidP="005B0B7E">
      <w:pPr>
        <w:spacing w:line="480" w:lineRule="auto"/>
        <w:rPr>
          <w:rFonts w:ascii="Arial" w:hAnsi="Arial" w:cs="Arial"/>
        </w:rPr>
      </w:pPr>
      <w:r>
        <w:rPr>
          <w:rFonts w:ascii="Arial" w:hAnsi="Arial" w:cs="Arial"/>
        </w:rPr>
        <w:t>The strengths of these current analyses include t</w:t>
      </w:r>
      <w:r w:rsidRPr="005C5CFF">
        <w:rPr>
          <w:rFonts w:ascii="Arial" w:hAnsi="Arial" w:cs="Arial"/>
        </w:rPr>
        <w:t>he inclusion of individuals with hemophilia A and B with a variety of disease severity, from the pooling of data from 3 different studies.</w:t>
      </w:r>
      <w:r>
        <w:rPr>
          <w:rFonts w:ascii="Arial" w:hAnsi="Arial" w:cs="Arial"/>
        </w:rPr>
        <w:t xml:space="preserve"> </w:t>
      </w:r>
      <w:r w:rsidRPr="005C5CFF">
        <w:rPr>
          <w:rFonts w:ascii="Arial" w:hAnsi="Arial" w:cs="Arial"/>
        </w:rPr>
        <w:t>Multiple c</w:t>
      </w:r>
      <w:r>
        <w:rPr>
          <w:rFonts w:ascii="Arial" w:hAnsi="Arial" w:cs="Arial"/>
        </w:rPr>
        <w:t>riterion</w:t>
      </w:r>
      <w:r w:rsidRPr="005C5CFF">
        <w:rPr>
          <w:rFonts w:ascii="Arial" w:hAnsi="Arial" w:cs="Arial"/>
        </w:rPr>
        <w:t xml:space="preserve"> measures and multiple methods to assess measurement properties were utilized when possible. For example, known-groups validity used self-rated disease severity, ABR, and inhibitor status groups, while convergent validity used the EQ-5D</w:t>
      </w:r>
      <w:r>
        <w:rPr>
          <w:rFonts w:ascii="Arial" w:hAnsi="Arial" w:cs="Arial"/>
        </w:rPr>
        <w:t>-5L</w:t>
      </w:r>
      <w:r w:rsidRPr="005C5CFF">
        <w:rPr>
          <w:rFonts w:ascii="Arial" w:hAnsi="Arial" w:cs="Arial"/>
        </w:rPr>
        <w:t xml:space="preserve">, WPAI, and pain ratings. </w:t>
      </w:r>
      <w:r>
        <w:rPr>
          <w:rFonts w:ascii="Arial" w:hAnsi="Arial" w:cs="Arial"/>
        </w:rPr>
        <w:t>However, limitations include that f</w:t>
      </w:r>
      <w:r w:rsidRPr="005C5CFF">
        <w:rPr>
          <w:rFonts w:ascii="Arial" w:hAnsi="Arial" w:cs="Arial"/>
        </w:rPr>
        <w:t>actor structures reported have not been confirmed in an independent sample (due to sample size for all three versions of the CATCH)</w:t>
      </w:r>
      <w:r>
        <w:rPr>
          <w:rFonts w:ascii="Arial" w:hAnsi="Arial" w:cs="Arial"/>
        </w:rPr>
        <w:t>, and that a</w:t>
      </w:r>
      <w:r w:rsidRPr="005C5CFF">
        <w:rPr>
          <w:rFonts w:ascii="Arial" w:hAnsi="Arial" w:cs="Arial"/>
        </w:rPr>
        <w:t xml:space="preserve">nchor-based methods to estimate </w:t>
      </w:r>
      <w:r>
        <w:rPr>
          <w:rFonts w:ascii="Arial" w:hAnsi="Arial" w:cs="Arial"/>
        </w:rPr>
        <w:t>a clinically meaningful change</w:t>
      </w:r>
      <w:r w:rsidRPr="005C5CFF">
        <w:rPr>
          <w:rFonts w:ascii="Arial" w:hAnsi="Arial" w:cs="Arial"/>
        </w:rPr>
        <w:t xml:space="preserve"> were not possible.</w:t>
      </w:r>
      <w:r>
        <w:rPr>
          <w:rFonts w:ascii="Arial" w:hAnsi="Arial" w:cs="Arial"/>
        </w:rPr>
        <w:t xml:space="preserve"> It should also be noted that combining individuals with past or current inhibitors into the same group when assessing known-groups validity was done because of small sample sizes, even though clinically they may differ. And, while test-retest reliability in general was acceptable, some coefficients were lower than hoped. An additional limitation is the lack of additional criterion measures to better assess validity. </w:t>
      </w:r>
    </w:p>
    <w:p w14:paraId="1F7177BD" w14:textId="77777777" w:rsidR="005B0B7E" w:rsidRDefault="005B0B7E" w:rsidP="005B0B7E">
      <w:pPr>
        <w:spacing w:line="480" w:lineRule="auto"/>
        <w:rPr>
          <w:rFonts w:ascii="Arial" w:hAnsi="Arial" w:cs="Arial"/>
        </w:rPr>
      </w:pPr>
    </w:p>
    <w:p w14:paraId="5F0B4422" w14:textId="77777777" w:rsidR="005B0B7E" w:rsidRDefault="005B0B7E" w:rsidP="005B0B7E">
      <w:pPr>
        <w:spacing w:line="480" w:lineRule="auto"/>
        <w:rPr>
          <w:rFonts w:ascii="Arial" w:hAnsi="Arial" w:cs="Arial"/>
        </w:rPr>
      </w:pPr>
      <w:r>
        <w:rPr>
          <w:rFonts w:ascii="Arial" w:hAnsi="Arial" w:cs="Arial"/>
        </w:rPr>
        <w:t>Future research s</w:t>
      </w:r>
      <w:r w:rsidRPr="005C5CFF">
        <w:rPr>
          <w:rFonts w:ascii="Arial" w:hAnsi="Arial" w:cs="Arial"/>
        </w:rPr>
        <w:t xml:space="preserve">hould </w:t>
      </w:r>
      <w:r>
        <w:rPr>
          <w:rFonts w:ascii="Arial" w:hAnsi="Arial" w:cs="Arial"/>
        </w:rPr>
        <w:t xml:space="preserve">further </w:t>
      </w:r>
      <w:r w:rsidRPr="005C5CFF">
        <w:rPr>
          <w:rFonts w:ascii="Arial" w:hAnsi="Arial" w:cs="Arial"/>
        </w:rPr>
        <w:t xml:space="preserve">evaluate </w:t>
      </w:r>
      <w:r>
        <w:rPr>
          <w:rFonts w:ascii="Arial" w:hAnsi="Arial" w:cs="Arial"/>
        </w:rPr>
        <w:t xml:space="preserve">those specific </w:t>
      </w:r>
      <w:r w:rsidRPr="005C5CFF">
        <w:rPr>
          <w:rFonts w:ascii="Arial" w:hAnsi="Arial" w:cs="Arial"/>
        </w:rPr>
        <w:t xml:space="preserve">measurement properties that did not perform well or could not be estimated. </w:t>
      </w:r>
      <w:r>
        <w:rPr>
          <w:rFonts w:ascii="Arial" w:hAnsi="Arial" w:cs="Arial"/>
        </w:rPr>
        <w:t>Specifically, r</w:t>
      </w:r>
      <w:r w:rsidRPr="005C5CFF">
        <w:rPr>
          <w:rFonts w:ascii="Arial" w:hAnsi="Arial" w:cs="Arial"/>
        </w:rPr>
        <w:t>esponsiveness should be estimated in a</w:t>
      </w:r>
      <w:r>
        <w:rPr>
          <w:rFonts w:ascii="Arial" w:hAnsi="Arial" w:cs="Arial"/>
        </w:rPr>
        <w:t xml:space="preserve"> </w:t>
      </w:r>
      <w:r w:rsidRPr="005C5CFF">
        <w:rPr>
          <w:rFonts w:ascii="Arial" w:hAnsi="Arial" w:cs="Arial"/>
        </w:rPr>
        <w:t>population expected to change (</w:t>
      </w:r>
      <w:r>
        <w:rPr>
          <w:rFonts w:ascii="Arial" w:hAnsi="Arial" w:cs="Arial"/>
        </w:rPr>
        <w:t xml:space="preserve">i.e., an </w:t>
      </w:r>
      <w:r w:rsidRPr="005C5CFF">
        <w:rPr>
          <w:rFonts w:ascii="Arial" w:hAnsi="Arial" w:cs="Arial"/>
        </w:rPr>
        <w:t xml:space="preserve">upcoming clinical trial) </w:t>
      </w:r>
      <w:r>
        <w:rPr>
          <w:rFonts w:ascii="Arial" w:hAnsi="Arial" w:cs="Arial"/>
        </w:rPr>
        <w:t>and</w:t>
      </w:r>
      <w:r w:rsidRPr="005C5CFF">
        <w:rPr>
          <w:rFonts w:ascii="Arial" w:hAnsi="Arial" w:cs="Arial"/>
        </w:rPr>
        <w:t xml:space="preserve"> </w:t>
      </w:r>
      <w:r>
        <w:rPr>
          <w:rFonts w:ascii="Arial" w:hAnsi="Arial" w:cs="Arial"/>
        </w:rPr>
        <w:t>a clinically meaningful change should be estimated</w:t>
      </w:r>
      <w:r w:rsidRPr="005C5CFF">
        <w:rPr>
          <w:rFonts w:ascii="Arial" w:hAnsi="Arial" w:cs="Arial"/>
        </w:rPr>
        <w:t xml:space="preserve"> using acceptable anchors.</w:t>
      </w:r>
      <w:r>
        <w:rPr>
          <w:rFonts w:ascii="Arial" w:hAnsi="Arial" w:cs="Arial"/>
        </w:rPr>
        <w:t xml:space="preserve"> </w:t>
      </w:r>
    </w:p>
    <w:p w14:paraId="4E41A837" w14:textId="77777777" w:rsidR="005B0B7E" w:rsidRDefault="005B0B7E" w:rsidP="005B0B7E">
      <w:pPr>
        <w:spacing w:line="480" w:lineRule="auto"/>
        <w:rPr>
          <w:rFonts w:ascii="Arial" w:hAnsi="Arial" w:cs="Arial"/>
        </w:rPr>
      </w:pPr>
    </w:p>
    <w:p w14:paraId="47DF13FB" w14:textId="77777777" w:rsidR="005B0B7E" w:rsidRPr="005C5CFF" w:rsidRDefault="005B0B7E" w:rsidP="005B0B7E">
      <w:pPr>
        <w:spacing w:line="480" w:lineRule="auto"/>
        <w:rPr>
          <w:rFonts w:ascii="Arial" w:hAnsi="Arial" w:cs="Arial"/>
        </w:rPr>
      </w:pPr>
      <w:r>
        <w:rPr>
          <w:rFonts w:ascii="Arial" w:hAnsi="Arial" w:cs="Arial"/>
        </w:rPr>
        <w:lastRenderedPageBreak/>
        <w:t>The CATCH 2.0 is a more accessible version of CATCH 1.0 and has demonstrated psychometric properties for most scales and versions of the CATCH 2.0. The validity and reliability demonstrated by these results, along with its brevity, should permit its use in both clinical practice and clinical research.</w:t>
      </w:r>
    </w:p>
    <w:p w14:paraId="22ADA9C4"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2605"/>
    <w:multiLevelType w:val="hybridMultilevel"/>
    <w:tmpl w:val="9424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B5A81"/>
    <w:multiLevelType w:val="hybridMultilevel"/>
    <w:tmpl w:val="AED2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C635D5"/>
    <w:multiLevelType w:val="hybridMultilevel"/>
    <w:tmpl w:val="E854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F50AE3"/>
    <w:multiLevelType w:val="hybridMultilevel"/>
    <w:tmpl w:val="D044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772515"/>
    <w:multiLevelType w:val="hybridMultilevel"/>
    <w:tmpl w:val="93E4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4722600">
    <w:abstractNumId w:val="0"/>
  </w:num>
  <w:num w:numId="2" w16cid:durableId="1472288199">
    <w:abstractNumId w:val="3"/>
  </w:num>
  <w:num w:numId="3" w16cid:durableId="1814833372">
    <w:abstractNumId w:val="4"/>
  </w:num>
  <w:num w:numId="4" w16cid:durableId="1022708443">
    <w:abstractNumId w:val="1"/>
  </w:num>
  <w:num w:numId="5" w16cid:durableId="941885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7E"/>
    <w:rsid w:val="00240B2D"/>
    <w:rsid w:val="00331A6B"/>
    <w:rsid w:val="005B0B7E"/>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0C05"/>
  <w15:chartTrackingRefBased/>
  <w15:docId w15:val="{F21B223F-CFC1-410C-A84F-F8011855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B7E"/>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5B0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B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B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B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B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B7E"/>
    <w:rPr>
      <w:rFonts w:eastAsiaTheme="majorEastAsia" w:cstheme="majorBidi"/>
      <w:color w:val="272727" w:themeColor="text1" w:themeTint="D8"/>
    </w:rPr>
  </w:style>
  <w:style w:type="paragraph" w:styleId="Title">
    <w:name w:val="Title"/>
    <w:basedOn w:val="Normal"/>
    <w:next w:val="Normal"/>
    <w:link w:val="TitleChar"/>
    <w:uiPriority w:val="10"/>
    <w:qFormat/>
    <w:rsid w:val="005B0B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B7E"/>
    <w:pPr>
      <w:spacing w:before="160"/>
      <w:jc w:val="center"/>
    </w:pPr>
    <w:rPr>
      <w:i/>
      <w:iCs/>
      <w:color w:val="404040" w:themeColor="text1" w:themeTint="BF"/>
    </w:rPr>
  </w:style>
  <w:style w:type="character" w:customStyle="1" w:styleId="QuoteChar">
    <w:name w:val="Quote Char"/>
    <w:basedOn w:val="DefaultParagraphFont"/>
    <w:link w:val="Quote"/>
    <w:uiPriority w:val="29"/>
    <w:rsid w:val="005B0B7E"/>
    <w:rPr>
      <w:i/>
      <w:iCs/>
      <w:color w:val="404040" w:themeColor="text1" w:themeTint="BF"/>
    </w:rPr>
  </w:style>
  <w:style w:type="paragraph" w:styleId="ListParagraph">
    <w:name w:val="List Paragraph"/>
    <w:basedOn w:val="Normal"/>
    <w:link w:val="ListParagraphChar"/>
    <w:uiPriority w:val="34"/>
    <w:qFormat/>
    <w:rsid w:val="005B0B7E"/>
    <w:pPr>
      <w:ind w:left="720"/>
      <w:contextualSpacing/>
    </w:pPr>
  </w:style>
  <w:style w:type="character" w:styleId="IntenseEmphasis">
    <w:name w:val="Intense Emphasis"/>
    <w:basedOn w:val="DefaultParagraphFont"/>
    <w:uiPriority w:val="21"/>
    <w:qFormat/>
    <w:rsid w:val="005B0B7E"/>
    <w:rPr>
      <w:i/>
      <w:iCs/>
      <w:color w:val="0F4761" w:themeColor="accent1" w:themeShade="BF"/>
    </w:rPr>
  </w:style>
  <w:style w:type="paragraph" w:styleId="IntenseQuote">
    <w:name w:val="Intense Quote"/>
    <w:basedOn w:val="Normal"/>
    <w:next w:val="Normal"/>
    <w:link w:val="IntenseQuoteChar"/>
    <w:uiPriority w:val="30"/>
    <w:qFormat/>
    <w:rsid w:val="005B0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B7E"/>
    <w:rPr>
      <w:i/>
      <w:iCs/>
      <w:color w:val="0F4761" w:themeColor="accent1" w:themeShade="BF"/>
    </w:rPr>
  </w:style>
  <w:style w:type="character" w:styleId="IntenseReference">
    <w:name w:val="Intense Reference"/>
    <w:basedOn w:val="DefaultParagraphFont"/>
    <w:uiPriority w:val="32"/>
    <w:qFormat/>
    <w:rsid w:val="005B0B7E"/>
    <w:rPr>
      <w:b/>
      <w:bCs/>
      <w:smallCaps/>
      <w:color w:val="0F4761" w:themeColor="accent1" w:themeShade="BF"/>
      <w:spacing w:val="5"/>
    </w:rPr>
  </w:style>
  <w:style w:type="character" w:styleId="Hyperlink">
    <w:name w:val="Hyperlink"/>
    <w:basedOn w:val="DefaultParagraphFont"/>
    <w:uiPriority w:val="99"/>
    <w:unhideWhenUsed/>
    <w:rsid w:val="005B0B7E"/>
    <w:rPr>
      <w:color w:val="467886" w:themeColor="hyperlink"/>
      <w:u w:val="single"/>
    </w:rPr>
  </w:style>
  <w:style w:type="character" w:customStyle="1" w:styleId="ListParagraphChar">
    <w:name w:val="List Paragraph Char"/>
    <w:basedOn w:val="DefaultParagraphFont"/>
    <w:link w:val="ListParagraph"/>
    <w:uiPriority w:val="34"/>
    <w:rsid w:val="005B0B7E"/>
  </w:style>
  <w:style w:type="table" w:styleId="TableGrid">
    <w:name w:val="Table Grid"/>
    <w:basedOn w:val="TableNormal"/>
    <w:uiPriority w:val="39"/>
    <w:rsid w:val="005B0B7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provide.mapi-tru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2212</Words>
  <Characters>12613</Characters>
  <Application>Microsoft Office Word</Application>
  <DocSecurity>0</DocSecurity>
  <Lines>105</Lines>
  <Paragraphs>29</Paragraphs>
  <ScaleCrop>false</ScaleCrop>
  <Company>Springer Nature</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2024-07-05T04:32:00Z</dcterms:created>
  <dcterms:modified xsi:type="dcterms:W3CDTF">2024-07-05T04:32:00Z</dcterms:modified>
</cp:coreProperties>
</file>