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6AF" w:rsidRDefault="00CF46AF" w:rsidP="00CF46AF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1 Grouping and treatment of the rats</w:t>
      </w:r>
    </w:p>
    <w:tbl>
      <w:tblPr>
        <w:tblStyle w:val="a3"/>
        <w:tblW w:w="8470" w:type="dxa"/>
        <w:tblLayout w:type="fixed"/>
        <w:tblLook w:val="04A0" w:firstRow="1" w:lastRow="0" w:firstColumn="1" w:lastColumn="0" w:noHBand="0" w:noVBand="1"/>
      </w:tblPr>
      <w:tblGrid>
        <w:gridCol w:w="1100"/>
        <w:gridCol w:w="1558"/>
        <w:gridCol w:w="1559"/>
        <w:gridCol w:w="1559"/>
        <w:gridCol w:w="1134"/>
        <w:gridCol w:w="1560"/>
      </w:tblGrid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Q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NC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1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2ml subclavian vein blood to measure creatinine(Scr), urea nitrogen(BUN)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1-14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0.5% sodium carboxymethyl cellulose solution(6ml/kg)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120 mg/kg probucol solution (6 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0.5% sodium carboxymethyl cellulose solution(6ml/kg) by gavage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0.5% sodium carboxymethyl cellulose solution(6ml/kg) by gavage</w:t>
            </w:r>
          </w:p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15-21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mixed with 120 mg/kg probucol (6 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21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24h before modeling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2 ml/kg normal saline through subclavian vein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1ug/kg (2 ml/kg )  alprostadil through subclavian vein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2 ml/kg normal saline through subclavian vein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mixed with 120 mg/kg probucol (6 ml/kg) by gavage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AF" w:rsidRDefault="00CF46AF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0.5% sodium carboxymethyl cellulose solution(6ml/kg) by gavage</w:t>
            </w:r>
          </w:p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22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30min before modeling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2 ml/kg normal saline through subclavian vein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1ug/kg (2 ml/kg )  alprostadil through subclavian vein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2 ml/kg normal saline through subclavian vein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22</w:t>
            </w:r>
          </w:p>
        </w:tc>
        <w:tc>
          <w:tcPr>
            <w:tcW w:w="5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13 ml/kg meglumine diatrizoate through subclavian vein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13 ml/kg normal saline through subclavian vein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23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24h after modeling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Inject 2 ml/kg normal saline through subclavian vein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Inject 1ug/kg (2 ml/kg )  alprostadil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through subclavian vein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lastRenderedPageBreak/>
              <w:t>Inject 2 ml/kg normal saline through subclavian vein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lastRenderedPageBreak/>
              <w:t>DAY 23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mixed with 120 mg/kg probucol (6 ml/kg) by gavage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30 mg/kg atorvastatin solution (6 ml/kg) by gavage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6AF" w:rsidRDefault="00CF46AF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  <w:p w:rsidR="00CF46AF" w:rsidRDefault="00CF46AF">
            <w:pPr>
              <w:jc w:val="center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0.5% sodium carboxymethyl cellulose solution(6ml/kg) by gavage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24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24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48h after modeling, 2ml subclavian vein blood to measure Scr, BUN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25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72h after modeling, 2ml subclavian vein blood to measure Scr, BUN</w:t>
            </w:r>
          </w:p>
        </w:tc>
      </w:tr>
      <w:tr w:rsidR="00CF46AF" w:rsidTr="00CF46AF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DAY 25</w:t>
            </w:r>
          </w:p>
        </w:tc>
        <w:tc>
          <w:tcPr>
            <w:tcW w:w="73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6AF" w:rsidRDefault="00CF46AF">
            <w:pPr>
              <w:spacing w:line="312" w:lineRule="auto"/>
              <w:rPr>
                <w:rFonts w:ascii="Times New Roman" w:eastAsiaTheme="minorEastAsia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kill the rats by air embolization </w:t>
            </w:r>
          </w:p>
        </w:tc>
      </w:tr>
    </w:tbl>
    <w:p w:rsidR="00CF46AF" w:rsidRDefault="00CF46AF" w:rsidP="00CF46AF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</w:p>
    <w:p w:rsidR="00CF46AF" w:rsidRDefault="00CF46AF" w:rsidP="00CF46AF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2 Primer sequence in PCR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5"/>
        <w:gridCol w:w="1232"/>
        <w:gridCol w:w="4012"/>
      </w:tblGrid>
      <w:tr w:rsidR="00CF46AF" w:rsidTr="00CF46AF">
        <w:trPr>
          <w:trHeight w:hRule="exact" w:val="340"/>
          <w:jc w:val="center"/>
        </w:trPr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Targer Gene</w:t>
            </w:r>
          </w:p>
        </w:tc>
        <w:tc>
          <w:tcPr>
            <w:tcW w:w="123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</w:p>
        </w:tc>
        <w:tc>
          <w:tcPr>
            <w:tcW w:w="401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Primer sequence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GRP78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5’-GGAGATCATAGCCAACGATC-3’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5’-GCTTGGCGTCGAAGACGG-3’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Caspase-12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5’-AAAGGGATAGCCACTGCTGAT-3’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5’-GAGAGCCACTCTTGCCTACCT-3’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CHOP/GADD153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5’-CCCTAGCTTGGCTGACTGAG-3’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5’-TGACTGGAATCTGGAGAGCG-3’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GADPH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Sense</w:t>
            </w:r>
          </w:p>
        </w:tc>
        <w:tc>
          <w:tcPr>
            <w:tcW w:w="40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5’-ACAAAGTGGACATTGTTGCC-3’</w:t>
            </w:r>
          </w:p>
        </w:tc>
      </w:tr>
      <w:tr w:rsidR="00CF46AF" w:rsidTr="00CF46AF">
        <w:trPr>
          <w:trHeight w:hRule="exact" w:val="34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Antisense</w:t>
            </w:r>
          </w:p>
        </w:tc>
        <w:tc>
          <w:tcPr>
            <w:tcW w:w="401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5’-AAACATGGTGGTGAAGACGC-3’</w:t>
            </w:r>
          </w:p>
        </w:tc>
      </w:tr>
    </w:tbl>
    <w:p w:rsidR="00872C59" w:rsidRDefault="00872C59"/>
    <w:p w:rsidR="00CF46AF" w:rsidRDefault="00CF46AF" w:rsidP="00CF46AF">
      <w:pPr>
        <w:spacing w:line="360" w:lineRule="auto"/>
        <w:ind w:firstLineChars="100" w:firstLine="21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3 Antibodies and working concentration in western blot and immunohistochemistry</w:t>
      </w:r>
    </w:p>
    <w:tbl>
      <w:tblPr>
        <w:tblStyle w:val="a3"/>
        <w:tblW w:w="867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4"/>
        <w:gridCol w:w="4959"/>
        <w:gridCol w:w="1587"/>
      </w:tblGrid>
      <w:tr w:rsidR="00CF46AF" w:rsidTr="00CF46AF">
        <w:trPr>
          <w:trHeight w:hRule="exact" w:val="461"/>
        </w:trPr>
        <w:tc>
          <w:tcPr>
            <w:tcW w:w="212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experiment</w:t>
            </w:r>
          </w:p>
        </w:tc>
        <w:tc>
          <w:tcPr>
            <w:tcW w:w="496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antibody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concentration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Western blot</w:t>
            </w:r>
          </w:p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Rabbit anti-GRP78/BIP monoclonal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1:1500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Rabbit anti-GADD153 monoclonal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</w:rPr>
              <w:t>1:3000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Mouse anti-Caspase12 monoclonal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1:200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 anti-β-actin monoclonal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1:1500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HRP labeled sheep anti-rabbit IgG secondary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1:5000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HRP labeled sheep anti-rat IgG secondary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1:5000</w:t>
            </w:r>
          </w:p>
        </w:tc>
      </w:tr>
      <w:tr w:rsidR="00CF46AF" w:rsidTr="00CF46AF">
        <w:trPr>
          <w:trHeight w:hRule="exact" w:val="495"/>
        </w:trPr>
        <w:tc>
          <w:tcPr>
            <w:tcW w:w="2124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HRP labeled sheep anti-mice IgG secondary antibody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1:5000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 w:val="restar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F46AF" w:rsidRDefault="00CF46A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immunohistochemistry</w:t>
            </w:r>
          </w:p>
        </w:tc>
        <w:tc>
          <w:tcPr>
            <w:tcW w:w="496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Rabbit anti-GRP78/BIP monoclonal antibody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Rabbit anti-GADD153 polyclonal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Rat anti-Caspase12 monoclonal antibody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1:100</w:t>
            </w:r>
          </w:p>
        </w:tc>
      </w:tr>
      <w:tr w:rsidR="00CF46AF" w:rsidTr="00CF46AF">
        <w:trPr>
          <w:trHeight w:hRule="exact" w:val="340"/>
        </w:trPr>
        <w:tc>
          <w:tcPr>
            <w:tcW w:w="2124" w:type="dxa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Enzyme labeled sheep anti-mouse/rabbit IgG secondary antibody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1:1</w:t>
            </w:r>
          </w:p>
        </w:tc>
      </w:tr>
    </w:tbl>
    <w:p w:rsidR="00CF46AF" w:rsidRDefault="00CF46AF"/>
    <w:p w:rsidR="00CF46AF" w:rsidRDefault="00CF46AF" w:rsidP="00CF46AF">
      <w:pPr>
        <w:spacing w:line="360" w:lineRule="auto"/>
        <w:ind w:firstLineChars="100" w:firstLine="21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4 Method of scoring immunohistochemistry results</w:t>
      </w:r>
    </w:p>
    <w:tbl>
      <w:tblPr>
        <w:tblW w:w="9780" w:type="dxa"/>
        <w:tblInd w:w="-318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4"/>
        <w:gridCol w:w="1276"/>
        <w:gridCol w:w="1268"/>
        <w:gridCol w:w="2134"/>
        <w:gridCol w:w="1276"/>
        <w:gridCol w:w="992"/>
      </w:tblGrid>
      <w:tr w:rsidR="00CF46AF" w:rsidTr="00CF46AF">
        <w:trPr>
          <w:trHeight w:hRule="exact" w:val="397"/>
        </w:trPr>
        <w:tc>
          <w:tcPr>
            <w:tcW w:w="28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946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Scoring</w:t>
            </w:r>
          </w:p>
        </w:tc>
      </w:tr>
      <w:tr w:rsidR="00CF46AF" w:rsidTr="00CF46AF">
        <w:trPr>
          <w:trHeight w:hRule="exact" w:val="397"/>
        </w:trPr>
        <w:tc>
          <w:tcPr>
            <w:tcW w:w="283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Staining shades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 coloring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Pale yellow</w:t>
            </w:r>
          </w:p>
        </w:tc>
        <w:tc>
          <w:tcPr>
            <w:tcW w:w="2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Light brownish yellow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Brown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rPr>
          <w:trHeight w:hRule="exact" w:val="397"/>
        </w:trPr>
        <w:tc>
          <w:tcPr>
            <w:tcW w:w="2836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rPr>
          <w:trHeight w:hRule="exact" w:val="397"/>
        </w:trPr>
        <w:tc>
          <w:tcPr>
            <w:tcW w:w="283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Percentage of positive cells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～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5%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～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25%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～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51%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～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75%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&gt;75%</w:t>
            </w:r>
          </w:p>
        </w:tc>
      </w:tr>
      <w:tr w:rsidR="00CF46AF" w:rsidTr="00CF46AF">
        <w:trPr>
          <w:trHeight w:hRule="exact" w:val="397"/>
        </w:trPr>
        <w:tc>
          <w:tcPr>
            <w:tcW w:w="28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CF46AF" w:rsidRDefault="00CF46AF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CF46AF" w:rsidRDefault="00CF46AF">
            <w:pPr>
              <w:spacing w:line="360" w:lineRule="auto"/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</w:tbl>
    <w:p w:rsidR="00CF46AF" w:rsidRDefault="00CF46AF"/>
    <w:p w:rsidR="00CF46AF" w:rsidRDefault="00CF46AF" w:rsidP="00CF46AF">
      <w:pPr>
        <w:tabs>
          <w:tab w:val="left" w:pos="5400"/>
        </w:tabs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Table 5 Comparison of the rate of Scr elevation before and after modeling in each group</w:t>
      </w:r>
    </w:p>
    <w:tbl>
      <w:tblPr>
        <w:tblW w:w="8540" w:type="dxa"/>
        <w:tblInd w:w="-34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1"/>
        <w:gridCol w:w="1134"/>
        <w:gridCol w:w="1275"/>
        <w:gridCol w:w="1134"/>
        <w:gridCol w:w="1276"/>
        <w:gridCol w:w="1134"/>
        <w:gridCol w:w="1276"/>
      </w:tblGrid>
      <w:tr w:rsidR="00CF46AF" w:rsidTr="00CF46AF"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Scr(μmol/L)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Q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NC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Group 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CF46AF" w:rsidTr="00CF46AF"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bScr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18.09±1.38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25.30±2.54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24.20±1.93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18.33±1.41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17.70±1.64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Scr48h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22.09±1.45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29.50±1.72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27.80±1.55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24.33±4.42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19.90±1.10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Scr72h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21.36±1.57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28.30±3.06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27.10±1.91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33.67±7.00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19.90±1.10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p’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Cambria Math" w:hAnsi="Cambria Math" w:cs="Cambria Math"/>
                <w:sz w:val="18"/>
                <w:szCs w:val="18"/>
              </w:rPr>
              <w:t>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Scr48h/bScr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0.22±0.06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b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20"/>
            <w:r>
              <w:rPr>
                <w:rFonts w:ascii="Times New Roman" w:hAnsi="Times New Roman" w:cs="Times New Roman"/>
                <w:sz w:val="18"/>
                <w:szCs w:val="18"/>
              </w:rPr>
              <w:t>0.17±0.08</w:t>
            </w:r>
            <w:bookmarkEnd w:id="0"/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f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0.167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h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0.341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j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0.15±0.05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d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g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i,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0.33±0.21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0.13±0.07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</w:tr>
      <w:tr w:rsidR="00CF46AF" w:rsidTr="00CF46AF"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Cambria Math" w:hAnsi="Cambria Math" w:cs="Cambria Math"/>
                <w:sz w:val="18"/>
                <w:szCs w:val="18"/>
              </w:rPr>
              <w:t>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Scr72h/bScr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$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0.18±0.09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b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0.12±0.08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c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f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h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j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0.12±0.07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d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g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0.85±0.42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0.13±0.05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&lt;0.0001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#</w:t>
            </w:r>
          </w:p>
        </w:tc>
      </w:tr>
    </w:tbl>
    <w:p w:rsidR="00CF46AF" w:rsidRDefault="00CF46AF" w:rsidP="00CF46AF">
      <w:pPr>
        <w:spacing w:line="312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bScr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basal creatinine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Scr48h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creatinine of 48h after modeling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Scr72h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creatinine of 72h after modeling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Cambria Math" w:hAnsi="Cambria Math" w:cs="Cambria Math"/>
          <w:kern w:val="0"/>
          <w:sz w:val="18"/>
          <w:szCs w:val="18"/>
        </w:rPr>
        <w:t>△</w:t>
      </w:r>
      <w:r>
        <w:rPr>
          <w:rFonts w:ascii="Times New Roman" w:hAnsi="Times New Roman" w:cs="Times New Roman"/>
          <w:kern w:val="0"/>
          <w:sz w:val="18"/>
          <w:szCs w:val="18"/>
        </w:rPr>
        <w:t>Scr48h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Scr48h- bScr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Cambria Math" w:hAnsi="Cambria Math" w:cs="Cambria Math"/>
          <w:kern w:val="0"/>
          <w:sz w:val="18"/>
          <w:szCs w:val="18"/>
        </w:rPr>
        <w:t>△</w:t>
      </w:r>
      <w:r>
        <w:rPr>
          <w:rFonts w:ascii="Times New Roman" w:hAnsi="Times New Roman" w:cs="Times New Roman"/>
          <w:kern w:val="0"/>
          <w:sz w:val="18"/>
          <w:szCs w:val="18"/>
        </w:rPr>
        <w:t>Scr72h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Scr72h- bScr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</w:p>
    <w:p w:rsidR="00CF46AF" w:rsidRDefault="00CF46AF" w:rsidP="00CF46AF">
      <w:pPr>
        <w:spacing w:line="312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Data are expressed as mean ± standard deviation;</w:t>
      </w:r>
    </w:p>
    <w:p w:rsidR="00CF46AF" w:rsidRDefault="00CF46AF" w:rsidP="00CF46AF">
      <w:pPr>
        <w:spacing w:line="312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among every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>′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in every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>1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of </w:t>
      </w:r>
      <w:r>
        <w:rPr>
          <w:rFonts w:ascii="Cambria Math" w:hAnsi="Cambria Math" w:cs="Cambria Math"/>
          <w:kern w:val="0"/>
          <w:sz w:val="18"/>
          <w:szCs w:val="18"/>
        </w:rPr>
        <w:t>△</w:t>
      </w:r>
      <w:r>
        <w:rPr>
          <w:rFonts w:ascii="Times New Roman" w:hAnsi="Times New Roman" w:cs="Times New Roman"/>
          <w:kern w:val="0"/>
          <w:sz w:val="18"/>
          <w:szCs w:val="18"/>
        </w:rPr>
        <w:t>Scr48h/bScr between each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>2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of </w:t>
      </w:r>
      <w:r>
        <w:rPr>
          <w:rFonts w:ascii="Cambria Math" w:hAnsi="Cambria Math" w:cs="Cambria Math"/>
          <w:kern w:val="0"/>
          <w:sz w:val="18"/>
          <w:szCs w:val="18"/>
        </w:rPr>
        <w:t>△</w:t>
      </w:r>
      <w:r>
        <w:rPr>
          <w:rFonts w:ascii="Times New Roman" w:hAnsi="Times New Roman" w:cs="Times New Roman"/>
          <w:kern w:val="0"/>
          <w:sz w:val="18"/>
          <w:szCs w:val="18"/>
        </w:rPr>
        <w:t>Scr72h/bScr between each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</w:p>
    <w:p w:rsidR="00CF46AF" w:rsidRDefault="00CF46AF" w:rsidP="00CF46AF">
      <w:pPr>
        <w:spacing w:line="312" w:lineRule="auto"/>
        <w:rPr>
          <w:rFonts w:ascii="Times New Roman" w:hAnsi="Times New Roman" w:cs="Times New Roman"/>
          <w:kern w:val="0"/>
          <w:sz w:val="18"/>
          <w:szCs w:val="18"/>
        </w:rPr>
      </w:pPr>
      <w:bookmarkStart w:id="1" w:name="OLE_LINK21"/>
      <w:r>
        <w:rPr>
          <w:rFonts w:ascii="Times New Roman" w:hAnsi="Times New Roman" w:cs="Times New Roman"/>
          <w:kern w:val="0"/>
          <w:sz w:val="18"/>
          <w:szCs w:val="18"/>
        </w:rPr>
        <w:t>*</w:t>
      </w:r>
      <w:bookmarkEnd w:id="1"/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one-way analysis of variance (ANOVA)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#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Kruskal-Wallis test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$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Mann-Whitney U test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</w:p>
    <w:p w:rsidR="00CF46AF" w:rsidRDefault="00CF46AF" w:rsidP="00CF46AF">
      <w:pPr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A: NC vs. N; b: A vs. N; c: P vs. N: d: Q vs. N; e: A vs. NC: f: P vs.NC: g: Q vs NC: h: P vs.A: i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Q vs.A: j: P vs.Q</w:t>
      </w:r>
    </w:p>
    <w:p w:rsidR="00CF46AF" w:rsidRDefault="00CF46AF" w:rsidP="00CF46AF">
      <w:pPr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:rsidR="00CF46AF" w:rsidRDefault="00CF46AF" w:rsidP="00CF46AF">
      <w:pPr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p w:rsidR="00CF46AF" w:rsidRDefault="00CF46AF" w:rsidP="00CF46AF">
      <w:pPr>
        <w:spacing w:line="360" w:lineRule="auto"/>
        <w:jc w:val="center"/>
        <w:rPr>
          <w:rFonts w:ascii="宋体" w:eastAsia="宋体" w:hAnsi="宋体" w:cs="Times New Roman"/>
          <w:b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6 Comparison of BUN before and after modeling in each group</w:t>
      </w:r>
    </w:p>
    <w:tbl>
      <w:tblPr>
        <w:tblW w:w="7940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135"/>
        <w:gridCol w:w="1134"/>
        <w:gridCol w:w="992"/>
        <w:gridCol w:w="1134"/>
        <w:gridCol w:w="992"/>
        <w:gridCol w:w="993"/>
      </w:tblGrid>
      <w:tr w:rsidR="00CF46AF" w:rsidTr="00CF46AF"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BUN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 xml:space="preserve"> (mmol/L)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 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tabs>
                <w:tab w:val="left" w:pos="60"/>
              </w:tabs>
              <w:spacing w:line="312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 group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i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Q group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NC group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 group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 xml:space="preserve">p </w:t>
            </w:r>
          </w:p>
        </w:tc>
      </w:tr>
      <w:tr w:rsidR="00CF46AF" w:rsidTr="00CF46AF"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bBUN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position w:val="-6"/>
                <w:sz w:val="18"/>
                <w:szCs w:val="18"/>
              </w:rPr>
              <w:object w:dxaOrig="220" w:dyaOrig="27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pt;height:13.35pt;mso-position-horizontal-relative:page;mso-position-vertical-relative:page" o:ole="">
                  <v:imagedata r:id="rId5" o:title=""/>
                </v:shape>
                <o:OLEObject Type="Embed" ProgID="Equation.3" ShapeID="_x0000_i1025" DrawAspect="Content" ObjectID="_1779742467" r:id="rId6"/>
              </w:objec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± s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5.17±0.42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4.98±0.53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4.71±0.43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6.29±0.59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5.91±0.34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0.097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a,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0.094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b,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*</w:t>
            </w:r>
          </w:p>
        </w:tc>
      </w:tr>
      <w:tr w:rsidR="00CF46AF" w:rsidTr="00CF46A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BUN48h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position w:val="-6"/>
                <w:sz w:val="18"/>
                <w:szCs w:val="18"/>
              </w:rPr>
              <w:object w:dxaOrig="220" w:dyaOrig="270">
                <v:shape id="_x0000_i1026" type="#_x0000_t75" style="width:11.2pt;height:13.35pt;mso-position-horizontal-relative:page;mso-position-vertical-relative:page" o:ole="">
                  <v:imagedata r:id="rId5" o:title=""/>
                </v:shape>
                <o:OLEObject Type="Embed" ProgID="Equation.3" ShapeID="_x0000_i1026" DrawAspect="Content" ObjectID="_1779742468" r:id="rId7"/>
              </w:objec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± s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5.76±0.38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6.13±0.63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5.92±0.41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8.44±2.12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6.10±0.51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0.287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a, #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0.011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b,#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.014"/>
                <w:attr w:name="UnitName" w:val="C"/>
              </w:smartTagPr>
              <w:r>
                <w:rPr>
                  <w:rFonts w:ascii="Times New Roman" w:eastAsia="宋体" w:hAnsi="Times New Roman" w:cs="Times New Roman"/>
                  <w:sz w:val="18"/>
                  <w:szCs w:val="18"/>
                </w:rPr>
                <w:t>0.014</w:t>
              </w:r>
              <w:r>
                <w:rPr>
                  <w:rFonts w:ascii="Times New Roman" w:eastAsia="宋体" w:hAnsi="Times New Roman" w:cs="Times New Roman"/>
                  <w:sz w:val="18"/>
                  <w:szCs w:val="18"/>
                  <w:vertAlign w:val="superscript"/>
                </w:rPr>
                <w:t xml:space="preserve"> c</w:t>
              </w:r>
            </w:smartTag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, $</w:t>
            </w:r>
          </w:p>
        </w:tc>
      </w:tr>
      <w:tr w:rsidR="00CF46AF" w:rsidTr="00CF46A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p’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§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CF46AF" w:rsidTr="00CF46AF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BUN72h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</w:t>
            </w:r>
            <w:r>
              <w:rPr>
                <w:rFonts w:ascii="Times New Roman" w:eastAsia="宋体" w:hAnsi="Times New Roman" w:cs="Times New Roman"/>
                <w:position w:val="-6"/>
                <w:sz w:val="18"/>
                <w:szCs w:val="18"/>
              </w:rPr>
              <w:object w:dxaOrig="220" w:dyaOrig="270">
                <v:shape id="_x0000_i1027" type="#_x0000_t75" style="width:11.2pt;height:13.35pt;mso-position-horizontal-relative:page;mso-position-vertical-relative:page" o:ole="">
                  <v:imagedata r:id="rId5" o:title=""/>
                </v:shape>
                <o:OLEObject Type="Embed" ProgID="Equation.3" ShapeID="_x0000_i1027" DrawAspect="Content" ObjectID="_1779742469" r:id="rId8"/>
              </w:objec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± s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5.22±0.45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5.97±0.79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5.58±0.56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8.64±2.09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5.93±0.46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0.060 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a, #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0.000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b,#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.035"/>
                <w:attr w:name="UnitName" w:val="C"/>
              </w:smartTagPr>
              <w:r>
                <w:rPr>
                  <w:rFonts w:ascii="Times New Roman" w:eastAsia="宋体" w:hAnsi="Times New Roman" w:cs="Times New Roman"/>
                  <w:sz w:val="18"/>
                  <w:szCs w:val="18"/>
                </w:rPr>
                <w:t>0.035</w:t>
              </w:r>
              <w:r>
                <w:rPr>
                  <w:rFonts w:ascii="Times New Roman" w:eastAsia="宋体" w:hAnsi="Times New Roman" w:cs="Times New Roman"/>
                  <w:sz w:val="18"/>
                  <w:szCs w:val="18"/>
                  <w:vertAlign w:val="superscript"/>
                </w:rPr>
                <w:t xml:space="preserve"> c</w:t>
              </w:r>
            </w:smartTag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,$</w:t>
            </w:r>
          </w:p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0.681</w:t>
            </w:r>
            <w:r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 xml:space="preserve"> d, $</w:t>
            </w:r>
          </w:p>
        </w:tc>
      </w:tr>
      <w:tr w:rsidR="00CF46AF" w:rsidTr="00CF46AF"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sz w:val="18"/>
                <w:szCs w:val="18"/>
              </w:rPr>
              <w:t xml:space="preserve">p’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0.688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0.820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F46AF" w:rsidRDefault="00CF46AF">
            <w:pPr>
              <w:spacing w:line="312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:rsidR="00CF46AF" w:rsidRDefault="00CF46AF" w:rsidP="00CF46AF">
      <w:pPr>
        <w:spacing w:line="312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bBUN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basal BUN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BUN48h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BUN of 48h after modeling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kern w:val="0"/>
          <w:sz w:val="18"/>
          <w:szCs w:val="18"/>
        </w:rPr>
        <w:t>BUN72h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BUN of 72h after modeling</w:t>
      </w:r>
    </w:p>
    <w:p w:rsidR="00CF46AF" w:rsidRDefault="00CF46AF" w:rsidP="00CF46AF">
      <w:pPr>
        <w:spacing w:line="312" w:lineRule="auto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 xml:space="preserve">Data are expressed as mean ± standard deviation; 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among every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>′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i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value in every group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</w:p>
    <w:p w:rsidR="00CF46AF" w:rsidRDefault="00CF46AF" w:rsidP="00CF46AF">
      <w:pPr>
        <w:spacing w:line="312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>*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：</w:t>
      </w:r>
      <w:r>
        <w:rPr>
          <w:rFonts w:ascii="Times New Roman" w:hAnsi="Times New Roman" w:cs="Times New Roman"/>
          <w:kern w:val="0"/>
          <w:sz w:val="18"/>
          <w:szCs w:val="18"/>
        </w:rPr>
        <w:t>one-way analysis of variance (ANOVA)</w:t>
      </w:r>
      <w:r>
        <w:rPr>
          <w:rFonts w:ascii="Times New Roman" w:hAnsi="Times New Roman" w:cs="Times New Roman" w:hint="eastAsia"/>
          <w:kern w:val="0"/>
          <w:sz w:val="18"/>
          <w:szCs w:val="18"/>
        </w:rPr>
        <w:t>；</w:t>
      </w:r>
      <w:r>
        <w:rPr>
          <w:rFonts w:ascii="Times New Roman" w:hAnsi="Times New Roman" w:cs="Times New Roman"/>
          <w:sz w:val="18"/>
          <w:szCs w:val="18"/>
        </w:rPr>
        <w:t>#</w:t>
      </w:r>
      <w:r>
        <w:rPr>
          <w:rFonts w:ascii="Times New Roman" w:hAnsi="Times New Roman" w:cs="Times New Roman" w:hint="eastAsia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Kruskal-Wallis test</w:t>
      </w:r>
      <w:r>
        <w:rPr>
          <w:rFonts w:ascii="Times New Roman" w:hAnsi="Times New Roman" w:cs="Times New Roman" w:hint="eastAsia"/>
          <w:sz w:val="18"/>
          <w:szCs w:val="18"/>
        </w:rPr>
        <w:t>；</w:t>
      </w:r>
      <w:r>
        <w:rPr>
          <w:rFonts w:ascii="Times New Roman" w:hAnsi="Times New Roman" w:cs="Times New Roman"/>
          <w:sz w:val="18"/>
          <w:szCs w:val="18"/>
        </w:rPr>
        <w:t>$</w:t>
      </w:r>
      <w:r>
        <w:rPr>
          <w:rFonts w:ascii="Times New Roman" w:hAnsi="Times New Roman" w:cs="Times New Roman" w:hint="eastAsia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Mann-Whitney U test</w:t>
      </w:r>
      <w:r>
        <w:rPr>
          <w:rFonts w:ascii="Times New Roman" w:hAnsi="Times New Roman" w:cs="Times New Roman" w:hint="eastAsia"/>
          <w:sz w:val="18"/>
          <w:szCs w:val="18"/>
        </w:rPr>
        <w:t>；</w:t>
      </w:r>
      <w:r>
        <w:rPr>
          <w:rFonts w:ascii="Times New Roman" w:hAnsi="Times New Roman" w:cs="Times New Roman"/>
          <w:sz w:val="18"/>
          <w:szCs w:val="18"/>
        </w:rPr>
        <w:t>§</w:t>
      </w:r>
      <w:r>
        <w:rPr>
          <w:rFonts w:ascii="Times New Roman" w:hAnsi="Times New Roman" w:cs="Times New Roman" w:hint="eastAsia"/>
          <w:sz w:val="18"/>
          <w:szCs w:val="18"/>
        </w:rPr>
        <w:t>：</w:t>
      </w:r>
      <w:r>
        <w:rPr>
          <w:rFonts w:ascii="Times New Roman" w:hAnsi="Times New Roman" w:cs="Times New Roman"/>
          <w:sz w:val="18"/>
          <w:szCs w:val="18"/>
        </w:rPr>
        <w:t>Paired samples t-test</w:t>
      </w:r>
      <w:r>
        <w:rPr>
          <w:rFonts w:ascii="Times New Roman" w:hAnsi="Times New Roman" w:cs="Times New Roman" w:hint="eastAsia"/>
          <w:sz w:val="18"/>
          <w:szCs w:val="18"/>
        </w:rPr>
        <w:t>；</w:t>
      </w:r>
    </w:p>
    <w:p w:rsidR="00CF46AF" w:rsidRDefault="00FE52C3" w:rsidP="00CF46AF">
      <w:pPr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a</w:t>
      </w:r>
      <w:bookmarkStart w:id="2" w:name="_GoBack"/>
      <w:bookmarkEnd w:id="2"/>
      <w:r w:rsidR="00CF46AF">
        <w:rPr>
          <w:rFonts w:ascii="Times New Roman" w:hAnsi="Times New Roman" w:cs="Times New Roman"/>
          <w:kern w:val="0"/>
          <w:sz w:val="18"/>
          <w:szCs w:val="18"/>
        </w:rPr>
        <w:t>: A, P vs. Q; b: A, N vs. NC; c: A vs. NC; d: A vs. N</w:t>
      </w:r>
    </w:p>
    <w:p w:rsidR="00CF46AF" w:rsidRPr="00010027" w:rsidRDefault="00CF46AF" w:rsidP="00CF46A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010027">
        <w:rPr>
          <w:rFonts w:ascii="Times New Roman" w:hAnsi="Times New Roman" w:cs="Times New Roman" w:hint="eastAsia"/>
          <w:szCs w:val="21"/>
        </w:rPr>
        <w:t xml:space="preserve">Table 7  Summary of the comparisons among the three </w:t>
      </w:r>
      <w:r w:rsidRPr="00010027">
        <w:rPr>
          <w:rFonts w:ascii="Times New Roman" w:hAnsi="Times New Roman" w:cs="Times New Roman"/>
          <w:szCs w:val="21"/>
        </w:rPr>
        <w:t>medication</w:t>
      </w:r>
      <w:r w:rsidRPr="00010027">
        <w:rPr>
          <w:rFonts w:ascii="Times New Roman" w:hAnsi="Times New Roman" w:cs="Times New Roman" w:hint="eastAsia"/>
          <w:szCs w:val="21"/>
        </w:rPr>
        <w:t xml:space="preserve"> groups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876"/>
        <w:gridCol w:w="1634"/>
        <w:gridCol w:w="1768"/>
        <w:gridCol w:w="1776"/>
      </w:tblGrid>
      <w:tr w:rsidR="00CF46AF" w:rsidRPr="00010027" w:rsidTr="00987FC3">
        <w:trPr>
          <w:jc w:val="center"/>
        </w:trPr>
        <w:tc>
          <w:tcPr>
            <w:tcW w:w="18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4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  <w:r w:rsidRPr="00010027">
              <w:rPr>
                <w:rFonts w:ascii="Times New Roman" w:hAnsi="Times New Roman" w:cs="Times New Roman" w:hint="eastAsia"/>
                <w:szCs w:val="21"/>
              </w:rPr>
              <w:t>GRP78</w:t>
            </w:r>
          </w:p>
        </w:tc>
        <w:tc>
          <w:tcPr>
            <w:tcW w:w="1768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  <w:r w:rsidRPr="00010027">
              <w:rPr>
                <w:rFonts w:ascii="Times New Roman" w:hAnsi="Times New Roman" w:cs="Times New Roman" w:hint="eastAsia"/>
                <w:szCs w:val="21"/>
              </w:rPr>
              <w:t>GADD153</w:t>
            </w:r>
          </w:p>
        </w:tc>
        <w:tc>
          <w:tcPr>
            <w:tcW w:w="17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Cs w:val="21"/>
              </w:rPr>
            </w:pPr>
            <w:r w:rsidRPr="00010027">
              <w:rPr>
                <w:rFonts w:ascii="Times New Roman" w:hAnsi="Times New Roman" w:cs="Times New Roman" w:hint="eastAsia"/>
                <w:szCs w:val="21"/>
              </w:rPr>
              <w:t>Caspase-12</w:t>
            </w:r>
          </w:p>
        </w:tc>
      </w:tr>
      <w:tr w:rsidR="00CF46AF" w:rsidRPr="00010027" w:rsidTr="00987FC3">
        <w:trPr>
          <w:jc w:val="center"/>
        </w:trPr>
        <w:tc>
          <w:tcPr>
            <w:tcW w:w="18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eal-time PCR</w:t>
            </w:r>
          </w:p>
        </w:tc>
        <w:tc>
          <w:tcPr>
            <w:tcW w:w="5178" w:type="dxa"/>
            <w:gridSpan w:val="3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/>
                <w:sz w:val="18"/>
                <w:szCs w:val="18"/>
              </w:rPr>
              <w:t>There was a trend of lower nucleic acid expression in group P and Q than in group A, which was not statistically significant</w:t>
            </w:r>
          </w:p>
        </w:tc>
      </w:tr>
      <w:tr w:rsidR="00CF46AF" w:rsidRPr="00010027" w:rsidTr="00987FC3">
        <w:trPr>
          <w:jc w:val="center"/>
        </w:trPr>
        <w:tc>
          <w:tcPr>
            <w:tcW w:w="18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Western Blot</w:t>
            </w:r>
          </w:p>
        </w:tc>
        <w:tc>
          <w:tcPr>
            <w:tcW w:w="1634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</w:p>
        </w:tc>
        <w:tc>
          <w:tcPr>
            <w:tcW w:w="1768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17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</w:tr>
      <w:tr w:rsidR="00CF46AF" w:rsidRPr="00010027" w:rsidTr="00987FC3">
        <w:trPr>
          <w:jc w:val="center"/>
        </w:trPr>
        <w:tc>
          <w:tcPr>
            <w:tcW w:w="18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/>
                <w:sz w:val="18"/>
                <w:szCs w:val="18"/>
              </w:rPr>
              <w:t>immunohistochemistry</w:t>
            </w:r>
          </w:p>
        </w:tc>
        <w:tc>
          <w:tcPr>
            <w:tcW w:w="1634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8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1776" w:type="dxa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Q</w:t>
            </w:r>
            <w:r w:rsidRPr="00010027">
              <w:rPr>
                <w:rFonts w:ascii="宋体" w:eastAsia="宋体" w:hAnsi="宋体" w:cs="宋体" w:hint="eastAsia"/>
                <w:sz w:val="18"/>
                <w:szCs w:val="18"/>
              </w:rPr>
              <w:t>＜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</w:p>
        </w:tc>
      </w:tr>
      <w:tr w:rsidR="00CF46AF" w:rsidRPr="00010027" w:rsidTr="00987FC3">
        <w:trPr>
          <w:jc w:val="center"/>
        </w:trPr>
        <w:tc>
          <w:tcPr>
            <w:tcW w:w="7054" w:type="dxa"/>
            <w:gridSpan w:val="4"/>
          </w:tcPr>
          <w:p w:rsidR="00CF46AF" w:rsidRPr="00010027" w:rsidRDefault="00CF46AF" w:rsidP="00987FC3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10027">
              <w:rPr>
                <w:rFonts w:ascii="Times New Roman" w:hAnsi="Times New Roman" w:cs="Times New Roman"/>
                <w:sz w:val="18"/>
                <w:szCs w:val="18"/>
              </w:rPr>
              <w:t>The comparisons presented in the charts are all statistically significant</w:t>
            </w:r>
            <w:r w:rsidRPr="0001002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(p＜0.05).</w:t>
            </w:r>
          </w:p>
        </w:tc>
      </w:tr>
    </w:tbl>
    <w:p w:rsidR="00CF46AF" w:rsidRPr="00CF46AF" w:rsidRDefault="00CF46AF" w:rsidP="00CF46AF">
      <w:pPr>
        <w:spacing w:line="360" w:lineRule="auto"/>
        <w:jc w:val="left"/>
        <w:rPr>
          <w:rFonts w:ascii="Times New Roman" w:hAnsi="Times New Roman" w:cs="Times New Roman"/>
          <w:kern w:val="0"/>
          <w:sz w:val="18"/>
          <w:szCs w:val="18"/>
        </w:rPr>
      </w:pPr>
    </w:p>
    <w:sectPr w:rsidR="00CF46AF" w:rsidRPr="00CF4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9B"/>
    <w:rsid w:val="006F479B"/>
    <w:rsid w:val="00872C59"/>
    <w:rsid w:val="00CF46AF"/>
    <w:rsid w:val="00FE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6AF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46AF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4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887</Words>
  <Characters>5062</Characters>
  <Application>Microsoft Office Word</Application>
  <DocSecurity>0</DocSecurity>
  <Lines>42</Lines>
  <Paragraphs>11</Paragraphs>
  <ScaleCrop>false</ScaleCrop>
  <Company/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ct0918</dc:creator>
  <cp:keywords/>
  <dc:description/>
  <cp:lastModifiedBy>ct0918</cp:lastModifiedBy>
  <cp:revision>3</cp:revision>
  <dcterms:created xsi:type="dcterms:W3CDTF">2023-11-08T05:44:00Z</dcterms:created>
  <dcterms:modified xsi:type="dcterms:W3CDTF">2024-06-12T16:08:00Z</dcterms:modified>
</cp:coreProperties>
</file>