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6BA7A2" w14:textId="77777777" w:rsidR="00FD0BC2" w:rsidRDefault="00FD0BC2" w:rsidP="00FD0BC2">
      <w:pPr>
        <w:spacing w:line="300" w:lineRule="auto"/>
        <w:ind w:leftChars="0" w:left="2" w:hanging="2"/>
        <w:jc w:val="both"/>
        <w:rPr>
          <w:lang w:val="en-US"/>
        </w:rPr>
      </w:pPr>
      <w:r>
        <w:rPr>
          <w:lang w:val="en-US"/>
        </w:rPr>
        <w:t>SUPPLEMENTARY table</w:t>
      </w:r>
    </w:p>
    <w:p w14:paraId="170AB25E" w14:textId="77777777" w:rsidR="00FD0BC2" w:rsidRDefault="00FD0BC2" w:rsidP="00FD0BC2">
      <w:pPr>
        <w:spacing w:line="300" w:lineRule="auto"/>
        <w:ind w:leftChars="0" w:left="2" w:hanging="2"/>
        <w:jc w:val="both"/>
        <w:rPr>
          <w:lang w:val="en-US"/>
        </w:rPr>
      </w:pPr>
      <w:r>
        <w:rPr>
          <w:b/>
          <w:lang w:val="en-US"/>
        </w:rPr>
        <w:t>Supplementary Table 1</w:t>
      </w:r>
      <w:r>
        <w:rPr>
          <w:lang w:val="en-US"/>
        </w:rPr>
        <w:t>. Variables studied in the B-CLPD patients’ cohort.</w:t>
      </w:r>
    </w:p>
    <w:tbl>
      <w:tblPr>
        <w:tblW w:w="10665" w:type="dxa"/>
        <w:tblInd w:w="-9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50"/>
        <w:gridCol w:w="3780"/>
        <w:gridCol w:w="3135"/>
      </w:tblGrid>
      <w:tr w:rsidR="00FD0BC2" w14:paraId="6E5C767B" w14:textId="77777777" w:rsidTr="00FD0BC2">
        <w:trPr>
          <w:trHeight w:val="540"/>
          <w:tblHeader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15E9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06982B0" w14:textId="77777777" w:rsidR="00FD0BC2" w:rsidRDefault="00FD0BC2">
            <w:pPr>
              <w:spacing w:line="276" w:lineRule="auto"/>
              <w:ind w:leftChars="0" w:left="2" w:hanging="2"/>
              <w:jc w:val="center"/>
              <w:rPr>
                <w:b/>
                <w:sz w:val="22"/>
                <w:szCs w:val="22"/>
                <w:lang w:val="en-US" w:eastAsia="es-ES_tradnl"/>
              </w:rPr>
            </w:pPr>
            <w:r>
              <w:rPr>
                <w:b/>
                <w:sz w:val="22"/>
                <w:szCs w:val="22"/>
                <w:lang w:val="en-US" w:eastAsia="es-ES_tradnl"/>
              </w:rPr>
              <w:t>CLINICAL VARIABLES</w:t>
            </w:r>
          </w:p>
        </w:tc>
        <w:tc>
          <w:tcPr>
            <w:tcW w:w="378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215E9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AC758CE" w14:textId="77777777" w:rsidR="00FD0BC2" w:rsidRDefault="00FD0BC2">
            <w:pPr>
              <w:spacing w:line="276" w:lineRule="auto"/>
              <w:ind w:leftChars="0" w:left="2" w:hanging="2"/>
              <w:jc w:val="center"/>
              <w:rPr>
                <w:b/>
                <w:sz w:val="22"/>
                <w:szCs w:val="22"/>
                <w:lang w:val="en-US" w:eastAsia="es-ES_tradnl"/>
              </w:rPr>
            </w:pPr>
            <w:r>
              <w:rPr>
                <w:b/>
                <w:sz w:val="22"/>
                <w:szCs w:val="22"/>
                <w:lang w:val="en-US" w:eastAsia="es-ES_tradnl"/>
              </w:rPr>
              <w:t>TREATMENT-OUTCOME</w:t>
            </w:r>
          </w:p>
        </w:tc>
        <w:tc>
          <w:tcPr>
            <w:tcW w:w="313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215E99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CA69987" w14:textId="77777777" w:rsidR="00FD0BC2" w:rsidRDefault="00FD0BC2">
            <w:pPr>
              <w:spacing w:line="276" w:lineRule="auto"/>
              <w:ind w:leftChars="0" w:left="2" w:hanging="2"/>
              <w:jc w:val="right"/>
              <w:rPr>
                <w:b/>
                <w:sz w:val="22"/>
                <w:szCs w:val="22"/>
                <w:lang w:val="en-US" w:eastAsia="es-ES_tradnl"/>
              </w:rPr>
            </w:pPr>
            <w:r>
              <w:rPr>
                <w:b/>
                <w:sz w:val="22"/>
                <w:szCs w:val="22"/>
                <w:lang w:val="en-US" w:eastAsia="es-ES_tradnl"/>
              </w:rPr>
              <w:t>LABORATORY VARIABLES</w:t>
            </w:r>
          </w:p>
        </w:tc>
      </w:tr>
      <w:tr w:rsidR="00FD0BC2" w14:paraId="37B43DCC" w14:textId="77777777" w:rsidTr="00FD0BC2">
        <w:trPr>
          <w:trHeight w:val="6135"/>
        </w:trPr>
        <w:tc>
          <w:tcPr>
            <w:tcW w:w="3750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3A2D7D" w14:textId="77777777" w:rsidR="00FD0BC2" w:rsidRDefault="00FD0BC2">
            <w:pPr>
              <w:spacing w:line="276" w:lineRule="auto"/>
              <w:ind w:leftChars="0" w:left="2" w:hanging="2"/>
              <w:jc w:val="both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 xml:space="preserve"> </w:t>
            </w:r>
          </w:p>
          <w:p w14:paraId="0EF00854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Age at diagnosis</w:t>
            </w:r>
          </w:p>
          <w:p w14:paraId="297C31FE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2.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Infections recurrent/severe prior to B-CLPD</w:t>
            </w:r>
          </w:p>
          <w:p w14:paraId="1C96AEF3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3.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 xml:space="preserve">Recurrent/severe childhood infections </w:t>
            </w:r>
          </w:p>
          <w:p w14:paraId="5BC2534D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4.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Respiratory infections post-B-CLPD</w:t>
            </w:r>
          </w:p>
          <w:p w14:paraId="4902A590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5.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Herpes zoster infections</w:t>
            </w:r>
          </w:p>
          <w:p w14:paraId="05965112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6.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Secondary neoplasia</w:t>
            </w:r>
          </w:p>
          <w:p w14:paraId="72B0C526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7.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Presence of bronchiectasis</w:t>
            </w:r>
          </w:p>
          <w:p w14:paraId="02884A0E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8.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Autoimmune disease</w:t>
            </w:r>
          </w:p>
          <w:p w14:paraId="418DA951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9.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Malabsorptive syndrome</w:t>
            </w:r>
          </w:p>
          <w:p w14:paraId="72A56509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10.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Family history of immunodeficiency</w:t>
            </w:r>
          </w:p>
          <w:p w14:paraId="4E220E98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11.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Family history of B-CLPD</w:t>
            </w:r>
          </w:p>
          <w:p w14:paraId="0B96AEAB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12.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Consanguinity</w:t>
            </w:r>
          </w:p>
          <w:p w14:paraId="2EB79A9B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13.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 xml:space="preserve">Need for </w:t>
            </w:r>
            <w:proofErr w:type="spellStart"/>
            <w:r>
              <w:rPr>
                <w:sz w:val="22"/>
                <w:szCs w:val="22"/>
                <w:lang w:val="en-US" w:eastAsia="es-ES_tradnl"/>
              </w:rPr>
              <w:t>IgRT</w:t>
            </w:r>
            <w:proofErr w:type="spellEnd"/>
          </w:p>
          <w:p w14:paraId="54B306E5" w14:textId="77777777" w:rsidR="00FD0BC2" w:rsidRDefault="00FD0BC2">
            <w:pPr>
              <w:spacing w:line="276" w:lineRule="auto"/>
              <w:ind w:leftChars="0" w:left="2" w:hanging="2"/>
              <w:jc w:val="both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 xml:space="preserve"> 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1C702E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</w:p>
          <w:p w14:paraId="2508919E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14.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Chemotherapy</w:t>
            </w:r>
          </w:p>
          <w:p w14:paraId="54C72C72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15.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Treatment with Rituximab</w:t>
            </w:r>
          </w:p>
          <w:p w14:paraId="7800E747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16.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Active treatment at time of the study</w:t>
            </w:r>
          </w:p>
          <w:p w14:paraId="55B59523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17.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Complete Remission</w:t>
            </w:r>
          </w:p>
          <w:p w14:paraId="322753C8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18.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Recurrence</w:t>
            </w:r>
          </w:p>
          <w:p w14:paraId="29C5E0FF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19.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Adverse reactions to treatment</w:t>
            </w:r>
          </w:p>
        </w:tc>
        <w:tc>
          <w:tcPr>
            <w:tcW w:w="3135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55591A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 xml:space="preserve"> </w:t>
            </w:r>
          </w:p>
          <w:p w14:paraId="1047F258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IgG at baseline</w:t>
            </w:r>
          </w:p>
          <w:p w14:paraId="3328E0C7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2.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 xml:space="preserve">IgG before </w:t>
            </w:r>
            <w:proofErr w:type="spellStart"/>
            <w:r>
              <w:rPr>
                <w:sz w:val="22"/>
                <w:szCs w:val="22"/>
                <w:lang w:val="en-US" w:eastAsia="es-ES_tradnl"/>
              </w:rPr>
              <w:t>IgRT</w:t>
            </w:r>
            <w:proofErr w:type="spellEnd"/>
          </w:p>
          <w:p w14:paraId="4243FEB8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3.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IgM at baseline</w:t>
            </w:r>
          </w:p>
          <w:p w14:paraId="458FBD2C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4.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IgA at baseline</w:t>
            </w:r>
          </w:p>
          <w:p w14:paraId="36592324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5.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proofErr w:type="spellStart"/>
            <w:r>
              <w:rPr>
                <w:sz w:val="22"/>
                <w:szCs w:val="22"/>
                <w:lang w:val="en-US" w:eastAsia="es-ES_tradnl"/>
              </w:rPr>
              <w:t>sFLC</w:t>
            </w:r>
            <w:proofErr w:type="spellEnd"/>
            <w:r>
              <w:rPr>
                <w:sz w:val="22"/>
                <w:szCs w:val="22"/>
                <w:lang w:val="en-US" w:eastAsia="es-ES_tradnl"/>
              </w:rPr>
              <w:t xml:space="preserve"> kappa</w:t>
            </w:r>
          </w:p>
          <w:p w14:paraId="14A5F3F9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6.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proofErr w:type="spellStart"/>
            <w:r>
              <w:rPr>
                <w:sz w:val="22"/>
                <w:szCs w:val="22"/>
                <w:lang w:val="en-US" w:eastAsia="es-ES_tradnl"/>
              </w:rPr>
              <w:t>sFLC</w:t>
            </w:r>
            <w:proofErr w:type="spellEnd"/>
            <w:r>
              <w:rPr>
                <w:sz w:val="22"/>
                <w:szCs w:val="22"/>
                <w:lang w:val="en-US" w:eastAsia="es-ES_tradnl"/>
              </w:rPr>
              <w:t xml:space="preserve"> Lambda</w:t>
            </w:r>
          </w:p>
          <w:p w14:paraId="3D8D4D68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7.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k/L ratio</w:t>
            </w:r>
          </w:p>
          <w:p w14:paraId="70DF603A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8.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 xml:space="preserve">sum </w:t>
            </w:r>
            <w:proofErr w:type="spellStart"/>
            <w:r>
              <w:rPr>
                <w:sz w:val="22"/>
                <w:szCs w:val="22"/>
                <w:lang w:val="en-US" w:eastAsia="es-ES_tradnl"/>
              </w:rPr>
              <w:t>κ+</w:t>
            </w:r>
            <w:proofErr w:type="gramStart"/>
            <w:r>
              <w:rPr>
                <w:sz w:val="22"/>
                <w:szCs w:val="22"/>
                <w:lang w:val="en-US" w:eastAsia="es-ES_tradnl"/>
              </w:rPr>
              <w:t>λ</w:t>
            </w:r>
            <w:proofErr w:type="spellEnd"/>
            <w:r>
              <w:rPr>
                <w:sz w:val="22"/>
                <w:szCs w:val="22"/>
                <w:lang w:val="en-US" w:eastAsia="es-ES_tradnl"/>
              </w:rPr>
              <w:t xml:space="preserve">  (</w:t>
            </w:r>
            <w:proofErr w:type="gramEnd"/>
            <w:r>
              <w:rPr>
                <w:sz w:val="22"/>
                <w:szCs w:val="22"/>
                <w:lang w:val="en-US" w:eastAsia="es-ES_tradnl"/>
              </w:rPr>
              <w:t>k + L)</w:t>
            </w:r>
          </w:p>
          <w:p w14:paraId="447B7BEB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9.</w:t>
            </w:r>
            <w:r>
              <w:rPr>
                <w:sz w:val="14"/>
                <w:szCs w:val="14"/>
                <w:lang w:val="en-US" w:eastAsia="es-ES_tradnl"/>
              </w:rPr>
              <w:t xml:space="preserve">     </w:t>
            </w:r>
            <w:r>
              <w:rPr>
                <w:sz w:val="22"/>
                <w:szCs w:val="22"/>
                <w:lang w:val="en-US" w:eastAsia="es-ES_tradnl"/>
              </w:rPr>
              <w:t>Specific Antibody Response to vaccines</w:t>
            </w:r>
          </w:p>
          <w:p w14:paraId="504DC11C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10.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CD19</w:t>
            </w:r>
            <w:r>
              <w:rPr>
                <w:sz w:val="22"/>
                <w:szCs w:val="22"/>
                <w:vertAlign w:val="superscript"/>
                <w:lang w:val="en-US" w:eastAsia="es-ES_tradnl"/>
              </w:rPr>
              <w:t>+</w:t>
            </w:r>
            <w:r>
              <w:rPr>
                <w:sz w:val="22"/>
                <w:szCs w:val="22"/>
                <w:lang w:val="en-US" w:eastAsia="es-ES_tradnl"/>
              </w:rPr>
              <w:t xml:space="preserve"> Lymphocytes</w:t>
            </w:r>
          </w:p>
          <w:p w14:paraId="51F627BD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11.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proofErr w:type="spellStart"/>
            <w:r>
              <w:rPr>
                <w:sz w:val="22"/>
                <w:szCs w:val="22"/>
                <w:lang w:val="en-US" w:eastAsia="es-ES_tradnl"/>
              </w:rPr>
              <w:t>smB</w:t>
            </w:r>
            <w:proofErr w:type="spellEnd"/>
            <w:r>
              <w:rPr>
                <w:sz w:val="22"/>
                <w:szCs w:val="22"/>
                <w:lang w:val="en-US" w:eastAsia="es-ES_tradnl"/>
              </w:rPr>
              <w:t xml:space="preserve"> CD19</w:t>
            </w:r>
            <w:r>
              <w:rPr>
                <w:sz w:val="22"/>
                <w:szCs w:val="22"/>
                <w:vertAlign w:val="superscript"/>
                <w:lang w:val="en-US" w:eastAsia="es-ES_tradnl"/>
              </w:rPr>
              <w:t>+</w:t>
            </w:r>
            <w:r>
              <w:rPr>
                <w:sz w:val="22"/>
                <w:szCs w:val="22"/>
                <w:lang w:val="en-US" w:eastAsia="es-ES_tradnl"/>
              </w:rPr>
              <w:t xml:space="preserve"> Lymphocytes</w:t>
            </w:r>
          </w:p>
          <w:p w14:paraId="6B5F4BF5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12.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CD4</w:t>
            </w:r>
            <w:r>
              <w:rPr>
                <w:sz w:val="22"/>
                <w:szCs w:val="22"/>
                <w:vertAlign w:val="superscript"/>
                <w:lang w:val="en-US" w:eastAsia="es-ES_tradnl"/>
              </w:rPr>
              <w:t>+</w:t>
            </w:r>
            <w:r>
              <w:rPr>
                <w:sz w:val="22"/>
                <w:szCs w:val="22"/>
                <w:lang w:val="en-US" w:eastAsia="es-ES_tradnl"/>
              </w:rPr>
              <w:t xml:space="preserve"> Lymphocytes (count)</w:t>
            </w:r>
          </w:p>
          <w:p w14:paraId="41F1EF17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13.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CD8</w:t>
            </w:r>
            <w:r>
              <w:rPr>
                <w:sz w:val="22"/>
                <w:szCs w:val="22"/>
                <w:vertAlign w:val="superscript"/>
                <w:lang w:val="en-US" w:eastAsia="es-ES_tradnl"/>
              </w:rPr>
              <w:t>+</w:t>
            </w:r>
            <w:r>
              <w:rPr>
                <w:sz w:val="22"/>
                <w:szCs w:val="22"/>
                <w:lang w:val="en-US" w:eastAsia="es-ES_tradnl"/>
              </w:rPr>
              <w:t xml:space="preserve"> Lymphocytes (/</w:t>
            </w:r>
            <w:proofErr w:type="spellStart"/>
            <w:r>
              <w:rPr>
                <w:sz w:val="22"/>
                <w:szCs w:val="22"/>
                <w:lang w:val="en-US" w:eastAsia="es-ES_tradnl"/>
              </w:rPr>
              <w:t>uL</w:t>
            </w:r>
            <w:proofErr w:type="spellEnd"/>
            <w:r>
              <w:rPr>
                <w:sz w:val="22"/>
                <w:szCs w:val="22"/>
                <w:lang w:val="en-US" w:eastAsia="es-ES_tradnl"/>
              </w:rPr>
              <w:t>)</w:t>
            </w:r>
          </w:p>
          <w:p w14:paraId="796E0D35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14.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NK cells %</w:t>
            </w:r>
          </w:p>
          <w:p w14:paraId="0DFDB1E1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15.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NK cells count</w:t>
            </w:r>
          </w:p>
          <w:p w14:paraId="589DAF85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16.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Leukocyte counts at baseline</w:t>
            </w:r>
          </w:p>
          <w:p w14:paraId="346376A8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17.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Hemoglobin level at baseline</w:t>
            </w:r>
          </w:p>
          <w:p w14:paraId="66CBCFBD" w14:textId="77777777" w:rsidR="00FD0BC2" w:rsidRDefault="00FD0BC2">
            <w:pPr>
              <w:spacing w:line="276" w:lineRule="auto"/>
              <w:ind w:leftChars="0" w:left="2" w:hanging="2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>18.</w:t>
            </w:r>
            <w:r>
              <w:rPr>
                <w:sz w:val="14"/>
                <w:szCs w:val="14"/>
                <w:lang w:val="en-US" w:eastAsia="es-ES_tradnl"/>
              </w:rPr>
              <w:t xml:space="preserve">  </w:t>
            </w:r>
            <w:r>
              <w:rPr>
                <w:sz w:val="22"/>
                <w:szCs w:val="22"/>
                <w:lang w:val="en-US" w:eastAsia="es-ES_tradnl"/>
              </w:rPr>
              <w:t>Platelet counts at baseline</w:t>
            </w:r>
          </w:p>
          <w:p w14:paraId="33ED7528" w14:textId="77777777" w:rsidR="00FD0BC2" w:rsidRDefault="00FD0BC2">
            <w:pPr>
              <w:spacing w:line="276" w:lineRule="auto"/>
              <w:ind w:leftChars="0" w:left="2" w:hanging="2"/>
              <w:jc w:val="both"/>
              <w:rPr>
                <w:sz w:val="22"/>
                <w:szCs w:val="22"/>
                <w:lang w:val="en-US" w:eastAsia="es-ES_tradnl"/>
              </w:rPr>
            </w:pPr>
            <w:r>
              <w:rPr>
                <w:sz w:val="22"/>
                <w:szCs w:val="22"/>
                <w:lang w:val="en-US" w:eastAsia="es-ES_tradnl"/>
              </w:rPr>
              <w:t xml:space="preserve"> </w:t>
            </w:r>
          </w:p>
        </w:tc>
      </w:tr>
    </w:tbl>
    <w:p w14:paraId="18B392C7" w14:textId="77777777" w:rsidR="00FD0BC2" w:rsidRDefault="00FD0BC2" w:rsidP="00FD0BC2">
      <w:pPr>
        <w:ind w:leftChars="0" w:left="2" w:hanging="2"/>
        <w:jc w:val="both"/>
        <w:rPr>
          <w:lang w:val="en-US"/>
        </w:rPr>
      </w:pPr>
    </w:p>
    <w:p w14:paraId="277ED8A9" w14:textId="77777777" w:rsidR="00AD1398" w:rsidRDefault="00AD1398">
      <w:pPr>
        <w:ind w:left="0" w:hanging="2"/>
      </w:pP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BC2"/>
    <w:rsid w:val="005374DE"/>
    <w:rsid w:val="00871FE1"/>
    <w:rsid w:val="00AD1398"/>
    <w:rsid w:val="00CF67B1"/>
    <w:rsid w:val="00FD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91F7F"/>
  <w15:chartTrackingRefBased/>
  <w15:docId w15:val="{F503ED0A-FB21-494F-A76D-714F2D07D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BC2"/>
    <w:pPr>
      <w:suppressAutoHyphens/>
      <w:spacing w:after="0" w:line="1" w:lineRule="atLeast"/>
      <w:ind w:leftChars="-1" w:left="-1" w:hangingChars="1" w:hanging="1"/>
      <w:outlineLvl w:val="0"/>
    </w:pPr>
    <w:rPr>
      <w:rFonts w:ascii="Times New Roman" w:eastAsia="Times New Roman" w:hAnsi="Times New Roman" w:cs="Times New Roman"/>
      <w:kern w:val="0"/>
      <w:position w:val="-1"/>
      <w:sz w:val="24"/>
      <w:szCs w:val="24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0BC2"/>
    <w:pPr>
      <w:keepNext/>
      <w:keepLines/>
      <w:suppressAutoHyphens w:val="0"/>
      <w:spacing w:before="360" w:after="80" w:line="259" w:lineRule="auto"/>
      <w:ind w:leftChars="0" w:left="0" w:firstLineChars="0" w:firstLine="0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0BC2"/>
    <w:pPr>
      <w:keepNext/>
      <w:keepLines/>
      <w:suppressAutoHyphens w:val="0"/>
      <w:spacing w:before="160" w:after="80" w:line="259" w:lineRule="auto"/>
      <w:ind w:leftChars="0" w:left="0" w:firstLineChars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0BC2"/>
    <w:pPr>
      <w:keepNext/>
      <w:keepLines/>
      <w:suppressAutoHyphens w:val="0"/>
      <w:spacing w:before="160" w:after="80" w:line="259" w:lineRule="auto"/>
      <w:ind w:leftChars="0" w:left="0" w:firstLineChars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0BC2"/>
    <w:pPr>
      <w:keepNext/>
      <w:keepLines/>
      <w:suppressAutoHyphens w:val="0"/>
      <w:spacing w:before="80" w:after="40" w:line="259" w:lineRule="auto"/>
      <w:ind w:leftChars="0" w:left="0" w:firstLineChars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position w:val="0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0BC2"/>
    <w:pPr>
      <w:keepNext/>
      <w:keepLines/>
      <w:suppressAutoHyphens w:val="0"/>
      <w:spacing w:before="80" w:after="40" w:line="259" w:lineRule="auto"/>
      <w:ind w:leftChars="0" w:left="0" w:firstLineChars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0BC2"/>
    <w:pPr>
      <w:keepNext/>
      <w:keepLines/>
      <w:suppressAutoHyphens w:val="0"/>
      <w:spacing w:before="40" w:line="259" w:lineRule="auto"/>
      <w:ind w:leftChars="0" w:left="0" w:firstLineChars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position w:val="0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0BC2"/>
    <w:pPr>
      <w:keepNext/>
      <w:keepLines/>
      <w:suppressAutoHyphens w:val="0"/>
      <w:spacing w:before="40" w:line="259" w:lineRule="auto"/>
      <w:ind w:leftChars="0" w:left="0" w:firstLineChars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position w:val="0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0BC2"/>
    <w:pPr>
      <w:keepNext/>
      <w:keepLines/>
      <w:suppressAutoHyphens w:val="0"/>
      <w:spacing w:line="259" w:lineRule="auto"/>
      <w:ind w:leftChars="0" w:left="0" w:firstLineChars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position w:val="0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0BC2"/>
    <w:pPr>
      <w:keepNext/>
      <w:keepLines/>
      <w:suppressAutoHyphens w:val="0"/>
      <w:spacing w:line="259" w:lineRule="auto"/>
      <w:ind w:leftChars="0" w:left="0" w:firstLineChars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position w:val="0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0B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0B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0B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0B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0B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0B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0B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0B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0B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0BC2"/>
    <w:pPr>
      <w:suppressAutoHyphens w:val="0"/>
      <w:spacing w:after="80" w:line="240" w:lineRule="auto"/>
      <w:ind w:leftChars="0" w:left="0" w:firstLineChars="0" w:firstLine="0"/>
      <w:contextualSpacing/>
      <w:outlineLvl w:val="9"/>
    </w:pPr>
    <w:rPr>
      <w:rFonts w:asciiTheme="majorHAnsi" w:eastAsiaTheme="majorEastAsia" w:hAnsiTheme="majorHAnsi" w:cstheme="majorBidi"/>
      <w:spacing w:val="-10"/>
      <w:kern w:val="28"/>
      <w:position w:val="0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0B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0BC2"/>
    <w:pPr>
      <w:numPr>
        <w:ilvl w:val="1"/>
      </w:numPr>
      <w:suppressAutoHyphens w:val="0"/>
      <w:spacing w:after="160" w:line="259" w:lineRule="auto"/>
      <w:outlineLvl w:val="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position w:val="0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0B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0BC2"/>
    <w:pPr>
      <w:suppressAutoHyphens w:val="0"/>
      <w:spacing w:before="160" w:after="160" w:line="259" w:lineRule="auto"/>
      <w:ind w:leftChars="0" w:left="0" w:firstLineChars="0" w:firstLine="0"/>
      <w:jc w:val="center"/>
      <w:outlineLvl w:val="9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position w:val="0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0B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0BC2"/>
    <w:pPr>
      <w:suppressAutoHyphens w:val="0"/>
      <w:spacing w:after="160" w:line="259" w:lineRule="auto"/>
      <w:ind w:leftChars="0" w:left="720" w:firstLineChars="0" w:firstLine="0"/>
      <w:contextualSpacing/>
      <w:outlineLvl w:val="9"/>
    </w:pPr>
    <w:rPr>
      <w:rFonts w:asciiTheme="minorHAnsi" w:eastAsiaTheme="minorHAnsi" w:hAnsiTheme="minorHAnsi" w:cstheme="minorBidi"/>
      <w:kern w:val="2"/>
      <w:position w:val="0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0B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0B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Chars="0" w:left="864" w:right="864" w:firstLineChars="0" w:firstLine="0"/>
      <w:jc w:val="center"/>
      <w:outlineLvl w:val="9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position w:val="0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0B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0B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69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1032</Characters>
  <Application>Microsoft Office Word</Application>
  <DocSecurity>0</DocSecurity>
  <Lines>8</Lines>
  <Paragraphs>2</Paragraphs>
  <ScaleCrop>false</ScaleCrop>
  <Company>Springer Nature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2024-07-01T09:36:00Z</dcterms:created>
  <dcterms:modified xsi:type="dcterms:W3CDTF">2024-07-01T09:37:00Z</dcterms:modified>
</cp:coreProperties>
</file>