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32D246" w14:textId="28BCE945" w:rsidR="001D0F62" w:rsidRDefault="001D0F62" w:rsidP="001D0F62">
      <w:pPr>
        <w:spacing w:before="200" w:after="120" w:line="240" w:lineRule="auto"/>
        <w:rPr>
          <w:rFonts w:ascii="Times New Roman" w:eastAsia="Times New Roman" w:hAnsi="Times New Roman" w:cs="Times New Roman"/>
          <w:b/>
          <w:bCs/>
          <w:color w:val="000000"/>
          <w:sz w:val="18"/>
          <w:szCs w:val="18"/>
          <w:lang w:val="en-DE"/>
        </w:rPr>
      </w:pPr>
      <w:r w:rsidRPr="001D0F62">
        <w:rPr>
          <w:rFonts w:ascii="Times New Roman" w:eastAsia="Times New Roman" w:hAnsi="Times New Roman" w:cs="Times New Roman"/>
          <w:b/>
          <w:bCs/>
          <w:color w:val="000000"/>
          <w:sz w:val="18"/>
          <w:szCs w:val="18"/>
          <w:lang w:val="en-DE"/>
        </w:rPr>
        <w:t>Supplemental Information</w:t>
      </w:r>
    </w:p>
    <w:p w14:paraId="792CD608" w14:textId="77777777" w:rsidR="00657664" w:rsidRDefault="00657664" w:rsidP="00657664">
      <w:pPr>
        <w:spacing w:after="0" w:line="240" w:lineRule="auto"/>
        <w:rPr>
          <w:rFonts w:ascii="Times New Roman" w:eastAsia="Times New Roman" w:hAnsi="Times New Roman" w:cs="Times New Roman"/>
          <w:color w:val="000000"/>
          <w:sz w:val="20"/>
          <w:szCs w:val="20"/>
          <w:lang w:val="en-DE"/>
        </w:rPr>
      </w:pPr>
    </w:p>
    <w:p w14:paraId="3B141F97" w14:textId="743D17C8" w:rsidR="00657664" w:rsidRDefault="00657664" w:rsidP="00657664">
      <w:p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Deviations from REMIND default assumptions</w:t>
      </w:r>
    </w:p>
    <w:p w14:paraId="66C6429F" w14:textId="77777777" w:rsidR="00091CEE" w:rsidRDefault="00091CEE" w:rsidP="00657664">
      <w:pPr>
        <w:spacing w:after="0" w:line="240" w:lineRule="auto"/>
        <w:rPr>
          <w:rFonts w:ascii="Times New Roman" w:eastAsia="Times New Roman" w:hAnsi="Times New Roman" w:cs="Times New Roman"/>
          <w:color w:val="000000"/>
          <w:sz w:val="20"/>
          <w:szCs w:val="20"/>
          <w:lang w:val="en-DE"/>
        </w:rPr>
      </w:pPr>
    </w:p>
    <w:p w14:paraId="7429ACE5" w14:textId="3CF45212" w:rsidR="00B21980" w:rsidRDefault="00B21980" w:rsidP="00657664">
      <w:p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We make the following deviations from standard scenario settings in this analysis:</w:t>
      </w:r>
    </w:p>
    <w:p w14:paraId="4800B53A" w14:textId="22B5D52F" w:rsidR="00091CEE" w:rsidRDefault="00091CEE" w:rsidP="00B21980">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 xml:space="preserve">We use a model version based on REMINDv3.2.0 that additionally includes a separate carbon market for novel CDR. The code is available on </w:t>
      </w:r>
      <w:proofErr w:type="spellStart"/>
      <w:r>
        <w:rPr>
          <w:rFonts w:ascii="Times New Roman" w:eastAsia="Times New Roman" w:hAnsi="Times New Roman" w:cs="Times New Roman"/>
          <w:color w:val="000000"/>
          <w:sz w:val="20"/>
          <w:szCs w:val="20"/>
          <w:lang w:val="en-DE"/>
        </w:rPr>
        <w:t>Github</w:t>
      </w:r>
      <w:proofErr w:type="spellEnd"/>
      <w:r>
        <w:rPr>
          <w:rFonts w:ascii="Times New Roman" w:eastAsia="Times New Roman" w:hAnsi="Times New Roman" w:cs="Times New Roman"/>
          <w:color w:val="000000"/>
          <w:sz w:val="20"/>
          <w:szCs w:val="20"/>
          <w:lang w:val="en-DE"/>
        </w:rPr>
        <w:t xml:space="preserve"> at </w:t>
      </w:r>
      <w:r w:rsidRPr="00091CEE">
        <w:rPr>
          <w:rFonts w:ascii="Times New Roman" w:eastAsia="Times New Roman" w:hAnsi="Times New Roman" w:cs="Times New Roman"/>
          <w:color w:val="000000"/>
          <w:sz w:val="20"/>
          <w:szCs w:val="20"/>
          <w:lang w:val="en-DE"/>
        </w:rPr>
        <w:t>https://github.com/amerfort/remind/tree/SepMark_REMIND3.2.0</w:t>
      </w:r>
    </w:p>
    <w:p w14:paraId="057D260E" w14:textId="05F143D3" w:rsidR="00B21980" w:rsidRDefault="00B21980" w:rsidP="00B21980">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 xml:space="preserve">We exclude novel CDR from the </w:t>
      </w:r>
      <w:r w:rsidR="000B6BB2">
        <w:rPr>
          <w:rFonts w:ascii="Times New Roman" w:eastAsia="Times New Roman" w:hAnsi="Times New Roman" w:cs="Times New Roman"/>
          <w:color w:val="000000"/>
          <w:sz w:val="20"/>
          <w:szCs w:val="20"/>
          <w:lang w:val="en-DE"/>
        </w:rPr>
        <w:t>tax</w:t>
      </w:r>
      <w:r>
        <w:rPr>
          <w:rFonts w:ascii="Times New Roman" w:eastAsia="Times New Roman" w:hAnsi="Times New Roman" w:cs="Times New Roman"/>
          <w:color w:val="000000"/>
          <w:sz w:val="20"/>
          <w:szCs w:val="20"/>
          <w:lang w:val="en-DE"/>
        </w:rPr>
        <w:t xml:space="preserve"> on </w:t>
      </w:r>
      <w:r w:rsidR="000B6BB2">
        <w:rPr>
          <w:rFonts w:ascii="Times New Roman" w:eastAsia="Times New Roman" w:hAnsi="Times New Roman" w:cs="Times New Roman"/>
          <w:color w:val="000000"/>
          <w:sz w:val="20"/>
          <w:szCs w:val="20"/>
          <w:lang w:val="en-DE"/>
        </w:rPr>
        <w:t xml:space="preserve">GHG </w:t>
      </w:r>
      <w:r>
        <w:rPr>
          <w:rFonts w:ascii="Times New Roman" w:eastAsia="Times New Roman" w:hAnsi="Times New Roman" w:cs="Times New Roman"/>
          <w:color w:val="000000"/>
          <w:sz w:val="20"/>
          <w:szCs w:val="20"/>
          <w:lang w:val="en-DE"/>
        </w:rPr>
        <w:t xml:space="preserve">emissions and add a complementary subsidy. </w:t>
      </w:r>
    </w:p>
    <w:p w14:paraId="50F9429B" w14:textId="69C14FFB" w:rsidR="00B21980" w:rsidRDefault="00B21980" w:rsidP="00B21980">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 xml:space="preserve">Instead of a peak budget </w:t>
      </w:r>
      <w:r w:rsidR="000B6BB2">
        <w:rPr>
          <w:rFonts w:ascii="Times New Roman" w:eastAsia="Times New Roman" w:hAnsi="Times New Roman" w:cs="Times New Roman"/>
          <w:color w:val="000000"/>
          <w:sz w:val="20"/>
          <w:szCs w:val="20"/>
          <w:lang w:val="en-DE"/>
        </w:rPr>
        <w:t>target, we prescribe explicit residual emissions and removal targets for 2050.</w:t>
      </w:r>
    </w:p>
    <w:p w14:paraId="11BE1FD0" w14:textId="6C6108B8" w:rsidR="00B21980" w:rsidRDefault="00B21980" w:rsidP="00B21980">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The tax on net negative emissions</w:t>
      </w:r>
      <w:r w:rsidR="007C7FCD">
        <w:rPr>
          <w:rFonts w:ascii="Times New Roman" w:eastAsia="Times New Roman" w:hAnsi="Times New Roman" w:cs="Times New Roman"/>
          <w:color w:val="000000"/>
          <w:sz w:val="20"/>
          <w:szCs w:val="20"/>
          <w:lang w:val="en-DE"/>
        </w:rPr>
        <w:t xml:space="preserve"> </w:t>
      </w:r>
      <w:r>
        <w:rPr>
          <w:rFonts w:ascii="Times New Roman" w:eastAsia="Times New Roman" w:hAnsi="Times New Roman" w:cs="Times New Roman"/>
          <w:color w:val="000000"/>
          <w:sz w:val="20"/>
          <w:szCs w:val="20"/>
          <w:lang w:val="en-DE"/>
        </w:rPr>
        <w:t>is turned off to avoid</w:t>
      </w:r>
      <w:r w:rsidR="000B6BB2">
        <w:rPr>
          <w:rFonts w:ascii="Times New Roman" w:eastAsia="Times New Roman" w:hAnsi="Times New Roman" w:cs="Times New Roman"/>
          <w:color w:val="000000"/>
          <w:sz w:val="20"/>
          <w:szCs w:val="20"/>
          <w:lang w:val="en-DE"/>
        </w:rPr>
        <w:t xml:space="preserve"> additional</w:t>
      </w:r>
      <w:r>
        <w:rPr>
          <w:rFonts w:ascii="Times New Roman" w:eastAsia="Times New Roman" w:hAnsi="Times New Roman" w:cs="Times New Roman"/>
          <w:color w:val="000000"/>
          <w:sz w:val="20"/>
          <w:szCs w:val="20"/>
          <w:lang w:val="en-DE"/>
        </w:rPr>
        <w:t xml:space="preserve"> modifications of the effective carbon price. </w:t>
      </w:r>
    </w:p>
    <w:p w14:paraId="2AF85C19" w14:textId="5E876B1E" w:rsidR="00B21980" w:rsidRDefault="00B21980" w:rsidP="00B21980">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Enhanced weathering is an available CDR option.</w:t>
      </w:r>
    </w:p>
    <w:p w14:paraId="725C9828" w14:textId="43A4F7B7" w:rsidR="00657664" w:rsidRPr="00091CEE" w:rsidRDefault="00B21980" w:rsidP="00657664">
      <w:pPr>
        <w:pStyle w:val="ListParagraph"/>
        <w:numPr>
          <w:ilvl w:val="0"/>
          <w:numId w:val="1"/>
        </w:numPr>
        <w:spacing w:after="0" w:line="240" w:lineRule="auto"/>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Maximum annual primary energy biomass is limited to 100 EJ/</w:t>
      </w:r>
      <w:proofErr w:type="spellStart"/>
      <w:r>
        <w:rPr>
          <w:rFonts w:ascii="Times New Roman" w:eastAsia="Times New Roman" w:hAnsi="Times New Roman" w:cs="Times New Roman"/>
          <w:color w:val="000000"/>
          <w:sz w:val="20"/>
          <w:szCs w:val="20"/>
          <w:lang w:val="en-DE"/>
        </w:rPr>
        <w:t>yr</w:t>
      </w:r>
      <w:proofErr w:type="spellEnd"/>
      <w:r>
        <w:rPr>
          <w:rFonts w:ascii="Times New Roman" w:eastAsia="Times New Roman" w:hAnsi="Times New Roman" w:cs="Times New Roman"/>
          <w:color w:val="000000"/>
          <w:sz w:val="20"/>
          <w:szCs w:val="20"/>
          <w:lang w:val="en-DE"/>
        </w:rPr>
        <w:t xml:space="preserve"> for sustainability reasons.</w:t>
      </w:r>
      <w:r w:rsidR="00657664" w:rsidRPr="00091CEE">
        <w:rPr>
          <w:rFonts w:ascii="Times New Roman" w:eastAsia="Times New Roman" w:hAnsi="Times New Roman" w:cs="Times New Roman"/>
          <w:color w:val="000000"/>
          <w:sz w:val="20"/>
          <w:szCs w:val="20"/>
          <w:lang w:val="en-DE"/>
        </w:rPr>
        <w:br/>
      </w:r>
    </w:p>
    <w:p w14:paraId="08203D0D" w14:textId="57D2DE1C" w:rsidR="00657664" w:rsidRDefault="00657664" w:rsidP="00657664">
      <w:pPr>
        <w:spacing w:after="0" w:line="240" w:lineRule="auto"/>
        <w:rPr>
          <w:rFonts w:ascii="Times New Roman" w:eastAsia="Times New Roman" w:hAnsi="Times New Roman" w:cs="Times New Roman"/>
          <w:color w:val="000000"/>
          <w:sz w:val="20"/>
          <w:szCs w:val="20"/>
          <w:lang w:val="en-DE"/>
        </w:rPr>
      </w:pPr>
    </w:p>
    <w:p w14:paraId="4F9FAF76" w14:textId="77777777" w:rsidR="00657664" w:rsidRPr="00657664" w:rsidRDefault="00657664" w:rsidP="00657664">
      <w:pPr>
        <w:spacing w:after="0" w:line="240" w:lineRule="auto"/>
        <w:rPr>
          <w:rFonts w:ascii="Times New Roman" w:eastAsia="Times New Roman" w:hAnsi="Times New Roman" w:cs="Times New Roman"/>
          <w:color w:val="000000"/>
          <w:sz w:val="20"/>
          <w:szCs w:val="20"/>
          <w:lang w:val="en-DE"/>
        </w:rPr>
      </w:pPr>
    </w:p>
    <w:p w14:paraId="68B9B007" w14:textId="481BECEA" w:rsidR="001D0F62" w:rsidRPr="001D0F62" w:rsidRDefault="001D0F62" w:rsidP="00657664">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Technoeconomic data on CDR technologies</w:t>
      </w:r>
    </w:p>
    <w:p w14:paraId="36A2EC43" w14:textId="654075B3" w:rsidR="001A5945" w:rsidRDefault="001D0F62" w:rsidP="001D0F62">
      <w:pPr>
        <w:jc w:val="both"/>
        <w:rPr>
          <w:rFonts w:ascii="Times New Roman" w:eastAsia="Times New Roman" w:hAnsi="Times New Roman" w:cs="Times New Roman"/>
          <w:color w:val="000000"/>
          <w:sz w:val="20"/>
          <w:szCs w:val="20"/>
          <w:lang w:val="en-DE"/>
        </w:rPr>
      </w:pPr>
      <w:r w:rsidRPr="001D0F62">
        <w:rPr>
          <w:rFonts w:ascii="Times New Roman" w:eastAsia="Times New Roman" w:hAnsi="Times New Roman" w:cs="Times New Roman"/>
          <w:sz w:val="24"/>
          <w:szCs w:val="24"/>
          <w:lang w:val="en-DE"/>
        </w:rPr>
        <w:br/>
      </w:r>
      <w:r w:rsidRPr="001D0F62">
        <w:rPr>
          <w:rFonts w:ascii="Times New Roman" w:eastAsia="Times New Roman" w:hAnsi="Times New Roman" w:cs="Times New Roman"/>
          <w:color w:val="000000"/>
          <w:sz w:val="20"/>
          <w:szCs w:val="20"/>
          <w:lang w:val="en-DE"/>
        </w:rPr>
        <w:t>In REMINDv3.2.0</w:t>
      </w:r>
      <w:r w:rsidR="002913B3">
        <w:rPr>
          <w:rFonts w:ascii="Times New Roman" w:eastAsia="Times New Roman" w:hAnsi="Times New Roman" w:cs="Times New Roman"/>
          <w:color w:val="000000"/>
          <w:sz w:val="20"/>
          <w:szCs w:val="20"/>
          <w:lang w:val="en-DE"/>
        </w:rPr>
        <w:fldChar w:fldCharType="begin"/>
      </w:r>
      <w:r w:rsidR="002913B3">
        <w:rPr>
          <w:rFonts w:ascii="Times New Roman" w:eastAsia="Times New Roman" w:hAnsi="Times New Roman" w:cs="Times New Roman"/>
          <w:color w:val="000000"/>
          <w:sz w:val="20"/>
          <w:szCs w:val="20"/>
          <w:lang w:val="en-DE"/>
        </w:rPr>
        <w:instrText xml:space="preserve"> ADDIN ZOTERO_ITEM CSL_CITATION {"citationID":"HtO5Zqya","properties":{"formattedCitation":"\\super 1\\nosupersub{}","plainCitation":"1","noteIndex":0},"citationItems":[{"id":27557,"uris":["http://zotero.org/groups/52011/items/BKFHXBVF"],"itemData":{"id":27557,"type":"article-journal","container-title":"Geoscientific Model Development Discussions","DOI":"10.5194/gmd-2021-85","page":"1–50","title":"REMIND2.1: Transformation and innovation dynamics of the energy-economic system within climate and sustainability limits","volume":"2021","author":[{"family":"Baumstark","given":"L."},{"family":"Bauer","given":"N."},{"family":"Benke","given":"F."},{"family":"Bertram","given":"C."},{"family":"Bi","given":"S."},{"family":"Gong","given":"C. C."},{"family":"Dietrich","given":"J. P."},{"family":"Dirnaichner","given":"A."},{"family":"Giannousakis","given":"A."},{"family":"Hilaire","given":"J."},{"family":"Klein","given":"D."},{"family":"Koch","given":"J."},{"family":"Leimbach","given":"M."},{"family":"Levesque","given":"A."},{"family":"Madeddu","given":"S."},{"family":"Malik","given":"A."},{"family":"Merfort","given":"A."},{"family":"Merfort","given":"L."},{"family":"Odenweller","given":"A."},{"family":"Pehl","given":"M."},{"family":"Pietzcker","given":"R. C."},{"family":"Piontek","given":"F."},{"family":"Rauner","given":"S."},{"family":"Rodrigues","given":"R."},{"family":"Rottoli","given":"M."},{"family":"Schreyer","given":"F."},{"family":"Schultes","given":"A."},{"family":"Soergel","given":"B."},{"family":"Soergel","given":"D."},{"family":"Strefler","given":"J."},{"family":"Ueckerdt","given":"F."},{"family":"Kriegler","given":"E."},{"family":"Luderer","given":"G."}],"issued":{"date-parts":[["2021"]]}}}],"schema":"https://github.com/citation-style-language/schema/raw/master/csl-citation.json"} </w:instrText>
      </w:r>
      <w:r w:rsidR="002913B3">
        <w:rPr>
          <w:rFonts w:ascii="Times New Roman" w:eastAsia="Times New Roman" w:hAnsi="Times New Roman" w:cs="Times New Roman"/>
          <w:color w:val="000000"/>
          <w:sz w:val="20"/>
          <w:szCs w:val="20"/>
          <w:lang w:val="en-DE"/>
        </w:rPr>
        <w:fldChar w:fldCharType="separate"/>
      </w:r>
      <w:r w:rsidR="002913B3" w:rsidRPr="002913B3">
        <w:rPr>
          <w:rFonts w:ascii="Times New Roman" w:hAnsi="Times New Roman" w:cs="Times New Roman"/>
          <w:sz w:val="20"/>
          <w:szCs w:val="24"/>
          <w:vertAlign w:val="superscript"/>
        </w:rPr>
        <w:t>1</w:t>
      </w:r>
      <w:r w:rsidR="002913B3">
        <w:rPr>
          <w:rFonts w:ascii="Times New Roman" w:eastAsia="Times New Roman" w:hAnsi="Times New Roman" w:cs="Times New Roman"/>
          <w:color w:val="000000"/>
          <w:sz w:val="20"/>
          <w:szCs w:val="20"/>
          <w:lang w:val="en-DE"/>
        </w:rPr>
        <w:fldChar w:fldCharType="end"/>
      </w:r>
      <w:r w:rsidRPr="001D0F62">
        <w:rPr>
          <w:rFonts w:ascii="Times New Roman" w:eastAsia="Times New Roman" w:hAnsi="Times New Roman" w:cs="Times New Roman"/>
          <w:color w:val="000000"/>
          <w:sz w:val="20"/>
          <w:szCs w:val="20"/>
          <w:lang w:val="en-DE"/>
        </w:rPr>
        <w:t xml:space="preserve"> there are 4 BECCS conversion routes that capture CO</w:t>
      </w:r>
      <w:r w:rsidRPr="000B6BB2">
        <w:rPr>
          <w:rFonts w:ascii="Times New Roman" w:eastAsia="Times New Roman" w:hAnsi="Times New Roman" w:cs="Times New Roman"/>
          <w:color w:val="000000"/>
          <w:sz w:val="20"/>
          <w:szCs w:val="20"/>
          <w:vertAlign w:val="subscript"/>
          <w:lang w:val="en-DE"/>
        </w:rPr>
        <w:t>2</w:t>
      </w:r>
      <w:r w:rsidRPr="001D0F62">
        <w:rPr>
          <w:rFonts w:ascii="Times New Roman" w:eastAsia="Times New Roman" w:hAnsi="Times New Roman" w:cs="Times New Roman"/>
          <w:color w:val="000000"/>
          <w:sz w:val="20"/>
          <w:szCs w:val="20"/>
          <w:lang w:val="en-DE"/>
        </w:rPr>
        <w:t xml:space="preserve"> released during combustion or the refinery processes that convert lignocellulosic biomass feedstock into secondary energy carriers: bioliquids, biogas, electricity and H</w:t>
      </w:r>
      <w:r w:rsidRPr="00376AD4">
        <w:rPr>
          <w:rFonts w:ascii="Times New Roman" w:eastAsia="Times New Roman" w:hAnsi="Times New Roman" w:cs="Times New Roman"/>
          <w:color w:val="000000"/>
          <w:sz w:val="20"/>
          <w:szCs w:val="20"/>
          <w:vertAlign w:val="subscript"/>
          <w:lang w:val="en-DE"/>
        </w:rPr>
        <w:t>2</w:t>
      </w:r>
      <w:r w:rsidRPr="001D0F62">
        <w:rPr>
          <w:rFonts w:ascii="Times New Roman" w:eastAsia="Times New Roman" w:hAnsi="Times New Roman" w:cs="Times New Roman"/>
          <w:color w:val="000000"/>
          <w:sz w:val="20"/>
          <w:szCs w:val="20"/>
          <w:lang w:val="en-DE"/>
        </w:rPr>
        <w:t>. Which specific technology is economically most useful in a given scenario is not only dependent on the contribution to CDR but also</w:t>
      </w:r>
      <w:r w:rsidR="00D65283">
        <w:rPr>
          <w:rFonts w:ascii="Times New Roman" w:eastAsia="Times New Roman" w:hAnsi="Times New Roman" w:cs="Times New Roman"/>
          <w:color w:val="000000"/>
          <w:sz w:val="20"/>
          <w:szCs w:val="20"/>
          <w:lang w:val="en-DE"/>
        </w:rPr>
        <w:t xml:space="preserve"> on</w:t>
      </w:r>
      <w:r w:rsidRPr="001D0F62">
        <w:rPr>
          <w:rFonts w:ascii="Times New Roman" w:eastAsia="Times New Roman" w:hAnsi="Times New Roman" w:cs="Times New Roman"/>
          <w:color w:val="000000"/>
          <w:sz w:val="20"/>
          <w:szCs w:val="20"/>
          <w:lang w:val="en-DE"/>
        </w:rPr>
        <w:t xml:space="preserve"> how valuable the secondary energy carrier is to the abatement side. In the model we represent a low-temperature Direct Air Capture technology following the specifications </w:t>
      </w:r>
      <w:r w:rsidR="002913B3">
        <w:rPr>
          <w:rFonts w:ascii="Times New Roman" w:eastAsia="Times New Roman" w:hAnsi="Times New Roman" w:cs="Times New Roman"/>
          <w:color w:val="000000"/>
          <w:sz w:val="20"/>
          <w:szCs w:val="20"/>
          <w:lang w:val="en-DE"/>
        </w:rPr>
        <w:t xml:space="preserve">provided by </w:t>
      </w:r>
      <w:proofErr w:type="spellStart"/>
      <w:r w:rsidR="002913B3">
        <w:rPr>
          <w:rFonts w:ascii="Times New Roman" w:eastAsia="Times New Roman" w:hAnsi="Times New Roman" w:cs="Times New Roman"/>
          <w:color w:val="000000"/>
          <w:sz w:val="20"/>
          <w:szCs w:val="20"/>
          <w:lang w:val="en-DE"/>
        </w:rPr>
        <w:t>Climeworks</w:t>
      </w:r>
      <w:proofErr w:type="spellEnd"/>
      <w:r w:rsidR="002913B3">
        <w:rPr>
          <w:rFonts w:ascii="Times New Roman" w:eastAsia="Times New Roman" w:hAnsi="Times New Roman" w:cs="Times New Roman"/>
          <w:color w:val="000000"/>
          <w:sz w:val="20"/>
          <w:szCs w:val="20"/>
          <w:lang w:val="en-DE"/>
        </w:rPr>
        <w:fldChar w:fldCharType="begin"/>
      </w:r>
      <w:r w:rsidR="002913B3">
        <w:rPr>
          <w:rFonts w:ascii="Times New Roman" w:eastAsia="Times New Roman" w:hAnsi="Times New Roman" w:cs="Times New Roman"/>
          <w:color w:val="000000"/>
          <w:sz w:val="20"/>
          <w:szCs w:val="20"/>
          <w:lang w:val="en-DE"/>
        </w:rPr>
        <w:instrText xml:space="preserve"> ADDIN ZOTERO_ITEM CSL_CITATION {"citationID":"fR1hd4E5","properties":{"formattedCitation":"\\super 2\\nosupersub{}","plainCitation":"2","noteIndex":0},"citationItems":[{"id":22000,"uris":["http://zotero.org/groups/52011/items/K4FFX96V"],"itemData":{"id":22000,"type":"article-journal","container-title":"Frontiers in Climate","DOI":"10.3389/fclim.2019.00010","ISSN":"2624-9553","journalAbbreviation":"Front. Clim.","page":"10","source":"DOI.org (Crossref)","title":"The Role of Direct Air Capture in Mitigation of Anthropogenic Greenhouse Gas Emissions","volume":"1","author":[{"family":"Beuttler","given":"Christoph"},{"family":"Charles","given":"Louise"},{"family":"Wurzbacher","given":"Jan"}],"issued":{"date-parts":[["2019",11,21]]}}}],"schema":"https://github.com/citation-style-language/schema/raw/master/csl-citation.json"} </w:instrText>
      </w:r>
      <w:r w:rsidR="002913B3">
        <w:rPr>
          <w:rFonts w:ascii="Times New Roman" w:eastAsia="Times New Roman" w:hAnsi="Times New Roman" w:cs="Times New Roman"/>
          <w:color w:val="000000"/>
          <w:sz w:val="20"/>
          <w:szCs w:val="20"/>
          <w:lang w:val="en-DE"/>
        </w:rPr>
        <w:fldChar w:fldCharType="separate"/>
      </w:r>
      <w:r w:rsidR="002913B3" w:rsidRPr="002913B3">
        <w:rPr>
          <w:rFonts w:ascii="Times New Roman" w:hAnsi="Times New Roman" w:cs="Times New Roman"/>
          <w:sz w:val="20"/>
          <w:szCs w:val="24"/>
          <w:vertAlign w:val="superscript"/>
        </w:rPr>
        <w:t>2</w:t>
      </w:r>
      <w:r w:rsidR="002913B3">
        <w:rPr>
          <w:rFonts w:ascii="Times New Roman" w:eastAsia="Times New Roman" w:hAnsi="Times New Roman" w:cs="Times New Roman"/>
          <w:color w:val="000000"/>
          <w:sz w:val="20"/>
          <w:szCs w:val="20"/>
          <w:lang w:val="en-DE"/>
        </w:rPr>
        <w:fldChar w:fldCharType="end"/>
      </w:r>
      <w:r w:rsidR="002913B3">
        <w:rPr>
          <w:rFonts w:ascii="Times New Roman" w:eastAsia="Times New Roman" w:hAnsi="Times New Roman" w:cs="Times New Roman"/>
          <w:color w:val="000000"/>
          <w:sz w:val="20"/>
          <w:szCs w:val="20"/>
          <w:lang w:val="en-DE"/>
        </w:rPr>
        <w:t>.</w:t>
      </w:r>
      <w:r w:rsidRPr="001D0F62">
        <w:rPr>
          <w:rFonts w:ascii="Times New Roman" w:eastAsia="Times New Roman" w:hAnsi="Times New Roman" w:cs="Times New Roman"/>
          <w:color w:val="000000"/>
          <w:sz w:val="20"/>
          <w:szCs w:val="20"/>
          <w:lang w:val="en-DE"/>
        </w:rPr>
        <w:t xml:space="preserve"> For DAC, learning is endogenous, with investment costs declining with increased </w:t>
      </w:r>
      <w:proofErr w:type="spellStart"/>
      <w:r w:rsidRPr="001D0F62">
        <w:rPr>
          <w:rFonts w:ascii="Times New Roman" w:eastAsia="Times New Roman" w:hAnsi="Times New Roman" w:cs="Times New Roman"/>
          <w:color w:val="000000"/>
          <w:sz w:val="20"/>
          <w:szCs w:val="20"/>
          <w:lang w:val="en-DE"/>
        </w:rPr>
        <w:t>cumulat</w:t>
      </w:r>
      <w:r w:rsidR="00376AD4">
        <w:rPr>
          <w:rFonts w:ascii="Times New Roman" w:eastAsia="Times New Roman" w:hAnsi="Times New Roman" w:cs="Times New Roman"/>
          <w:color w:val="000000"/>
          <w:sz w:val="20"/>
          <w:szCs w:val="20"/>
          <w:lang w:val="en-DE"/>
        </w:rPr>
        <w:t>ive</w:t>
      </w:r>
      <w:proofErr w:type="spellEnd"/>
      <w:r w:rsidRPr="001D0F62">
        <w:rPr>
          <w:rFonts w:ascii="Times New Roman" w:eastAsia="Times New Roman" w:hAnsi="Times New Roman" w:cs="Times New Roman"/>
          <w:color w:val="000000"/>
          <w:sz w:val="20"/>
          <w:szCs w:val="20"/>
          <w:lang w:val="en-DE"/>
        </w:rPr>
        <w:t xml:space="preserve"> capacity.</w:t>
      </w:r>
    </w:p>
    <w:p w14:paraId="234E9983" w14:textId="77777777" w:rsidR="000757A9" w:rsidRPr="00817975" w:rsidRDefault="000757A9" w:rsidP="000757A9">
      <w:pPr>
        <w:pStyle w:val="Caption"/>
        <w:keepNext/>
        <w:rPr>
          <w:lang w:val="en-DE"/>
        </w:rPr>
      </w:pPr>
      <w:r>
        <w:t xml:space="preserve">Table </w:t>
      </w:r>
      <w:r>
        <w:fldChar w:fldCharType="begin"/>
      </w:r>
      <w:r>
        <w:instrText xml:space="preserve"> SEQ Table \* ARABIC </w:instrText>
      </w:r>
      <w:r>
        <w:fldChar w:fldCharType="separate"/>
      </w:r>
      <w:r>
        <w:rPr>
          <w:noProof/>
        </w:rPr>
        <w:t>1</w:t>
      </w:r>
      <w:r>
        <w:fldChar w:fldCharType="end"/>
      </w:r>
      <w:r>
        <w:rPr>
          <w:lang w:val="en-DE"/>
        </w:rPr>
        <w:t xml:space="preserve">: </w:t>
      </w:r>
      <w:proofErr w:type="spellStart"/>
      <w:r>
        <w:rPr>
          <w:lang w:val="en-DE"/>
        </w:rPr>
        <w:t>REMIND’s</w:t>
      </w:r>
      <w:proofErr w:type="spellEnd"/>
      <w:r>
        <w:rPr>
          <w:lang w:val="en-DE"/>
        </w:rPr>
        <w:t xml:space="preserve"> representation of </w:t>
      </w:r>
      <w:r w:rsidR="000E7A80">
        <w:rPr>
          <w:lang w:val="en-DE"/>
        </w:rPr>
        <w:t xml:space="preserve">bio-based </w:t>
      </w:r>
      <w:r>
        <w:rPr>
          <w:lang w:val="en-DE"/>
        </w:rPr>
        <w:t>CO</w:t>
      </w:r>
      <w:r>
        <w:rPr>
          <w:vertAlign w:val="subscript"/>
          <w:lang w:val="en-DE"/>
        </w:rPr>
        <w:t>2</w:t>
      </w:r>
      <w:r w:rsidRPr="000757A9">
        <w:rPr>
          <w:lang w:val="en-DE"/>
        </w:rPr>
        <w:t xml:space="preserve"> capture </w:t>
      </w:r>
      <w:r>
        <w:rPr>
          <w:lang w:val="en-DE"/>
        </w:rPr>
        <w:t>technologies</w:t>
      </w:r>
      <w:r w:rsidRPr="000757A9">
        <w:rPr>
          <w:lang w:val="en-DE"/>
        </w:rPr>
        <w:t>. Only when the captured CO</w:t>
      </w:r>
      <w:r w:rsidRPr="000757A9">
        <w:rPr>
          <w:vertAlign w:val="subscript"/>
          <w:lang w:val="en-DE"/>
        </w:rPr>
        <w:t>2</w:t>
      </w:r>
      <w:r w:rsidRPr="000757A9">
        <w:rPr>
          <w:lang w:val="en-DE"/>
        </w:rPr>
        <w:t xml:space="preserve"> is geologically stored (and not used for synthetic fuels) will it be counted as CDR. REMIND</w:t>
      </w:r>
      <w:r>
        <w:rPr>
          <w:lang w:val="en-DE"/>
        </w:rPr>
        <w:t xml:space="preserve"> tracks biomass flows in terms of energy content rather than tons of dry matter</w:t>
      </w:r>
      <w:r w:rsidRPr="000757A9">
        <w:rPr>
          <w:lang w:val="en-DE"/>
        </w:rPr>
        <w:t xml:space="preserve"> and capture efficiencies in the model are given as </w:t>
      </w:r>
      <w:proofErr w:type="spellStart"/>
      <w:r w:rsidRPr="000757A9">
        <w:rPr>
          <w:lang w:val="en-DE"/>
        </w:rPr>
        <w:t>GtC</w:t>
      </w:r>
      <w:proofErr w:type="spellEnd"/>
      <w:r w:rsidRPr="000757A9">
        <w:rPr>
          <w:lang w:val="en-DE"/>
        </w:rPr>
        <w:t>/ZJ with respect to primary energy content. The carbon capture rates are calculated here for comparison using the assumptions of 18GJ/</w:t>
      </w:r>
      <w:proofErr w:type="spellStart"/>
      <w:r w:rsidRPr="000757A9">
        <w:rPr>
          <w:lang w:val="en-DE"/>
        </w:rPr>
        <w:t>tDM</w:t>
      </w:r>
      <w:proofErr w:type="spellEnd"/>
      <w:r w:rsidRPr="000757A9">
        <w:rPr>
          <w:lang w:val="en-DE"/>
        </w:rPr>
        <w:t xml:space="preserve"> on energy content per tonne dry matter and 0.49 </w:t>
      </w:r>
      <w:proofErr w:type="spellStart"/>
      <w:r w:rsidRPr="000757A9">
        <w:rPr>
          <w:lang w:val="en-DE"/>
        </w:rPr>
        <w:t>tC</w:t>
      </w:r>
      <w:proofErr w:type="spellEnd"/>
      <w:r w:rsidRPr="000757A9">
        <w:rPr>
          <w:lang w:val="en-DE"/>
        </w:rPr>
        <w:t>/</w:t>
      </w:r>
      <w:proofErr w:type="spellStart"/>
      <w:r w:rsidRPr="000757A9">
        <w:rPr>
          <w:lang w:val="en-DE"/>
        </w:rPr>
        <w:t>tDM</w:t>
      </w:r>
      <w:proofErr w:type="spellEnd"/>
      <w:r w:rsidRPr="000757A9">
        <w:rPr>
          <w:lang w:val="en-DE"/>
        </w:rPr>
        <w:t xml:space="preserve"> on carbon content per tonne dry matter of biomass feedstock.</w:t>
      </w:r>
      <w:r w:rsidR="00817975">
        <w:rPr>
          <w:lang w:val="en-DE"/>
        </w:rPr>
        <w:t xml:space="preserve"> *Capture rates of all technologies featuring carbon capture are additionally reduced by 1% to account for losses during CO</w:t>
      </w:r>
      <w:r w:rsidR="00817975" w:rsidRPr="00817975">
        <w:rPr>
          <w:vertAlign w:val="subscript"/>
          <w:lang w:val="en-DE"/>
        </w:rPr>
        <w:t>2</w:t>
      </w:r>
      <w:r w:rsidR="00817975">
        <w:rPr>
          <w:lang w:val="en-DE"/>
        </w:rPr>
        <w:t xml:space="preserve"> transportation, this table shows original capture rates before reduction.</w:t>
      </w:r>
    </w:p>
    <w:tbl>
      <w:tblPr>
        <w:tblW w:w="9026" w:type="dxa"/>
        <w:tblCellMar>
          <w:top w:w="15" w:type="dxa"/>
          <w:left w:w="15" w:type="dxa"/>
          <w:bottom w:w="15" w:type="dxa"/>
          <w:right w:w="15" w:type="dxa"/>
        </w:tblCellMar>
        <w:tblLook w:val="04A0" w:firstRow="1" w:lastRow="0" w:firstColumn="1" w:lastColumn="0" w:noHBand="0" w:noVBand="1"/>
      </w:tblPr>
      <w:tblGrid>
        <w:gridCol w:w="1510"/>
        <w:gridCol w:w="1565"/>
        <w:gridCol w:w="1183"/>
        <w:gridCol w:w="1684"/>
        <w:gridCol w:w="1217"/>
        <w:gridCol w:w="946"/>
        <w:gridCol w:w="921"/>
      </w:tblGrid>
      <w:tr w:rsidR="001D0F62" w:rsidRPr="001D0F62" w14:paraId="67313BF8" w14:textId="77777777" w:rsidTr="001D0F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6401E5"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Bioenergy with carbon capture technology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A976B9"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Investment costs [US$2015/kW]</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3C6A73"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 xml:space="preserve">Fixed O&amp;M costs as a fraction of </w:t>
            </w:r>
            <w:proofErr w:type="spellStart"/>
            <w:r w:rsidRPr="001D0F62">
              <w:rPr>
                <w:rFonts w:ascii="Times New Roman" w:eastAsia="Times New Roman" w:hAnsi="Times New Roman" w:cs="Times New Roman"/>
                <w:color w:val="000000"/>
                <w:sz w:val="20"/>
                <w:szCs w:val="20"/>
                <w:lang w:val="en-DE"/>
              </w:rPr>
              <w:t>investm</w:t>
            </w:r>
            <w:proofErr w:type="spellEnd"/>
            <w:r w:rsidRPr="001D0F62">
              <w:rPr>
                <w:rFonts w:ascii="Times New Roman" w:eastAsia="Times New Roman" w:hAnsi="Times New Roman" w:cs="Times New Roman"/>
                <w:color w:val="000000"/>
                <w:sz w:val="20"/>
                <w:szCs w:val="20"/>
                <w:lang w:val="en-DE"/>
              </w:rPr>
              <w:t>. costs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CCB66A"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Variable O&amp;M costs [US$2015/</w:t>
            </w:r>
            <w:proofErr w:type="spellStart"/>
            <w:r w:rsidRPr="001D0F62">
              <w:rPr>
                <w:rFonts w:ascii="Times New Roman" w:eastAsia="Times New Roman" w:hAnsi="Times New Roman" w:cs="Times New Roman"/>
                <w:color w:val="000000"/>
                <w:sz w:val="20"/>
                <w:szCs w:val="20"/>
                <w:lang w:val="en-DE"/>
              </w:rPr>
              <w:t>kWa</w:t>
            </w:r>
            <w:proofErr w:type="spellEnd"/>
            <w:r w:rsidRPr="001D0F62">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7EC512"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Energy conversion efficiency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5AFEBC"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Lifetime [years]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EB38CE"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CO</w:t>
            </w:r>
            <w:r w:rsidRPr="00640559">
              <w:rPr>
                <w:rFonts w:ascii="Times New Roman" w:eastAsia="Times New Roman" w:hAnsi="Times New Roman" w:cs="Times New Roman"/>
                <w:color w:val="000000"/>
                <w:sz w:val="20"/>
                <w:szCs w:val="20"/>
                <w:vertAlign w:val="subscript"/>
                <w:lang w:val="en-DE"/>
              </w:rPr>
              <w:t>2</w:t>
            </w:r>
            <w:r w:rsidRPr="001D0F62">
              <w:rPr>
                <w:rFonts w:ascii="Times New Roman" w:eastAsia="Times New Roman" w:hAnsi="Times New Roman" w:cs="Times New Roman"/>
                <w:color w:val="000000"/>
                <w:sz w:val="20"/>
                <w:szCs w:val="20"/>
                <w:lang w:val="en-DE"/>
              </w:rPr>
              <w:t xml:space="preserve"> capture </w:t>
            </w:r>
          </w:p>
          <w:p w14:paraId="49EF0DC1" w14:textId="77777777" w:rsidR="001D0F62" w:rsidRPr="00817975" w:rsidRDefault="001D0F62" w:rsidP="001D0F62">
            <w:pPr>
              <w:spacing w:after="0" w:line="240" w:lineRule="auto"/>
              <w:rPr>
                <w:rFonts w:ascii="Times New Roman" w:eastAsia="Times New Roman" w:hAnsi="Times New Roman" w:cs="Times New Roman"/>
                <w:sz w:val="24"/>
                <w:szCs w:val="24"/>
                <w:lang w:val="en-DE"/>
              </w:rPr>
            </w:pPr>
            <w:proofErr w:type="spellStart"/>
            <w:r w:rsidRPr="001D0F62">
              <w:rPr>
                <w:rFonts w:ascii="Times New Roman" w:eastAsia="Times New Roman" w:hAnsi="Times New Roman" w:cs="Times New Roman"/>
                <w:color w:val="000000"/>
                <w:sz w:val="20"/>
                <w:szCs w:val="20"/>
                <w:lang w:val="en-DE"/>
              </w:rPr>
              <w:t>GtC</w:t>
            </w:r>
            <w:proofErr w:type="spellEnd"/>
            <w:r w:rsidRPr="001D0F62">
              <w:rPr>
                <w:rFonts w:ascii="Times New Roman" w:eastAsia="Times New Roman" w:hAnsi="Times New Roman" w:cs="Times New Roman"/>
                <w:color w:val="000000"/>
                <w:sz w:val="20"/>
                <w:szCs w:val="20"/>
                <w:lang w:val="en-DE"/>
              </w:rPr>
              <w:t>/ZJ</w:t>
            </w:r>
            <w:r w:rsidR="00817975">
              <w:rPr>
                <w:rFonts w:ascii="Times New Roman" w:eastAsia="Times New Roman" w:hAnsi="Times New Roman" w:cs="Times New Roman"/>
                <w:color w:val="000000"/>
                <w:sz w:val="20"/>
                <w:szCs w:val="20"/>
                <w:lang w:val="en-DE"/>
              </w:rPr>
              <w:t>*</w:t>
            </w:r>
          </w:p>
          <w:p w14:paraId="72EF738F"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(rate)</w:t>
            </w:r>
          </w:p>
        </w:tc>
      </w:tr>
      <w:tr w:rsidR="001D0F62" w:rsidRPr="001D0F62" w14:paraId="130A1096" w14:textId="77777777" w:rsidTr="001D0F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D67F38"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b/>
                <w:bCs/>
                <w:color w:val="000000"/>
                <w:sz w:val="20"/>
                <w:szCs w:val="20"/>
                <w:lang w:val="en-DE"/>
              </w:rPr>
              <w:t>Electricity</w:t>
            </w:r>
            <w:r w:rsidRPr="001D0F62">
              <w:rPr>
                <w:rFonts w:ascii="Times New Roman" w:eastAsia="Times New Roman" w:hAnsi="Times New Roman" w:cs="Times New Roman"/>
                <w:color w:val="000000"/>
                <w:sz w:val="20"/>
                <w:szCs w:val="20"/>
                <w:lang w:val="en-DE"/>
              </w:rPr>
              <w:t>:</w:t>
            </w:r>
            <w:r w:rsidRPr="001D0F62">
              <w:rPr>
                <w:rFonts w:ascii="Times New Roman" w:eastAsia="Times New Roman" w:hAnsi="Times New Roman" w:cs="Times New Roman"/>
                <w:color w:val="000000"/>
                <w:sz w:val="20"/>
                <w:szCs w:val="20"/>
                <w:lang w:val="en-DE"/>
              </w:rPr>
              <w:br/>
              <w:t>Biomass integrated gasification combined cycle power plant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DB7749"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3150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7C1398"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089385"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50.5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104555"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0.28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40BD00"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F6AC9"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20</w:t>
            </w:r>
          </w:p>
          <w:p w14:paraId="39D08D4B"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p>
          <w:p w14:paraId="10C93BDC"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(73%)</w:t>
            </w:r>
          </w:p>
        </w:tc>
      </w:tr>
      <w:tr w:rsidR="001D0F62" w:rsidRPr="001D0F62" w14:paraId="16D292FB" w14:textId="77777777" w:rsidTr="001D0F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2AFDAC"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b/>
                <w:bCs/>
                <w:color w:val="000000"/>
                <w:sz w:val="20"/>
                <w:szCs w:val="20"/>
                <w:lang w:val="en-DE"/>
              </w:rPr>
              <w:t>Hydrogen</w:t>
            </w:r>
            <w:r w:rsidRPr="001D0F62">
              <w:rPr>
                <w:rFonts w:ascii="Times New Roman" w:eastAsia="Times New Roman" w:hAnsi="Times New Roman" w:cs="Times New Roman"/>
                <w:color w:val="000000"/>
                <w:sz w:val="20"/>
                <w:szCs w:val="20"/>
                <w:lang w:val="en-DE"/>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526549"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2040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46507"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A4B0A2"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10.6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191F14"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A0F24"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3BFDA"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22.5</w:t>
            </w:r>
          </w:p>
          <w:p w14:paraId="76D3FDFC"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p>
          <w:p w14:paraId="3DC3AD0D"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(83%)</w:t>
            </w:r>
          </w:p>
        </w:tc>
      </w:tr>
      <w:tr w:rsidR="001D0F62" w:rsidRPr="001D0F62" w14:paraId="6FF2A960" w14:textId="77777777" w:rsidTr="001D0F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5D770F"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b/>
                <w:bCs/>
                <w:color w:val="000000"/>
                <w:sz w:val="20"/>
                <w:szCs w:val="20"/>
                <w:lang w:val="en-DE"/>
              </w:rPr>
              <w:t>Bioliquids:</w:t>
            </w:r>
            <w:r w:rsidRPr="001D0F62">
              <w:rPr>
                <w:rFonts w:ascii="Times New Roman" w:eastAsia="Times New Roman" w:hAnsi="Times New Roman" w:cs="Times New Roman"/>
                <w:color w:val="000000"/>
                <w:sz w:val="20"/>
                <w:szCs w:val="20"/>
                <w:lang w:val="en-DE"/>
              </w:rPr>
              <w:br/>
              <w:t>Biodiesel production with Fischer-</w:t>
            </w:r>
            <w:proofErr w:type="spellStart"/>
            <w:r w:rsidRPr="001D0F62">
              <w:rPr>
                <w:rFonts w:ascii="Times New Roman" w:eastAsia="Times New Roman" w:hAnsi="Times New Roman" w:cs="Times New Roman"/>
                <w:color w:val="000000"/>
                <w:sz w:val="20"/>
                <w:szCs w:val="20"/>
                <w:lang w:val="en-DE"/>
              </w:rPr>
              <w:t>Tropsch</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AD460D"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3600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54520"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19C5C1"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10.6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42A86"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A00D01"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1FAD4A"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12</w:t>
            </w:r>
          </w:p>
          <w:p w14:paraId="6947C620"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p>
          <w:p w14:paraId="01889617"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(44%)</w:t>
            </w:r>
          </w:p>
        </w:tc>
      </w:tr>
      <w:tr w:rsidR="001D0F62" w:rsidRPr="001D0F62" w14:paraId="1EDDA386" w14:textId="77777777" w:rsidTr="001D0F6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58AA7B"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b/>
                <w:bCs/>
                <w:color w:val="000000"/>
                <w:sz w:val="20"/>
                <w:szCs w:val="20"/>
                <w:lang w:val="en-DE"/>
              </w:rPr>
              <w:lastRenderedPageBreak/>
              <w:t>Biogas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911790"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1230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1B1DA"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50B70F"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12.8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8BA381"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0.55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0C324E"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F294C8"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9.5</w:t>
            </w:r>
          </w:p>
          <w:p w14:paraId="65428A35"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p>
          <w:p w14:paraId="44BCED05" w14:textId="77777777" w:rsidR="001D0F62" w:rsidRPr="001D0F62" w:rsidRDefault="001D0F62" w:rsidP="001D0F62">
            <w:pPr>
              <w:spacing w:after="0" w:line="240" w:lineRule="auto"/>
              <w:rPr>
                <w:rFonts w:ascii="Times New Roman" w:eastAsia="Times New Roman" w:hAnsi="Times New Roman" w:cs="Times New Roman"/>
                <w:sz w:val="24"/>
                <w:szCs w:val="24"/>
                <w:lang w:val="en-DE"/>
              </w:rPr>
            </w:pPr>
            <w:r w:rsidRPr="001D0F62">
              <w:rPr>
                <w:rFonts w:ascii="Times New Roman" w:eastAsia="Times New Roman" w:hAnsi="Times New Roman" w:cs="Times New Roman"/>
                <w:color w:val="000000"/>
                <w:sz w:val="20"/>
                <w:szCs w:val="20"/>
                <w:lang w:val="en-DE"/>
              </w:rPr>
              <w:t>(35%)</w:t>
            </w:r>
          </w:p>
        </w:tc>
      </w:tr>
    </w:tbl>
    <w:p w14:paraId="37D702D4" w14:textId="77777777" w:rsidR="001D0F62" w:rsidRDefault="001D0F62" w:rsidP="001D0F62">
      <w:pPr>
        <w:jc w:val="both"/>
      </w:pPr>
    </w:p>
    <w:tbl>
      <w:tblPr>
        <w:tblW w:w="0" w:type="auto"/>
        <w:tblCellMar>
          <w:top w:w="15" w:type="dxa"/>
          <w:left w:w="15" w:type="dxa"/>
          <w:bottom w:w="15" w:type="dxa"/>
          <w:right w:w="15" w:type="dxa"/>
        </w:tblCellMar>
        <w:tblLook w:val="04A0" w:firstRow="1" w:lastRow="0" w:firstColumn="1" w:lastColumn="0" w:noHBand="0" w:noVBand="1"/>
      </w:tblPr>
      <w:tblGrid>
        <w:gridCol w:w="4687"/>
        <w:gridCol w:w="2722"/>
      </w:tblGrid>
      <w:tr w:rsidR="000E7A80" w:rsidRPr="000E7A80" w14:paraId="344AD151"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944CDE"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DAC technoeconomic assumptions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55AFED"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p>
        </w:tc>
      </w:tr>
      <w:tr w:rsidR="000E7A80" w:rsidRPr="000E7A80" w14:paraId="21508CEC"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CEF70"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Investment costs [US$2015/</w:t>
            </w:r>
            <w:proofErr w:type="spellStart"/>
            <w:r w:rsidRPr="000E7A80">
              <w:rPr>
                <w:rFonts w:ascii="Times New Roman" w:eastAsia="Times New Roman" w:hAnsi="Times New Roman" w:cs="Times New Roman"/>
                <w:color w:val="000000"/>
                <w:sz w:val="20"/>
                <w:szCs w:val="20"/>
                <w:lang w:val="en-DE"/>
              </w:rPr>
              <w:t>tC</w:t>
            </w:r>
            <w:proofErr w:type="spellEnd"/>
            <w:r w:rsidRPr="000E7A80">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8A5B73"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18000</w:t>
            </w:r>
          </w:p>
          <w:p w14:paraId="4DE33AB8"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(floor cost after learning: 4800)</w:t>
            </w:r>
          </w:p>
        </w:tc>
      </w:tr>
      <w:tr w:rsidR="000E7A80" w:rsidRPr="000E7A80" w14:paraId="7098F38B"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AF8AD"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 xml:space="preserve">Fixed O&amp;M costs as a fraction of </w:t>
            </w:r>
            <w:proofErr w:type="spellStart"/>
            <w:r w:rsidRPr="000E7A80">
              <w:rPr>
                <w:rFonts w:ascii="Times New Roman" w:eastAsia="Times New Roman" w:hAnsi="Times New Roman" w:cs="Times New Roman"/>
                <w:color w:val="000000"/>
                <w:sz w:val="20"/>
                <w:szCs w:val="20"/>
                <w:lang w:val="en-DE"/>
              </w:rPr>
              <w:t>investm</w:t>
            </w:r>
            <w:proofErr w:type="spellEnd"/>
            <w:r w:rsidRPr="000E7A80">
              <w:rPr>
                <w:rFonts w:ascii="Times New Roman" w:eastAsia="Times New Roman" w:hAnsi="Times New Roman" w:cs="Times New Roman"/>
                <w:color w:val="000000"/>
                <w:sz w:val="20"/>
                <w:szCs w:val="20"/>
                <w:lang w:val="en-DE"/>
              </w:rPr>
              <w:t>. costs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62CE81"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0.025</w:t>
            </w:r>
          </w:p>
        </w:tc>
      </w:tr>
      <w:tr w:rsidR="000E7A80" w:rsidRPr="000E7A80" w14:paraId="71F2148D"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C3FCAE"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Energy demand (</w:t>
            </w:r>
            <w:proofErr w:type="spellStart"/>
            <w:r w:rsidRPr="000E7A80">
              <w:rPr>
                <w:rFonts w:ascii="Times New Roman" w:eastAsia="Times New Roman" w:hAnsi="Times New Roman" w:cs="Times New Roman"/>
                <w:color w:val="000000"/>
                <w:sz w:val="20"/>
                <w:szCs w:val="20"/>
                <w:lang w:val="en-DE"/>
              </w:rPr>
              <w:t>electr</w:t>
            </w:r>
            <w:proofErr w:type="spellEnd"/>
            <w:r w:rsidRPr="000E7A80">
              <w:rPr>
                <w:rFonts w:ascii="Times New Roman" w:eastAsia="Times New Roman" w:hAnsi="Times New Roman" w:cs="Times New Roman"/>
                <w:color w:val="000000"/>
                <w:sz w:val="20"/>
                <w:szCs w:val="20"/>
                <w:lang w:val="en-DE"/>
              </w:rPr>
              <w:t>. for ventilation) [</w:t>
            </w:r>
            <w:proofErr w:type="spellStart"/>
            <w:r w:rsidRPr="000E7A80">
              <w:rPr>
                <w:rFonts w:ascii="Times New Roman" w:eastAsia="Times New Roman" w:hAnsi="Times New Roman" w:cs="Times New Roman"/>
                <w:color w:val="000000"/>
                <w:sz w:val="20"/>
                <w:szCs w:val="20"/>
                <w:lang w:val="en-DE"/>
              </w:rPr>
              <w:t>TWa</w:t>
            </w:r>
            <w:proofErr w:type="spellEnd"/>
            <w:r w:rsidRPr="000E7A80">
              <w:rPr>
                <w:rFonts w:ascii="Times New Roman" w:eastAsia="Times New Roman" w:hAnsi="Times New Roman" w:cs="Times New Roman"/>
                <w:color w:val="000000"/>
                <w:sz w:val="20"/>
                <w:szCs w:val="20"/>
                <w:lang w:val="en-DE"/>
              </w:rPr>
              <w:t>/</w:t>
            </w:r>
            <w:proofErr w:type="spellStart"/>
            <w:r w:rsidRPr="000E7A80">
              <w:rPr>
                <w:rFonts w:ascii="Times New Roman" w:eastAsia="Times New Roman" w:hAnsi="Times New Roman" w:cs="Times New Roman"/>
                <w:color w:val="000000"/>
                <w:sz w:val="20"/>
                <w:szCs w:val="20"/>
                <w:lang w:val="en-DE"/>
              </w:rPr>
              <w:t>GtC</w:t>
            </w:r>
            <w:proofErr w:type="spellEnd"/>
            <w:r w:rsidRPr="000E7A80">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C16951"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5.28</w:t>
            </w:r>
          </w:p>
        </w:tc>
      </w:tr>
      <w:tr w:rsidR="000E7A80" w:rsidRPr="000E7A80" w14:paraId="4D2E91C4"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0B540A"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Energy demand (heat for material recovery) [</w:t>
            </w:r>
            <w:proofErr w:type="spellStart"/>
            <w:r w:rsidRPr="000E7A80">
              <w:rPr>
                <w:rFonts w:ascii="Times New Roman" w:eastAsia="Times New Roman" w:hAnsi="Times New Roman" w:cs="Times New Roman"/>
                <w:color w:val="000000"/>
                <w:sz w:val="20"/>
                <w:szCs w:val="20"/>
                <w:lang w:val="en-DE"/>
              </w:rPr>
              <w:t>TWa</w:t>
            </w:r>
            <w:proofErr w:type="spellEnd"/>
            <w:r w:rsidRPr="000E7A80">
              <w:rPr>
                <w:rFonts w:ascii="Times New Roman" w:eastAsia="Times New Roman" w:hAnsi="Times New Roman" w:cs="Times New Roman"/>
                <w:color w:val="000000"/>
                <w:sz w:val="20"/>
                <w:szCs w:val="20"/>
                <w:lang w:val="en-DE"/>
              </w:rPr>
              <w:t>/</w:t>
            </w:r>
            <w:proofErr w:type="spellStart"/>
            <w:r w:rsidRPr="000E7A80">
              <w:rPr>
                <w:rFonts w:ascii="Times New Roman" w:eastAsia="Times New Roman" w:hAnsi="Times New Roman" w:cs="Times New Roman"/>
                <w:color w:val="000000"/>
                <w:sz w:val="20"/>
                <w:szCs w:val="20"/>
                <w:lang w:val="en-DE"/>
              </w:rPr>
              <w:t>GtC</w:t>
            </w:r>
            <w:proofErr w:type="spellEnd"/>
            <w:r w:rsidRPr="000E7A80">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A3F65A"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21.12</w:t>
            </w:r>
          </w:p>
        </w:tc>
      </w:tr>
      <w:tr w:rsidR="000E7A80" w:rsidRPr="000E7A80" w14:paraId="13BB6C32" w14:textId="77777777" w:rsidTr="000E7A8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9AF974"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Lifetime [years]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0842C" w14:textId="77777777" w:rsidR="000E7A80" w:rsidRPr="000E7A80" w:rsidRDefault="000E7A80" w:rsidP="000E7A80">
            <w:pPr>
              <w:spacing w:after="0" w:line="240" w:lineRule="auto"/>
              <w:rPr>
                <w:rFonts w:ascii="Times New Roman" w:eastAsia="Times New Roman" w:hAnsi="Times New Roman" w:cs="Times New Roman"/>
                <w:sz w:val="24"/>
                <w:szCs w:val="24"/>
                <w:lang w:val="en-DE"/>
              </w:rPr>
            </w:pPr>
            <w:r w:rsidRPr="000E7A80">
              <w:rPr>
                <w:rFonts w:ascii="Times New Roman" w:eastAsia="Times New Roman" w:hAnsi="Times New Roman" w:cs="Times New Roman"/>
                <w:color w:val="000000"/>
                <w:sz w:val="20"/>
                <w:szCs w:val="20"/>
                <w:lang w:val="en-DE"/>
              </w:rPr>
              <w:t>20</w:t>
            </w:r>
          </w:p>
        </w:tc>
      </w:tr>
    </w:tbl>
    <w:p w14:paraId="18327656" w14:textId="77777777" w:rsidR="000E7A80" w:rsidRDefault="000E7A80" w:rsidP="001D0F62">
      <w:pPr>
        <w:jc w:val="both"/>
      </w:pPr>
    </w:p>
    <w:tbl>
      <w:tblPr>
        <w:tblW w:w="9026" w:type="dxa"/>
        <w:tblCellMar>
          <w:top w:w="15" w:type="dxa"/>
          <w:left w:w="15" w:type="dxa"/>
          <w:bottom w:w="15" w:type="dxa"/>
          <w:right w:w="15" w:type="dxa"/>
        </w:tblCellMar>
        <w:tblLook w:val="04A0" w:firstRow="1" w:lastRow="0" w:firstColumn="1" w:lastColumn="0" w:noHBand="0" w:noVBand="1"/>
      </w:tblPr>
      <w:tblGrid>
        <w:gridCol w:w="8165"/>
        <w:gridCol w:w="861"/>
      </w:tblGrid>
      <w:tr w:rsidR="00AD7315" w:rsidRPr="00AD7315" w14:paraId="4191D753"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26F3F"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CCS (geological storage of CO2)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A2B1F6"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p>
        </w:tc>
      </w:tr>
      <w:tr w:rsidR="00AD7315" w:rsidRPr="00AD7315" w14:paraId="6D700F2D"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FE6465"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Investment costs [US$2015/</w:t>
            </w:r>
            <w:proofErr w:type="spellStart"/>
            <w:r w:rsidRPr="00AD7315">
              <w:rPr>
                <w:rFonts w:ascii="Times New Roman" w:eastAsia="Times New Roman" w:hAnsi="Times New Roman" w:cs="Times New Roman"/>
                <w:color w:val="000000"/>
                <w:sz w:val="20"/>
                <w:szCs w:val="20"/>
                <w:lang w:val="en-DE"/>
              </w:rPr>
              <w:t>tC</w:t>
            </w:r>
            <w:proofErr w:type="spellEnd"/>
            <w:r w:rsidRPr="00AD7315">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5E36FB"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220</w:t>
            </w:r>
          </w:p>
        </w:tc>
      </w:tr>
      <w:tr w:rsidR="00AD7315" w:rsidRPr="00AD7315" w14:paraId="247BE4FA"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0322EF"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 xml:space="preserve">Fixed O&amp;M costs as a fraction of </w:t>
            </w:r>
            <w:proofErr w:type="spellStart"/>
            <w:r w:rsidRPr="00AD7315">
              <w:rPr>
                <w:rFonts w:ascii="Times New Roman" w:eastAsia="Times New Roman" w:hAnsi="Times New Roman" w:cs="Times New Roman"/>
                <w:color w:val="000000"/>
                <w:sz w:val="20"/>
                <w:szCs w:val="20"/>
                <w:lang w:val="en-DE"/>
              </w:rPr>
              <w:t>investm</w:t>
            </w:r>
            <w:proofErr w:type="spellEnd"/>
            <w:r w:rsidRPr="00AD7315">
              <w:rPr>
                <w:rFonts w:ascii="Times New Roman" w:eastAsia="Times New Roman" w:hAnsi="Times New Roman" w:cs="Times New Roman"/>
                <w:color w:val="000000"/>
                <w:sz w:val="20"/>
                <w:szCs w:val="20"/>
                <w:lang w:val="en-DE"/>
              </w:rPr>
              <w:t>. costs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60391D"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0.06</w:t>
            </w:r>
          </w:p>
        </w:tc>
      </w:tr>
      <w:tr w:rsidR="00AD7315" w:rsidRPr="00AD7315" w14:paraId="23F1B9FD"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0C23B0"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Electricity demand [</w:t>
            </w:r>
            <w:proofErr w:type="spellStart"/>
            <w:r w:rsidRPr="00AD7315">
              <w:rPr>
                <w:rFonts w:ascii="Times New Roman" w:eastAsia="Times New Roman" w:hAnsi="Times New Roman" w:cs="Times New Roman"/>
                <w:color w:val="000000"/>
                <w:sz w:val="20"/>
                <w:szCs w:val="20"/>
                <w:lang w:val="en-DE"/>
              </w:rPr>
              <w:t>TWa</w:t>
            </w:r>
            <w:proofErr w:type="spellEnd"/>
            <w:r w:rsidRPr="00AD7315">
              <w:rPr>
                <w:rFonts w:ascii="Times New Roman" w:eastAsia="Times New Roman" w:hAnsi="Times New Roman" w:cs="Times New Roman"/>
                <w:color w:val="000000"/>
                <w:sz w:val="20"/>
                <w:szCs w:val="20"/>
                <w:lang w:val="en-DE"/>
              </w:rPr>
              <w:t>/</w:t>
            </w:r>
            <w:proofErr w:type="spellStart"/>
            <w:r w:rsidRPr="00AD7315">
              <w:rPr>
                <w:rFonts w:ascii="Times New Roman" w:eastAsia="Times New Roman" w:hAnsi="Times New Roman" w:cs="Times New Roman"/>
                <w:color w:val="000000"/>
                <w:sz w:val="20"/>
                <w:szCs w:val="20"/>
                <w:lang w:val="en-DE"/>
              </w:rPr>
              <w:t>GtC</w:t>
            </w:r>
            <w:proofErr w:type="spellEnd"/>
            <w:r w:rsidRPr="00AD7315">
              <w:rPr>
                <w:rFonts w:ascii="Times New Roman" w:eastAsia="Times New Roman" w:hAnsi="Times New Roman" w:cs="Times New Roman"/>
                <w:color w:val="000000"/>
                <w:sz w:val="20"/>
                <w:szCs w:val="20"/>
                <w:lang w:val="en-DE"/>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C1DAC0"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0.005</w:t>
            </w:r>
          </w:p>
        </w:tc>
      </w:tr>
      <w:tr w:rsidR="00AD7315" w:rsidRPr="00AD7315" w14:paraId="3A329BAE"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78E845"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Lifetime [years]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34BE0"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40</w:t>
            </w:r>
          </w:p>
        </w:tc>
      </w:tr>
      <w:tr w:rsidR="00AD7315" w:rsidRPr="00AD7315" w14:paraId="6DA5BF56"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8B2ABE"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Total global storage potential GtCO2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F38E44"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3959</w:t>
            </w:r>
          </w:p>
        </w:tc>
      </w:tr>
      <w:tr w:rsidR="00AD7315" w:rsidRPr="00AD7315" w14:paraId="5E7B6D4D" w14:textId="77777777" w:rsidTr="00AD7315">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AA312B"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Maximum annual injection rate GtCO2/</w:t>
            </w:r>
            <w:proofErr w:type="spellStart"/>
            <w:r w:rsidRPr="00AD7315">
              <w:rPr>
                <w:rFonts w:ascii="Times New Roman" w:eastAsia="Times New Roman" w:hAnsi="Times New Roman" w:cs="Times New Roman"/>
                <w:color w:val="000000"/>
                <w:sz w:val="20"/>
                <w:szCs w:val="20"/>
                <w:lang w:val="en-DE"/>
              </w:rPr>
              <w:t>yr</w:t>
            </w:r>
            <w:proofErr w:type="spellEnd"/>
            <w:r w:rsidRPr="00AD7315">
              <w:rPr>
                <w:rFonts w:ascii="Times New Roman" w:eastAsia="Times New Roman" w:hAnsi="Times New Roman" w:cs="Times New Roman"/>
                <w:color w:val="000000"/>
                <w:sz w:val="20"/>
                <w:szCs w:val="20"/>
                <w:lang w:val="en-DE"/>
              </w:rPr>
              <w:t> (0.5% of total storage potential)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CF9E4"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r w:rsidRPr="00AD7315">
              <w:rPr>
                <w:rFonts w:ascii="Times New Roman" w:eastAsia="Times New Roman" w:hAnsi="Times New Roman" w:cs="Times New Roman"/>
                <w:color w:val="000000"/>
                <w:sz w:val="20"/>
                <w:szCs w:val="20"/>
                <w:lang w:val="en-DE"/>
              </w:rPr>
              <w:t>19.9</w:t>
            </w:r>
          </w:p>
        </w:tc>
      </w:tr>
    </w:tbl>
    <w:p w14:paraId="401D1C22" w14:textId="77777777" w:rsidR="00AD7315" w:rsidRPr="00AD7315" w:rsidRDefault="00AD7315" w:rsidP="00AD7315">
      <w:pPr>
        <w:spacing w:after="0" w:line="240" w:lineRule="auto"/>
        <w:rPr>
          <w:rFonts w:ascii="Times New Roman" w:eastAsia="Times New Roman" w:hAnsi="Times New Roman" w:cs="Times New Roman"/>
          <w:sz w:val="24"/>
          <w:szCs w:val="24"/>
          <w:lang w:val="en-DE"/>
        </w:rPr>
      </w:pPr>
    </w:p>
    <w:p w14:paraId="04FF750B" w14:textId="5190930C" w:rsidR="00294220" w:rsidRPr="00294220" w:rsidRDefault="00294220" w:rsidP="00657664">
      <w:pPr>
        <w:spacing w:after="0" w:line="240" w:lineRule="auto"/>
        <w:jc w:val="both"/>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The description of the additional tax on CCS is taken from Strefler et al. 2021</w:t>
      </w:r>
      <w:r>
        <w:rPr>
          <w:rFonts w:ascii="Times New Roman" w:eastAsia="Times New Roman" w:hAnsi="Times New Roman" w:cs="Times New Roman"/>
          <w:color w:val="000000"/>
          <w:sz w:val="20"/>
          <w:szCs w:val="20"/>
          <w:lang w:val="en-DE"/>
        </w:rPr>
        <w:fldChar w:fldCharType="begin"/>
      </w:r>
      <w:r>
        <w:rPr>
          <w:rFonts w:ascii="Times New Roman" w:eastAsia="Times New Roman" w:hAnsi="Times New Roman" w:cs="Times New Roman"/>
          <w:color w:val="000000"/>
          <w:sz w:val="20"/>
          <w:szCs w:val="20"/>
          <w:lang w:val="en-DE"/>
        </w:rPr>
        <w:instrText xml:space="preserve"> ADDIN ZOTERO_ITEM CSL_CITATION {"citationID":"FkbCGPIX","properties":{"formattedCitation":"\\super 3\\nosupersub{}","plainCitation":"3","noteIndex":0},"citationItems":[{"id":29366,"uris":["http://zotero.org/groups/52011/items/DU37NNMT"],"itemData":{"id":29366,"type":"article-journal","abstract":"Technologies for carbon dioxide removal (CDR) from the atmosphere have been recognized as an important part of limiting warming to well below 2 °C called for in the Paris Agreement. However, many scenarios so far rely on bioenergy in combination with carbon capture and storage as the only CDR technology. Various other options have been proposed, but have scarcely been taken up in an integrated assessment of mitigation pathways. In this study we analyze a comprehensive portfolio of CDR options in terms of their regional and temporal deployment patterns in climate change mitigation pathways and the resulting challenges. We show that any CDR option with sufficient potential can reduce the economic costs of achieving the 1.5 °C target substantially without increasing the temperature overshoot. CDR helps to reduce net CO2 emissions faster and achieve carbon neutrality earlier. The regional distribution of CDR deployment in cost-effective mitigation pathways depends on which options are available. If only enhanced weathering of rocks on croplands or re- and afforestation are available, Latin America and Asia cover nearly all of global CDR deployment. Besides fairness and sustainability concerns, such a regional concentration would require large international transfers and thus strong international institutions. In our study, the full portfolio scenario is the most balanced from a regional perspective. This indicates that different CDR options should be developed such that all regions can contribute according to their regional potentials.","container-title":"Environmental Research Letters","DOI":"10.1088/1748-9326/ac0a11","ISSN":"1748-9326","issue":"7","journalAbbreviation":"Environ. Res. Lett.","language":"en","note":"publisher: IOP Publishing","page":"074021","source":"Institute of Physics","title":"Carbon dioxide removal technologies are not born equal","volume":"16","author":[{"family":"Strefler","given":"Jessica"},{"family":"Bauer","given":"Nico"},{"family":"Humpenöder","given":"Florian"},{"family":"Klein","given":"David"},{"family":"Popp","given":"Alexander"},{"family":"Kriegler","given":"Elmar"}],"issued":{"date-parts":[["2021",7]]}}}],"schema":"https://github.com/citation-style-language/schema/raw/master/csl-citation.json"} </w:instrText>
      </w:r>
      <w:r>
        <w:rPr>
          <w:rFonts w:ascii="Times New Roman" w:eastAsia="Times New Roman" w:hAnsi="Times New Roman" w:cs="Times New Roman"/>
          <w:color w:val="000000"/>
          <w:sz w:val="20"/>
          <w:szCs w:val="20"/>
          <w:lang w:val="en-DE"/>
        </w:rPr>
        <w:fldChar w:fldCharType="separate"/>
      </w:r>
      <w:r w:rsidRPr="00294220">
        <w:rPr>
          <w:rFonts w:ascii="Times New Roman" w:hAnsi="Times New Roman" w:cs="Times New Roman"/>
          <w:sz w:val="20"/>
          <w:szCs w:val="24"/>
          <w:vertAlign w:val="superscript"/>
        </w:rPr>
        <w:t>3</w:t>
      </w:r>
      <w:r>
        <w:rPr>
          <w:rFonts w:ascii="Times New Roman" w:eastAsia="Times New Roman" w:hAnsi="Times New Roman" w:cs="Times New Roman"/>
          <w:color w:val="000000"/>
          <w:sz w:val="20"/>
          <w:szCs w:val="20"/>
          <w:lang w:val="en-DE"/>
        </w:rPr>
        <w:fldChar w:fldCharType="end"/>
      </w:r>
      <w:r>
        <w:rPr>
          <w:rFonts w:ascii="Times New Roman" w:eastAsia="Times New Roman" w:hAnsi="Times New Roman" w:cs="Times New Roman"/>
          <w:color w:val="000000"/>
          <w:sz w:val="20"/>
          <w:szCs w:val="20"/>
          <w:lang w:val="en-DE"/>
        </w:rPr>
        <w:t>: “</w:t>
      </w:r>
      <w:r w:rsidRPr="00294220">
        <w:rPr>
          <w:rFonts w:ascii="Times New Roman" w:eastAsia="Times New Roman" w:hAnsi="Times New Roman" w:cs="Times New Roman"/>
          <w:color w:val="000000"/>
          <w:sz w:val="20"/>
          <w:szCs w:val="20"/>
          <w:lang w:val="en-DE"/>
        </w:rPr>
        <w:t>To reflect the risk of leakage</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and the associated possible costs, costs of improved</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safety criteria related to monitoring, reporting, and</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verification, and difficulties due to public acce</w:t>
      </w:r>
      <w:r>
        <w:rPr>
          <w:rFonts w:ascii="Times New Roman" w:eastAsia="Times New Roman" w:hAnsi="Times New Roman" w:cs="Times New Roman"/>
          <w:color w:val="000000"/>
          <w:sz w:val="20"/>
          <w:szCs w:val="20"/>
          <w:lang w:val="en-DE"/>
        </w:rPr>
        <w:t>p</w:t>
      </w:r>
      <w:r w:rsidRPr="00294220">
        <w:rPr>
          <w:rFonts w:ascii="Times New Roman" w:eastAsia="Times New Roman" w:hAnsi="Times New Roman" w:cs="Times New Roman"/>
          <w:color w:val="000000"/>
          <w:sz w:val="20"/>
          <w:szCs w:val="20"/>
          <w:lang w:val="en-DE"/>
        </w:rPr>
        <w:t>tance,</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which are all likely to increase with deployment, the</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best estimate of costs for geological carbon storage is</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increased linearly such that costs are about 100% or</w:t>
      </w:r>
      <w:r>
        <w:rPr>
          <w:rFonts w:ascii="Times New Roman" w:eastAsia="Times New Roman" w:hAnsi="Times New Roman" w:cs="Times New Roman"/>
          <w:color w:val="000000"/>
          <w:sz w:val="20"/>
          <w:szCs w:val="20"/>
          <w:lang w:val="en-DE"/>
        </w:rPr>
        <w:t xml:space="preserve"> </w:t>
      </w:r>
      <w:r w:rsidRPr="00294220">
        <w:rPr>
          <w:rFonts w:ascii="Times New Roman" w:eastAsia="Times New Roman" w:hAnsi="Times New Roman" w:cs="Times New Roman"/>
          <w:color w:val="000000"/>
          <w:sz w:val="20"/>
          <w:szCs w:val="20"/>
          <w:lang w:val="en-DE"/>
        </w:rPr>
        <w:t>30 $ tCO</w:t>
      </w:r>
      <w:r w:rsidRPr="00294220">
        <w:rPr>
          <w:rFonts w:ascii="Times New Roman" w:eastAsia="Times New Roman" w:hAnsi="Times New Roman" w:cs="Times New Roman"/>
          <w:color w:val="000000"/>
          <w:sz w:val="20"/>
          <w:szCs w:val="20"/>
          <w:vertAlign w:val="subscript"/>
          <w:lang w:val="en-DE"/>
        </w:rPr>
        <w:t>2</w:t>
      </w:r>
      <w:r w:rsidRPr="00294220">
        <w:rPr>
          <w:rFonts w:ascii="Times New Roman" w:eastAsia="Times New Roman" w:hAnsi="Times New Roman" w:cs="Times New Roman"/>
          <w:color w:val="000000"/>
          <w:sz w:val="20"/>
          <w:szCs w:val="20"/>
          <w:lang w:val="en-DE"/>
        </w:rPr>
        <w:t>−1 higher at maximum deployment.</w:t>
      </w:r>
      <w:r>
        <w:rPr>
          <w:rFonts w:ascii="Times New Roman" w:eastAsia="Times New Roman" w:hAnsi="Times New Roman" w:cs="Times New Roman"/>
          <w:color w:val="000000"/>
          <w:sz w:val="20"/>
          <w:szCs w:val="20"/>
          <w:lang w:val="en-DE"/>
        </w:rPr>
        <w:t>”</w:t>
      </w:r>
    </w:p>
    <w:p w14:paraId="3329ECD5" w14:textId="2B0BF695" w:rsidR="00657664" w:rsidRDefault="00657664" w:rsidP="00657664">
      <w:pPr>
        <w:spacing w:after="0" w:line="240" w:lineRule="auto"/>
        <w:jc w:val="both"/>
        <w:rPr>
          <w:rFonts w:ascii="Times New Roman" w:eastAsia="Times New Roman" w:hAnsi="Times New Roman" w:cs="Times New Roman"/>
          <w:color w:val="000000"/>
          <w:sz w:val="20"/>
          <w:szCs w:val="20"/>
          <w:lang w:val="en-DE"/>
        </w:rPr>
      </w:pPr>
      <w:r>
        <w:rPr>
          <w:rFonts w:ascii="Times New Roman" w:eastAsia="Times New Roman" w:hAnsi="Times New Roman" w:cs="Times New Roman"/>
          <w:color w:val="000000"/>
          <w:sz w:val="20"/>
          <w:szCs w:val="20"/>
          <w:lang w:val="en-DE"/>
        </w:rPr>
        <w:t xml:space="preserve">For still immature technologies, among others are </w:t>
      </w:r>
      <w:r w:rsidRPr="00E1080E">
        <w:rPr>
          <w:rFonts w:ascii="Times New Roman" w:eastAsia="Times New Roman" w:hAnsi="Times New Roman" w:cs="Times New Roman"/>
          <w:color w:val="000000"/>
          <w:sz w:val="20"/>
          <w:szCs w:val="20"/>
          <w:lang w:val="en-DE"/>
        </w:rPr>
        <w:t>all BECCS technologies, DAC, and CCS</w:t>
      </w:r>
      <w:r>
        <w:rPr>
          <w:rFonts w:ascii="Times New Roman" w:eastAsia="Times New Roman" w:hAnsi="Times New Roman" w:cs="Times New Roman"/>
          <w:color w:val="000000"/>
          <w:sz w:val="20"/>
          <w:szCs w:val="20"/>
          <w:lang w:val="en-DE"/>
        </w:rPr>
        <w:t>, there are m</w:t>
      </w:r>
      <w:r w:rsidRPr="00E1080E">
        <w:rPr>
          <w:rFonts w:ascii="Times New Roman" w:eastAsia="Times New Roman" w:hAnsi="Times New Roman" w:cs="Times New Roman"/>
          <w:color w:val="000000"/>
          <w:sz w:val="20"/>
          <w:szCs w:val="20"/>
          <w:lang w:val="en-DE"/>
        </w:rPr>
        <w:t>ark</w:t>
      </w:r>
      <w:r>
        <w:rPr>
          <w:rFonts w:ascii="Times New Roman" w:eastAsia="Times New Roman" w:hAnsi="Times New Roman" w:cs="Times New Roman"/>
          <w:color w:val="000000"/>
          <w:sz w:val="20"/>
          <w:szCs w:val="20"/>
          <w:lang w:val="en-DE"/>
        </w:rPr>
        <w:t>-</w:t>
      </w:r>
      <w:r w:rsidRPr="00E1080E">
        <w:rPr>
          <w:rFonts w:ascii="Times New Roman" w:eastAsia="Times New Roman" w:hAnsi="Times New Roman" w:cs="Times New Roman"/>
          <w:color w:val="000000"/>
          <w:sz w:val="20"/>
          <w:szCs w:val="20"/>
          <w:lang w:val="en-DE"/>
        </w:rPr>
        <w:t>up</w:t>
      </w:r>
      <w:r>
        <w:rPr>
          <w:rFonts w:ascii="Times New Roman" w:eastAsia="Times New Roman" w:hAnsi="Times New Roman" w:cs="Times New Roman"/>
          <w:color w:val="000000"/>
          <w:sz w:val="20"/>
          <w:szCs w:val="20"/>
          <w:lang w:val="en-DE"/>
        </w:rPr>
        <w:t xml:space="preserve"> costs for the near-term periods:</w:t>
      </w:r>
      <w:r w:rsidRPr="00E1080E">
        <w:rPr>
          <w:rFonts w:ascii="Times New Roman" w:eastAsia="Times New Roman" w:hAnsi="Times New Roman" w:cs="Times New Roman"/>
          <w:color w:val="000000"/>
          <w:sz w:val="20"/>
          <w:szCs w:val="20"/>
          <w:lang w:val="en-DE"/>
        </w:rPr>
        <w:t xml:space="preserve"> investment costs</w:t>
      </w:r>
      <w:r>
        <w:rPr>
          <w:rFonts w:ascii="Times New Roman" w:eastAsia="Times New Roman" w:hAnsi="Times New Roman" w:cs="Times New Roman"/>
          <w:color w:val="000000"/>
          <w:sz w:val="20"/>
          <w:szCs w:val="20"/>
          <w:lang w:val="en-DE"/>
        </w:rPr>
        <w:t xml:space="preserve"> are multiplied with </w:t>
      </w:r>
      <w:r w:rsidRPr="00E1080E">
        <w:rPr>
          <w:rFonts w:ascii="Times New Roman" w:eastAsia="Times New Roman" w:hAnsi="Times New Roman" w:cs="Times New Roman"/>
          <w:color w:val="000000"/>
          <w:sz w:val="20"/>
          <w:szCs w:val="20"/>
          <w:lang w:val="en-DE"/>
        </w:rPr>
        <w:t>1.5 in 2025 and</w:t>
      </w:r>
      <w:r>
        <w:rPr>
          <w:rFonts w:ascii="Times New Roman" w:eastAsia="Times New Roman" w:hAnsi="Times New Roman" w:cs="Times New Roman"/>
          <w:color w:val="000000"/>
          <w:sz w:val="20"/>
          <w:szCs w:val="20"/>
          <w:lang w:val="en-DE"/>
        </w:rPr>
        <w:t xml:space="preserve"> </w:t>
      </w:r>
      <w:r w:rsidRPr="00E1080E">
        <w:rPr>
          <w:rFonts w:ascii="Times New Roman" w:eastAsia="Times New Roman" w:hAnsi="Times New Roman" w:cs="Times New Roman"/>
          <w:color w:val="000000"/>
          <w:sz w:val="20"/>
          <w:szCs w:val="20"/>
          <w:lang w:val="en-DE"/>
        </w:rPr>
        <w:t>1.2 in 2030</w:t>
      </w:r>
      <w:r>
        <w:rPr>
          <w:rFonts w:ascii="Times New Roman" w:eastAsia="Times New Roman" w:hAnsi="Times New Roman" w:cs="Times New Roman"/>
          <w:color w:val="000000"/>
          <w:sz w:val="20"/>
          <w:szCs w:val="20"/>
          <w:lang w:val="en-DE"/>
        </w:rPr>
        <w:t xml:space="preserve">. </w:t>
      </w:r>
    </w:p>
    <w:p w14:paraId="5165827C" w14:textId="09113908" w:rsidR="00AD7315" w:rsidRDefault="00AD7315" w:rsidP="00AD7315">
      <w:pPr>
        <w:spacing w:after="0" w:line="240" w:lineRule="auto"/>
        <w:ind w:right="2552"/>
        <w:rPr>
          <w:rFonts w:ascii="Times New Roman" w:eastAsia="Times New Roman" w:hAnsi="Times New Roman" w:cs="Times New Roman"/>
          <w:color w:val="000000"/>
          <w:sz w:val="20"/>
          <w:szCs w:val="20"/>
          <w:lang w:val="en-DE"/>
        </w:rPr>
      </w:pPr>
    </w:p>
    <w:p w14:paraId="3E4BA06B" w14:textId="77777777" w:rsidR="006F4AA8" w:rsidRDefault="00B03FD1" w:rsidP="006F4AA8">
      <w:pPr>
        <w:pStyle w:val="NormalWeb"/>
        <w:spacing w:before="0" w:beforeAutospacing="0" w:after="0" w:afterAutospacing="0"/>
        <w:jc w:val="both"/>
        <w:rPr>
          <w:color w:val="000000"/>
          <w:sz w:val="20"/>
          <w:szCs w:val="20"/>
        </w:rPr>
      </w:pPr>
      <w:r>
        <w:rPr>
          <w:color w:val="000000"/>
          <w:sz w:val="20"/>
          <w:szCs w:val="20"/>
        </w:rPr>
        <w:t>Technoeconomic data on EW</w:t>
      </w:r>
    </w:p>
    <w:p w14:paraId="76560CBF" w14:textId="1BC3A601" w:rsidR="00B03FD1" w:rsidRDefault="00B03FD1" w:rsidP="006F4AA8">
      <w:pPr>
        <w:pStyle w:val="NormalWeb"/>
        <w:spacing w:before="0" w:beforeAutospacing="0" w:after="0" w:afterAutospacing="0"/>
        <w:jc w:val="both"/>
      </w:pPr>
      <w:r>
        <w:rPr>
          <w:color w:val="000000"/>
          <w:sz w:val="20"/>
          <w:szCs w:val="20"/>
        </w:rPr>
        <w:br/>
      </w:r>
      <w:r w:rsidR="00467ED4">
        <w:rPr>
          <w:color w:val="000000"/>
          <w:sz w:val="20"/>
          <w:szCs w:val="20"/>
        </w:rPr>
        <w:t>The following description is taken from Strefler et al 2018</w:t>
      </w:r>
      <w:r w:rsidR="00467ED4">
        <w:rPr>
          <w:color w:val="000000"/>
          <w:sz w:val="20"/>
          <w:szCs w:val="20"/>
        </w:rPr>
        <w:fldChar w:fldCharType="begin"/>
      </w:r>
      <w:r w:rsidR="00294220">
        <w:rPr>
          <w:color w:val="000000"/>
          <w:sz w:val="20"/>
          <w:szCs w:val="20"/>
        </w:rPr>
        <w:instrText xml:space="preserve"> ADDIN ZOTERO_ITEM CSL_CITATION {"citationID":"bb712Jv6","properties":{"formattedCitation":"\\super 4\\nosupersub{}","plainCitation":"4","noteIndex":0},"citationItems":[{"id":167,"uris":["http://zotero.org/groups/52011/items/WSLU473Z"],"itemData":{"id":167,"type":"article-journal","abstract":"There are major concerns about the sustainability of large-scale deployment of carbon dioxide removal (CDR) technologies. It is therefore an urgent question to what extent CDR will be needed to implement the long term ambition of the Paris Agreement. Here we show that ambitious near term mitigation significantly decreases CDR requirements to keep the Paris climate targets within reach. Following the nationally determined contributions (NDCs) until 2030 makes 2 °C unachievable without CDR. Reducing 2030 emissions by 20% below NDC levels alleviates the trade-off between high transitional challenges and high CDR deployment. Nevertheless, transitional challenges increase significantly if CDR is constrained to less than 5 Gt CO2 a−1 in any year. At least 8 Gt CO2 a−1 CDR are necessary in the long term to achieve 1.5 °C and more than 15 Gt CO2 a−1 to keep transitional challenges in bounds.","container-title":"Environmental Research Letters","DOI":"10.1088/1748-9326/aab2ba","ISSN":"1748-9326","issue":"4","journalAbbreviation":"Environ. Res. Lett.","language":"en","note":"publisher: IOP Publishing","page":"044015","source":"Institute of Physics","title":"Between Scylla and Charybdis: Delayed mitigation narrows the passage between large-scale CDR and high costs","title-short":"Between Scylla and Charybdis","volume":"13","author":[{"family":"Strefler","given":"Jessica"},{"family":"Bauer","given":"Nico"},{"family":"Kriegler","given":"Elmar"},{"family":"Popp","given":"Alexander"},{"family":"Giannousakis","given":"Anastasis"},{"family":"Edenhofer","given":"Ottmar"}],"issued":{"date-parts":[["2018",3]]}}}],"schema":"https://github.com/citation-style-language/schema/raw/master/csl-citation.json"} </w:instrText>
      </w:r>
      <w:r w:rsidR="00467ED4">
        <w:rPr>
          <w:color w:val="000000"/>
          <w:sz w:val="20"/>
          <w:szCs w:val="20"/>
        </w:rPr>
        <w:fldChar w:fldCharType="separate"/>
      </w:r>
      <w:r w:rsidR="00294220" w:rsidRPr="00294220">
        <w:rPr>
          <w:sz w:val="20"/>
          <w:vertAlign w:val="superscript"/>
        </w:rPr>
        <w:t>4</w:t>
      </w:r>
      <w:r w:rsidR="00467ED4">
        <w:rPr>
          <w:color w:val="000000"/>
          <w:sz w:val="20"/>
          <w:szCs w:val="20"/>
        </w:rPr>
        <w:fldChar w:fldCharType="end"/>
      </w:r>
      <w:r w:rsidR="00467ED4">
        <w:rPr>
          <w:color w:val="000000"/>
          <w:sz w:val="20"/>
          <w:szCs w:val="20"/>
        </w:rPr>
        <w:t xml:space="preserve"> </w:t>
      </w:r>
      <w:r>
        <w:rPr>
          <w:color w:val="000000"/>
          <w:sz w:val="20"/>
          <w:szCs w:val="20"/>
        </w:rPr>
        <w:t>“EW is based on the acceleration of the natural weathering of silicate rocks, which is an integral part of the carbon cycle. In REMIND, we assume those rocks to be basalt, which is rich in phosphorus and potassium and contains very low concentrations of trace elements. 1 t of basalt binds 0.3 tCO2 in the weathering process. The basalt has to be mined, ground to small grain sizes, and spread on agricultural fields. We assume a maximum of 15 kg ground stone per square meter at any given point in time. Only the amount of basalt that weathers in a given year can then be replenished. The regional potential for carbon removal depends on the agricultural land and the climate zone as this process is faster in warm and humid regions and amounts to a maximum of 4.9 Gt CO2/</w:t>
      </w:r>
      <w:proofErr w:type="spellStart"/>
      <w:r>
        <w:rPr>
          <w:color w:val="000000"/>
          <w:sz w:val="20"/>
          <w:szCs w:val="20"/>
        </w:rPr>
        <w:t>yr</w:t>
      </w:r>
      <w:proofErr w:type="spellEnd"/>
      <w:r>
        <w:rPr>
          <w:color w:val="000000"/>
          <w:sz w:val="20"/>
          <w:szCs w:val="20"/>
        </w:rPr>
        <w:t xml:space="preserve"> removed</w:t>
      </w:r>
      <w:r w:rsidR="00F73CDA">
        <w:rPr>
          <w:color w:val="000000"/>
          <w:sz w:val="20"/>
          <w:szCs w:val="20"/>
        </w:rPr>
        <w:fldChar w:fldCharType="begin"/>
      </w:r>
      <w:r w:rsidR="00294220">
        <w:rPr>
          <w:color w:val="000000"/>
          <w:sz w:val="20"/>
          <w:szCs w:val="20"/>
        </w:rPr>
        <w:instrText xml:space="preserve"> ADDIN ZOTERO_ITEM CSL_CITATION {"citationID":"a9Vwe3P9","properties":{"formattedCitation":"\\super 5\\nosupersub{}","plainCitation":"5","noteIndex":0},"citationItems":[{"id":7793,"uris":["http://zotero.org/groups/52011/items/62LGVSWF"],"itemData":{"id":7793,"type":"article-journal","container-title":"Environmental Research Letters","DOI":"10.1088/1748-9326/aaa9c4","ISSN":"1748-9326","issue":"3","page":"034010","source":"CrossRef","title":"Potential and costs of carbon dioxide removal by enhanced weathering of rocks","volume":"13","author":[{"family":"Strefler","given":"Jessica"},{"family":"Amann","given":"Thorben"},{"family":"Bauer","given":"Nico"},{"family":"Kriegler","given":"Elmar"},{"family":"Hartmann","given":"Jens"}],"issued":{"date-parts":[["2018",3,1]]}}}],"schema":"https://github.com/citation-style-language/schema/raw/master/csl-citation.json"} </w:instrText>
      </w:r>
      <w:r w:rsidR="00F73CDA">
        <w:rPr>
          <w:color w:val="000000"/>
          <w:sz w:val="20"/>
          <w:szCs w:val="20"/>
        </w:rPr>
        <w:fldChar w:fldCharType="separate"/>
      </w:r>
      <w:r w:rsidR="00294220" w:rsidRPr="00294220">
        <w:rPr>
          <w:sz w:val="20"/>
          <w:vertAlign w:val="superscript"/>
        </w:rPr>
        <w:t>5</w:t>
      </w:r>
      <w:r w:rsidR="00F73CDA">
        <w:rPr>
          <w:color w:val="000000"/>
          <w:sz w:val="20"/>
          <w:szCs w:val="20"/>
        </w:rPr>
        <w:fldChar w:fldCharType="end"/>
      </w:r>
      <w:r w:rsidR="00F73CDA">
        <w:rPr>
          <w:color w:val="000000"/>
          <w:sz w:val="20"/>
          <w:szCs w:val="20"/>
        </w:rPr>
        <w:t xml:space="preserve"> </w:t>
      </w:r>
      <w:r>
        <w:rPr>
          <w:color w:val="000000"/>
          <w:sz w:val="20"/>
          <w:szCs w:val="20"/>
        </w:rPr>
        <w:t xml:space="preserve">(see Table S4). However, the potential of EW is still highly uncertain. Weathering rates are so far only calculated and would have to be measured in field experiments. </w:t>
      </w:r>
      <w:r w:rsidR="002913B3">
        <w:rPr>
          <w:color w:val="000000"/>
          <w:sz w:val="20"/>
          <w:szCs w:val="20"/>
        </w:rPr>
        <w:t>Also,</w:t>
      </w:r>
      <w:r>
        <w:rPr>
          <w:color w:val="000000"/>
          <w:sz w:val="20"/>
          <w:szCs w:val="20"/>
        </w:rPr>
        <w:t xml:space="preserve"> the amount of stone that can be spread on fields is a rather conservative assumption and could be higher initially. In the long run, i.e. if applied over decades, it is unclear to what extent EW could be sustained without significantly changing the soil structure. Applying EW not only on croplands as assumed here but also on woods would increase the potential, but also the costs as spreading would become more difficult. Both uncertainties could change the total amount of EW, but would not have much impact on regional distributions as </w:t>
      </w:r>
      <w:r>
        <w:rPr>
          <w:color w:val="000000"/>
          <w:sz w:val="20"/>
          <w:szCs w:val="20"/>
        </w:rPr>
        <w:lastRenderedPageBreak/>
        <w:t xml:space="preserve">warm and humid regions would remain favourable. Economic costs are at about 200$/tCO2 removed, including investment costs (&lt;10%), O&amp;M costs (40%), electricity costs (&lt;10%) for grinding and transport and distribution costs (~40% depending on distance).” </w:t>
      </w:r>
    </w:p>
    <w:p w14:paraId="5E340075" w14:textId="77777777" w:rsidR="00AD7315" w:rsidRDefault="00AD7315" w:rsidP="001D0F62">
      <w:pPr>
        <w:jc w:val="both"/>
      </w:pPr>
    </w:p>
    <w:p w14:paraId="083524F7" w14:textId="11CB287E" w:rsidR="00FF5AD7" w:rsidRPr="00657664" w:rsidRDefault="00D454F4" w:rsidP="00657664">
      <w:pPr>
        <w:jc w:val="both"/>
        <w:rPr>
          <w:lang w:val="en-DE"/>
        </w:rPr>
      </w:pPr>
      <w:r>
        <w:rPr>
          <w:noProof/>
          <w:color w:val="000000"/>
          <w:sz w:val="20"/>
          <w:szCs w:val="20"/>
          <w:bdr w:val="none" w:sz="0" w:space="0" w:color="auto" w:frame="1"/>
        </w:rPr>
        <w:drawing>
          <wp:inline distT="0" distB="0" distL="0" distR="0" wp14:anchorId="4BA61AC5" wp14:editId="3E5DD11B">
            <wp:extent cx="4808220" cy="2616835"/>
            <wp:effectExtent l="0" t="0" r="0" b="0"/>
            <wp:docPr id="1" name="Picture 1" descr="https://lh7-us.googleusercontent.com/kzzmVy1UFgTZCPb4rlDeueE7mgW_sOVVDBrPx1ues5RzvBlHFxMqT13nwpVH22tF8qS1XuPxlOjgt26yYMzTFxKxLt7gA0Lia-TvkezheNFOqYlRUPqWBDqt8fDTP24688Vr_zWICLV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us.googleusercontent.com/kzzmVy1UFgTZCPb4rlDeueE7mgW_sOVVDBrPx1ues5RzvBlHFxMqT13nwpVH22tF8qS1XuPxlOjgt26yYMzTFxKxLt7gA0Lia-TvkezheNFOqYlRUPqWBDqt8fDTP24688Vr_zWICLV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08220" cy="2616835"/>
                    </a:xfrm>
                    <a:prstGeom prst="rect">
                      <a:avLst/>
                    </a:prstGeom>
                    <a:noFill/>
                    <a:ln>
                      <a:noFill/>
                    </a:ln>
                  </pic:spPr>
                </pic:pic>
              </a:graphicData>
            </a:graphic>
          </wp:inline>
        </w:drawing>
      </w:r>
    </w:p>
    <w:p w14:paraId="65091408" w14:textId="77777777" w:rsidR="00FF5AD7" w:rsidRPr="00154867" w:rsidRDefault="00FF5AD7" w:rsidP="00154867">
      <w:pPr>
        <w:spacing w:after="0" w:line="240" w:lineRule="auto"/>
        <w:ind w:right="2552"/>
        <w:rPr>
          <w:rFonts w:ascii="Times New Roman" w:eastAsia="Times New Roman" w:hAnsi="Times New Roman" w:cs="Times New Roman"/>
          <w:color w:val="000000"/>
          <w:sz w:val="20"/>
          <w:szCs w:val="20"/>
          <w:lang w:val="en-DE"/>
        </w:rPr>
      </w:pPr>
    </w:p>
    <w:p w14:paraId="285251F2" w14:textId="77777777" w:rsidR="002431A4" w:rsidRPr="00154867" w:rsidRDefault="002431A4" w:rsidP="00154867">
      <w:pPr>
        <w:spacing w:after="0" w:line="240" w:lineRule="auto"/>
        <w:ind w:right="2552"/>
        <w:rPr>
          <w:rFonts w:ascii="Times New Roman" w:eastAsia="Times New Roman" w:hAnsi="Times New Roman" w:cs="Times New Roman"/>
          <w:color w:val="000000"/>
          <w:sz w:val="20"/>
          <w:szCs w:val="20"/>
          <w:lang w:val="en-DE"/>
        </w:rPr>
      </w:pPr>
    </w:p>
    <w:p w14:paraId="791E7EFC" w14:textId="77777777" w:rsidR="002431A4" w:rsidRDefault="002431A4" w:rsidP="002431A4">
      <w:pPr>
        <w:spacing w:after="0" w:line="240" w:lineRule="auto"/>
        <w:ind w:right="2552"/>
        <w:rPr>
          <w:rFonts w:ascii="Times New Roman" w:eastAsia="Times New Roman" w:hAnsi="Times New Roman" w:cs="Times New Roman"/>
          <w:color w:val="000000"/>
          <w:sz w:val="20"/>
          <w:szCs w:val="20"/>
          <w:lang w:val="en-DE"/>
        </w:rPr>
      </w:pPr>
      <w:r w:rsidRPr="002431A4">
        <w:rPr>
          <w:rFonts w:ascii="Times New Roman" w:eastAsia="Times New Roman" w:hAnsi="Times New Roman" w:cs="Times New Roman"/>
          <w:color w:val="000000"/>
          <w:sz w:val="20"/>
          <w:szCs w:val="20"/>
          <w:lang w:val="en-DE"/>
        </w:rPr>
        <w:t>Sensitivity scenarios with unconstrained biomass availability</w:t>
      </w:r>
    </w:p>
    <w:p w14:paraId="21FA9417" w14:textId="77777777" w:rsidR="00692529" w:rsidRPr="00692529" w:rsidRDefault="00692529" w:rsidP="002431A4">
      <w:pPr>
        <w:spacing w:after="0" w:line="240" w:lineRule="auto"/>
        <w:ind w:right="2552"/>
        <w:rPr>
          <w:rFonts w:ascii="Times New Roman" w:eastAsia="Times New Roman" w:hAnsi="Times New Roman" w:cs="Times New Roman"/>
          <w:sz w:val="20"/>
          <w:szCs w:val="20"/>
          <w:lang w:val="en-DE"/>
        </w:rPr>
      </w:pPr>
    </w:p>
    <w:p w14:paraId="25100AA7" w14:textId="79DFBB71" w:rsidR="00692529" w:rsidRPr="00692529" w:rsidRDefault="00692529" w:rsidP="009C5253">
      <w:pPr>
        <w:spacing w:after="0" w:line="240" w:lineRule="auto"/>
        <w:rPr>
          <w:rFonts w:ascii="Times New Roman" w:eastAsia="Times New Roman" w:hAnsi="Times New Roman" w:cs="Times New Roman"/>
          <w:sz w:val="20"/>
          <w:szCs w:val="20"/>
          <w:lang w:val="en-DE"/>
        </w:rPr>
      </w:pPr>
      <w:r>
        <w:rPr>
          <w:rFonts w:ascii="Times New Roman" w:eastAsia="Times New Roman" w:hAnsi="Times New Roman" w:cs="Times New Roman"/>
          <w:sz w:val="20"/>
          <w:szCs w:val="20"/>
          <w:lang w:val="en-DE"/>
        </w:rPr>
        <w:t>If the biomass limit of 100 EJ/</w:t>
      </w:r>
      <w:proofErr w:type="spellStart"/>
      <w:r>
        <w:rPr>
          <w:rFonts w:ascii="Times New Roman" w:eastAsia="Times New Roman" w:hAnsi="Times New Roman" w:cs="Times New Roman"/>
          <w:sz w:val="20"/>
          <w:szCs w:val="20"/>
          <w:lang w:val="en-DE"/>
        </w:rPr>
        <w:t>yr</w:t>
      </w:r>
      <w:proofErr w:type="spellEnd"/>
      <w:r>
        <w:rPr>
          <w:rFonts w:ascii="Times New Roman" w:eastAsia="Times New Roman" w:hAnsi="Times New Roman" w:cs="Times New Roman"/>
          <w:sz w:val="20"/>
          <w:szCs w:val="20"/>
          <w:lang w:val="en-DE"/>
        </w:rPr>
        <w:t xml:space="preserve"> is lifted, </w:t>
      </w:r>
      <w:r w:rsidR="009C5253">
        <w:rPr>
          <w:rFonts w:ascii="Times New Roman" w:eastAsia="Times New Roman" w:hAnsi="Times New Roman" w:cs="Times New Roman"/>
          <w:sz w:val="20"/>
          <w:szCs w:val="20"/>
          <w:lang w:val="en-DE"/>
        </w:rPr>
        <w:t xml:space="preserve">we observe almost identical biomass use of around </w:t>
      </w:r>
      <w:r w:rsidR="008E50F4" w:rsidRPr="008E50F4">
        <w:rPr>
          <w:rFonts w:ascii="Times New Roman" w:eastAsia="Times New Roman" w:hAnsi="Times New Roman" w:cs="Times New Roman"/>
          <w:sz w:val="20"/>
          <w:szCs w:val="20"/>
          <w:lang w:val="en-DE"/>
        </w:rPr>
        <w:t>106</w:t>
      </w:r>
      <w:r w:rsidR="009C5253" w:rsidRPr="008E50F4">
        <w:rPr>
          <w:rFonts w:ascii="Times New Roman" w:eastAsia="Times New Roman" w:hAnsi="Times New Roman" w:cs="Times New Roman"/>
          <w:sz w:val="20"/>
          <w:szCs w:val="20"/>
          <w:lang w:val="en-DE"/>
        </w:rPr>
        <w:t xml:space="preserve"> EJ/</w:t>
      </w:r>
      <w:proofErr w:type="spellStart"/>
      <w:r w:rsidR="009C5253" w:rsidRPr="008E50F4">
        <w:rPr>
          <w:rFonts w:ascii="Times New Roman" w:eastAsia="Times New Roman" w:hAnsi="Times New Roman" w:cs="Times New Roman"/>
          <w:sz w:val="20"/>
          <w:szCs w:val="20"/>
          <w:lang w:val="en-DE"/>
        </w:rPr>
        <w:t>yr</w:t>
      </w:r>
      <w:proofErr w:type="spellEnd"/>
      <w:r w:rsidR="009C5253">
        <w:rPr>
          <w:rFonts w:ascii="Times New Roman" w:eastAsia="Times New Roman" w:hAnsi="Times New Roman" w:cs="Times New Roman"/>
          <w:sz w:val="20"/>
          <w:szCs w:val="20"/>
          <w:lang w:val="en-DE"/>
        </w:rPr>
        <w:t xml:space="preserve"> for scenarios with CDR targets from 2-8 </w:t>
      </w:r>
      <w:proofErr w:type="spellStart"/>
      <w:r w:rsidR="009C5253">
        <w:rPr>
          <w:rFonts w:ascii="Times New Roman" w:eastAsia="Times New Roman" w:hAnsi="Times New Roman" w:cs="Times New Roman"/>
          <w:sz w:val="20"/>
          <w:szCs w:val="20"/>
          <w:lang w:val="en-DE"/>
        </w:rPr>
        <w:t>GtCDR</w:t>
      </w:r>
      <w:proofErr w:type="spellEnd"/>
      <w:r w:rsidR="009C5253">
        <w:rPr>
          <w:rFonts w:ascii="Times New Roman" w:eastAsia="Times New Roman" w:hAnsi="Times New Roman" w:cs="Times New Roman"/>
          <w:sz w:val="20"/>
          <w:szCs w:val="20"/>
          <w:lang w:val="en-DE"/>
        </w:rPr>
        <w:t xml:space="preserve">/yr. Significant increases only occur for the scenarios with highest CDR targets with 10 and 12 </w:t>
      </w:r>
      <w:proofErr w:type="spellStart"/>
      <w:r w:rsidR="009C5253">
        <w:rPr>
          <w:rFonts w:ascii="Times New Roman" w:eastAsia="Times New Roman" w:hAnsi="Times New Roman" w:cs="Times New Roman"/>
          <w:sz w:val="20"/>
          <w:szCs w:val="20"/>
          <w:lang w:val="en-DE"/>
        </w:rPr>
        <w:t>GtCDR</w:t>
      </w:r>
      <w:proofErr w:type="spellEnd"/>
      <w:r w:rsidR="009C5253">
        <w:rPr>
          <w:rFonts w:ascii="Times New Roman" w:eastAsia="Times New Roman" w:hAnsi="Times New Roman" w:cs="Times New Roman"/>
          <w:sz w:val="20"/>
          <w:szCs w:val="20"/>
          <w:lang w:val="en-DE"/>
        </w:rPr>
        <w:t>/</w:t>
      </w:r>
      <w:proofErr w:type="spellStart"/>
      <w:r w:rsidR="009C5253">
        <w:rPr>
          <w:rFonts w:ascii="Times New Roman" w:eastAsia="Times New Roman" w:hAnsi="Times New Roman" w:cs="Times New Roman"/>
          <w:sz w:val="20"/>
          <w:szCs w:val="20"/>
          <w:lang w:val="en-DE"/>
        </w:rPr>
        <w:t>yr</w:t>
      </w:r>
      <w:proofErr w:type="spellEnd"/>
      <w:r w:rsidR="009C5253">
        <w:rPr>
          <w:rFonts w:ascii="Times New Roman" w:eastAsia="Times New Roman" w:hAnsi="Times New Roman" w:cs="Times New Roman"/>
          <w:sz w:val="20"/>
          <w:szCs w:val="20"/>
          <w:lang w:val="en-DE"/>
        </w:rPr>
        <w:t xml:space="preserve"> with </w:t>
      </w:r>
      <w:r w:rsidR="008E50F4">
        <w:rPr>
          <w:rFonts w:ascii="Times New Roman" w:eastAsia="Times New Roman" w:hAnsi="Times New Roman" w:cs="Times New Roman"/>
          <w:sz w:val="20"/>
          <w:szCs w:val="20"/>
          <w:lang w:val="en-DE"/>
        </w:rPr>
        <w:t>113</w:t>
      </w:r>
      <w:r w:rsidR="009C5253">
        <w:rPr>
          <w:rFonts w:ascii="Times New Roman" w:eastAsia="Times New Roman" w:hAnsi="Times New Roman" w:cs="Times New Roman"/>
          <w:sz w:val="20"/>
          <w:szCs w:val="20"/>
          <w:lang w:val="en-DE"/>
        </w:rPr>
        <w:t xml:space="preserve"> and </w:t>
      </w:r>
      <w:r w:rsidR="008E50F4">
        <w:rPr>
          <w:rFonts w:ascii="Times New Roman" w:eastAsia="Times New Roman" w:hAnsi="Times New Roman" w:cs="Times New Roman"/>
          <w:sz w:val="20"/>
          <w:szCs w:val="20"/>
          <w:lang w:val="en-DE"/>
        </w:rPr>
        <w:t>127</w:t>
      </w:r>
      <w:r w:rsidR="009C5253">
        <w:rPr>
          <w:rFonts w:ascii="Times New Roman" w:eastAsia="Times New Roman" w:hAnsi="Times New Roman" w:cs="Times New Roman"/>
          <w:sz w:val="20"/>
          <w:szCs w:val="20"/>
          <w:lang w:val="en-DE"/>
        </w:rPr>
        <w:t xml:space="preserve"> EJ/</w:t>
      </w:r>
      <w:proofErr w:type="spellStart"/>
      <w:r w:rsidR="009C5253">
        <w:rPr>
          <w:rFonts w:ascii="Times New Roman" w:eastAsia="Times New Roman" w:hAnsi="Times New Roman" w:cs="Times New Roman"/>
          <w:sz w:val="20"/>
          <w:szCs w:val="20"/>
          <w:lang w:val="en-DE"/>
        </w:rPr>
        <w:t>yr</w:t>
      </w:r>
      <w:proofErr w:type="spellEnd"/>
      <w:r w:rsidR="009C5253">
        <w:rPr>
          <w:rFonts w:ascii="Times New Roman" w:eastAsia="Times New Roman" w:hAnsi="Times New Roman" w:cs="Times New Roman"/>
          <w:sz w:val="20"/>
          <w:szCs w:val="20"/>
          <w:lang w:val="en-DE"/>
        </w:rPr>
        <w:t xml:space="preserve"> respectively.</w:t>
      </w:r>
    </w:p>
    <w:p w14:paraId="73756967" w14:textId="77777777" w:rsidR="00692529" w:rsidRPr="00B212A0" w:rsidRDefault="009C5253" w:rsidP="00B212A0">
      <w:pPr>
        <w:spacing w:after="0" w:line="240" w:lineRule="auto"/>
        <w:rPr>
          <w:rFonts w:ascii="Times New Roman" w:eastAsia="Times New Roman" w:hAnsi="Times New Roman" w:cs="Times New Roman"/>
          <w:sz w:val="20"/>
          <w:szCs w:val="20"/>
          <w:lang w:val="en-DE"/>
        </w:rPr>
      </w:pPr>
      <w:r>
        <w:rPr>
          <w:rFonts w:ascii="Times New Roman" w:eastAsia="Times New Roman" w:hAnsi="Times New Roman" w:cs="Times New Roman"/>
          <w:sz w:val="20"/>
          <w:szCs w:val="20"/>
          <w:lang w:val="en-DE"/>
        </w:rPr>
        <w:t xml:space="preserve">However, like the scenarios shown in the main analysis, different net-zero formulations lead to varying cumulative emissions until 2050. When contrasting the scenarios with separate targets with counterfactuals reaching the same cumulative emissions but with only a uniform carbon price, scenarios with equally tight CO2 budgets (pink scenarios) require more biomass while scenarios with comparably loose budgets require significantly less biomass (blue scenarios). </w:t>
      </w:r>
      <w:r w:rsidR="00C6237F">
        <w:rPr>
          <w:rFonts w:ascii="Times New Roman" w:eastAsia="Times New Roman" w:hAnsi="Times New Roman" w:cs="Times New Roman"/>
          <w:sz w:val="20"/>
          <w:szCs w:val="20"/>
          <w:lang w:val="en-DE"/>
        </w:rPr>
        <w:t xml:space="preserve">Hence the </w:t>
      </w:r>
    </w:p>
    <w:p w14:paraId="7A599238" w14:textId="77777777" w:rsidR="002431A4" w:rsidRPr="002431A4" w:rsidRDefault="002431A4" w:rsidP="002431A4">
      <w:pPr>
        <w:spacing w:after="0" w:line="240" w:lineRule="auto"/>
        <w:ind w:right="2552"/>
        <w:rPr>
          <w:rFonts w:ascii="Times New Roman" w:eastAsia="Times New Roman" w:hAnsi="Times New Roman" w:cs="Times New Roman"/>
          <w:sz w:val="24"/>
          <w:szCs w:val="24"/>
          <w:lang w:val="en-DE"/>
        </w:rPr>
      </w:pPr>
      <w:bookmarkStart w:id="0" w:name="_GoBack"/>
      <w:r w:rsidRPr="002431A4">
        <w:rPr>
          <w:rFonts w:ascii="Times New Roman" w:eastAsia="Times New Roman" w:hAnsi="Times New Roman" w:cs="Times New Roman"/>
          <w:noProof/>
          <w:color w:val="000000"/>
          <w:sz w:val="20"/>
          <w:szCs w:val="20"/>
          <w:bdr w:val="none" w:sz="0" w:space="0" w:color="auto" w:frame="1"/>
          <w:lang w:val="en-DE"/>
        </w:rPr>
        <w:drawing>
          <wp:inline distT="0" distB="0" distL="0" distR="0" wp14:anchorId="16F4B434" wp14:editId="44B1EF8E">
            <wp:extent cx="2270125" cy="2254250"/>
            <wp:effectExtent l="0" t="0" r="0" b="0"/>
            <wp:docPr id="2" name="Picture 2" descr="https://lh7-us.googleusercontent.com/DH6QQWef0rCzshKlCypVO7wKe5hvYzwKp9ErPnpML4tLMbYp5_SvWIbV_Osdi0PRT0ofQ0xv8zTvjckT29dqC6YwLs0oMJ-WrKSKAeEkCNUdeuKfsYVCzkEzIJ0SPAsF58gAhIS-Vf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7-us.googleusercontent.com/DH6QQWef0rCzshKlCypVO7wKe5hvYzwKp9ErPnpML4tLMbYp5_SvWIbV_Osdi0PRT0ofQ0xv8zTvjckT29dqC6YwLs0oMJ-WrKSKAeEkCNUdeuKfsYVCzkEzIJ0SPAsF58gAhIS-VfjI"/>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0125" cy="2254250"/>
                    </a:xfrm>
                    <a:prstGeom prst="rect">
                      <a:avLst/>
                    </a:prstGeom>
                    <a:noFill/>
                    <a:ln>
                      <a:noFill/>
                    </a:ln>
                  </pic:spPr>
                </pic:pic>
              </a:graphicData>
            </a:graphic>
          </wp:inline>
        </w:drawing>
      </w:r>
      <w:bookmarkEnd w:id="0"/>
    </w:p>
    <w:p w14:paraId="594B6DA5" w14:textId="7DCB44B5" w:rsidR="002431A4" w:rsidRDefault="002431A4" w:rsidP="002431A4">
      <w:pPr>
        <w:jc w:val="both"/>
        <w:rPr>
          <w:rFonts w:ascii="Times New Roman" w:eastAsia="Times New Roman" w:hAnsi="Times New Roman" w:cs="Times New Roman"/>
          <w:color w:val="000000"/>
          <w:sz w:val="20"/>
          <w:szCs w:val="20"/>
          <w:lang w:val="en-DE"/>
        </w:rPr>
      </w:pPr>
      <w:r w:rsidRPr="002431A4">
        <w:rPr>
          <w:rFonts w:ascii="Times New Roman" w:eastAsia="Times New Roman" w:hAnsi="Times New Roman" w:cs="Times New Roman"/>
          <w:sz w:val="24"/>
          <w:szCs w:val="24"/>
          <w:lang w:val="en-DE"/>
        </w:rPr>
        <w:br/>
      </w:r>
      <w:r w:rsidRPr="002431A4">
        <w:rPr>
          <w:rFonts w:ascii="Times New Roman" w:eastAsia="Times New Roman" w:hAnsi="Times New Roman" w:cs="Times New Roman"/>
          <w:color w:val="000000"/>
          <w:sz w:val="20"/>
          <w:szCs w:val="20"/>
          <w:lang w:val="en-DE"/>
        </w:rPr>
        <w:t xml:space="preserve">To illustrate the inherent uncertainty of future carbon prices, we show the quantities of residual emissions (brown) and permanent CDR (green) at different carbon prices in 2050 from 165 IAM </w:t>
      </w:r>
      <w:r w:rsidR="00E753A6" w:rsidRPr="002431A4">
        <w:rPr>
          <w:rFonts w:ascii="Times New Roman" w:eastAsia="Times New Roman" w:hAnsi="Times New Roman" w:cs="Times New Roman"/>
          <w:color w:val="000000"/>
          <w:sz w:val="20"/>
          <w:szCs w:val="20"/>
          <w:lang w:val="en-DE"/>
        </w:rPr>
        <w:t>scenarios</w:t>
      </w:r>
      <w:r w:rsidRPr="002431A4">
        <w:rPr>
          <w:rFonts w:ascii="Times New Roman" w:eastAsia="Times New Roman" w:hAnsi="Times New Roman" w:cs="Times New Roman"/>
          <w:color w:val="000000"/>
          <w:sz w:val="20"/>
          <w:szCs w:val="20"/>
          <w:lang w:val="en-DE"/>
        </w:rPr>
        <w:t xml:space="preserve"> submitted to the IPCC 6th assessment report</w:t>
      </w:r>
      <w:r w:rsidR="00E753A6">
        <w:rPr>
          <w:rFonts w:ascii="Times New Roman" w:eastAsia="Times New Roman" w:hAnsi="Times New Roman" w:cs="Times New Roman"/>
          <w:color w:val="000000"/>
          <w:sz w:val="20"/>
          <w:szCs w:val="20"/>
          <w:lang w:val="en-DE"/>
        </w:rPr>
        <w:t xml:space="preserve"> </w:t>
      </w:r>
      <w:r w:rsidRPr="002431A4">
        <w:rPr>
          <w:rFonts w:ascii="Times New Roman" w:eastAsia="Times New Roman" w:hAnsi="Times New Roman" w:cs="Times New Roman"/>
          <w:color w:val="000000"/>
          <w:sz w:val="20"/>
          <w:szCs w:val="20"/>
          <w:lang w:val="en-DE"/>
        </w:rPr>
        <w:t xml:space="preserve">(panel </w:t>
      </w:r>
      <w:r w:rsidR="00E753A6">
        <w:rPr>
          <w:rFonts w:ascii="Times New Roman" w:eastAsia="Times New Roman" w:hAnsi="Times New Roman" w:cs="Times New Roman"/>
          <w:color w:val="000000"/>
          <w:sz w:val="20"/>
          <w:szCs w:val="20"/>
          <w:lang w:val="en-DE"/>
        </w:rPr>
        <w:t>b</w:t>
      </w:r>
      <w:r w:rsidRPr="002431A4">
        <w:rPr>
          <w:rFonts w:ascii="Times New Roman" w:eastAsia="Times New Roman" w:hAnsi="Times New Roman" w:cs="Times New Roman"/>
          <w:color w:val="000000"/>
          <w:sz w:val="20"/>
          <w:szCs w:val="20"/>
          <w:lang w:val="en-DE"/>
        </w:rPr>
        <w:t>). Scenarios where filtered to only include all C1 and C2 scenarios, with carbon prices ranging from 50-1,000 $/tCO</w:t>
      </w:r>
      <w:r w:rsidRPr="002431A4">
        <w:rPr>
          <w:rFonts w:ascii="Times New Roman" w:eastAsia="Times New Roman" w:hAnsi="Times New Roman" w:cs="Times New Roman"/>
          <w:color w:val="000000"/>
          <w:sz w:val="12"/>
          <w:szCs w:val="12"/>
          <w:vertAlign w:val="subscript"/>
          <w:lang w:val="en-DE"/>
        </w:rPr>
        <w:t>2</w:t>
      </w:r>
      <w:r w:rsidRPr="002431A4">
        <w:rPr>
          <w:rFonts w:ascii="Times New Roman" w:eastAsia="Times New Roman" w:hAnsi="Times New Roman" w:cs="Times New Roman"/>
          <w:color w:val="000000"/>
          <w:sz w:val="20"/>
          <w:szCs w:val="20"/>
          <w:lang w:val="en-DE"/>
        </w:rPr>
        <w:t xml:space="preserve"> in 2050.</w:t>
      </w:r>
    </w:p>
    <w:p w14:paraId="3DBA4429" w14:textId="77777777" w:rsidR="00F20DF4" w:rsidRDefault="00F20DF4" w:rsidP="00F20DF4">
      <w:pPr>
        <w:pStyle w:val="NormalWeb"/>
        <w:spacing w:before="0" w:beforeAutospacing="0" w:after="0" w:afterAutospacing="0"/>
        <w:ind w:right="2552"/>
      </w:pPr>
      <w:r>
        <w:rPr>
          <w:noProof/>
          <w:color w:val="000000"/>
          <w:sz w:val="20"/>
          <w:szCs w:val="20"/>
          <w:bdr w:val="none" w:sz="0" w:space="0" w:color="auto" w:frame="1"/>
        </w:rPr>
        <w:lastRenderedPageBreak/>
        <w:drawing>
          <wp:inline distT="0" distB="0" distL="0" distR="0" wp14:anchorId="452251D2" wp14:editId="372C6385">
            <wp:extent cx="5738495" cy="1865679"/>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7-us.googleusercontent.com/MEB2SXpc9NNgjaVGVVByOqOLV5M51NQLk9YxcWCgLNqVznCNDtT-K2kCkqXyERBoccn6lCqRZetrdc9HjQjOkpsVWJeTcJUmg6nKbLyx1CNs6wp8ZF2cBUHVlZUOkgNNZiNAJdF6p8K0jByZraMBnA"/>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738495" cy="1865679"/>
                    </a:xfrm>
                    <a:prstGeom prst="rect">
                      <a:avLst/>
                    </a:prstGeom>
                    <a:noFill/>
                    <a:ln>
                      <a:noFill/>
                    </a:ln>
                  </pic:spPr>
                </pic:pic>
              </a:graphicData>
            </a:graphic>
          </wp:inline>
        </w:drawing>
      </w:r>
    </w:p>
    <w:p w14:paraId="771A6BCA" w14:textId="6314F4F4" w:rsidR="00F20DF4" w:rsidRDefault="00F20DF4" w:rsidP="002431A4">
      <w:pPr>
        <w:jc w:val="both"/>
      </w:pPr>
    </w:p>
    <w:p w14:paraId="36060E2E" w14:textId="215AD6E0" w:rsidR="00467ED4" w:rsidRDefault="00467ED4" w:rsidP="002431A4">
      <w:pPr>
        <w:jc w:val="both"/>
      </w:pPr>
    </w:p>
    <w:p w14:paraId="59EB4B4A" w14:textId="77777777" w:rsidR="00294220" w:rsidRPr="00294220" w:rsidRDefault="00467ED4" w:rsidP="00294220">
      <w:pPr>
        <w:pStyle w:val="Bibliography"/>
        <w:rPr>
          <w:rFonts w:ascii="Calibri" w:hAnsi="Calibri" w:cs="Calibri"/>
        </w:rPr>
      </w:pPr>
      <w:r>
        <w:fldChar w:fldCharType="begin"/>
      </w:r>
      <w:r>
        <w:instrText xml:space="preserve"> ADDIN ZOTERO_BIBL {"uncited":[],"omitted":[],"custom":[]} CSL_BIBLIOGRAPHY </w:instrText>
      </w:r>
      <w:r>
        <w:fldChar w:fldCharType="separate"/>
      </w:r>
      <w:r w:rsidR="00294220" w:rsidRPr="00294220">
        <w:rPr>
          <w:rFonts w:ascii="Calibri" w:hAnsi="Calibri" w:cs="Calibri"/>
        </w:rPr>
        <w:t>1.</w:t>
      </w:r>
      <w:r w:rsidR="00294220" w:rsidRPr="00294220">
        <w:rPr>
          <w:rFonts w:ascii="Calibri" w:hAnsi="Calibri" w:cs="Calibri"/>
        </w:rPr>
        <w:tab/>
        <w:t xml:space="preserve">Baumstark, L. </w:t>
      </w:r>
      <w:r w:rsidR="00294220" w:rsidRPr="00294220">
        <w:rPr>
          <w:rFonts w:ascii="Calibri" w:hAnsi="Calibri" w:cs="Calibri"/>
          <w:i/>
          <w:iCs/>
        </w:rPr>
        <w:t>et al.</w:t>
      </w:r>
      <w:r w:rsidR="00294220" w:rsidRPr="00294220">
        <w:rPr>
          <w:rFonts w:ascii="Calibri" w:hAnsi="Calibri" w:cs="Calibri"/>
        </w:rPr>
        <w:t xml:space="preserve"> REMIND2.1: Transformation and innovation dynamics of the energy-economic system within climate and sustainability limits. </w:t>
      </w:r>
      <w:r w:rsidR="00294220" w:rsidRPr="00294220">
        <w:rPr>
          <w:rFonts w:ascii="Calibri" w:hAnsi="Calibri" w:cs="Calibri"/>
          <w:i/>
          <w:iCs/>
        </w:rPr>
        <w:t>Geosci. Model Dev. Discuss.</w:t>
      </w:r>
      <w:r w:rsidR="00294220" w:rsidRPr="00294220">
        <w:rPr>
          <w:rFonts w:ascii="Calibri" w:hAnsi="Calibri" w:cs="Calibri"/>
        </w:rPr>
        <w:t xml:space="preserve"> </w:t>
      </w:r>
      <w:r w:rsidR="00294220" w:rsidRPr="00294220">
        <w:rPr>
          <w:rFonts w:ascii="Calibri" w:hAnsi="Calibri" w:cs="Calibri"/>
          <w:b/>
          <w:bCs/>
        </w:rPr>
        <w:t>2021</w:t>
      </w:r>
      <w:r w:rsidR="00294220" w:rsidRPr="00294220">
        <w:rPr>
          <w:rFonts w:ascii="Calibri" w:hAnsi="Calibri" w:cs="Calibri"/>
        </w:rPr>
        <w:t>, 1–50 (2021).</w:t>
      </w:r>
    </w:p>
    <w:p w14:paraId="32B44899" w14:textId="77777777" w:rsidR="00294220" w:rsidRPr="00294220" w:rsidRDefault="00294220" w:rsidP="00294220">
      <w:pPr>
        <w:pStyle w:val="Bibliography"/>
        <w:rPr>
          <w:rFonts w:ascii="Calibri" w:hAnsi="Calibri" w:cs="Calibri"/>
        </w:rPr>
      </w:pPr>
      <w:r w:rsidRPr="00294220">
        <w:rPr>
          <w:rFonts w:ascii="Calibri" w:hAnsi="Calibri" w:cs="Calibri"/>
        </w:rPr>
        <w:t>2.</w:t>
      </w:r>
      <w:r w:rsidRPr="00294220">
        <w:rPr>
          <w:rFonts w:ascii="Calibri" w:hAnsi="Calibri" w:cs="Calibri"/>
        </w:rPr>
        <w:tab/>
        <w:t xml:space="preserve">Beuttler, C., Charles, L. &amp; Wurzbacher, J. The Role of Direct Air Capture in Mitigation of Anthropogenic Greenhouse Gas Emissions. </w:t>
      </w:r>
      <w:r w:rsidRPr="00294220">
        <w:rPr>
          <w:rFonts w:ascii="Calibri" w:hAnsi="Calibri" w:cs="Calibri"/>
          <w:i/>
          <w:iCs/>
        </w:rPr>
        <w:t>Front. Clim.</w:t>
      </w:r>
      <w:r w:rsidRPr="00294220">
        <w:rPr>
          <w:rFonts w:ascii="Calibri" w:hAnsi="Calibri" w:cs="Calibri"/>
        </w:rPr>
        <w:t xml:space="preserve"> </w:t>
      </w:r>
      <w:r w:rsidRPr="00294220">
        <w:rPr>
          <w:rFonts w:ascii="Calibri" w:hAnsi="Calibri" w:cs="Calibri"/>
          <w:b/>
          <w:bCs/>
        </w:rPr>
        <w:t>1</w:t>
      </w:r>
      <w:r w:rsidRPr="00294220">
        <w:rPr>
          <w:rFonts w:ascii="Calibri" w:hAnsi="Calibri" w:cs="Calibri"/>
        </w:rPr>
        <w:t>, 10 (2019).</w:t>
      </w:r>
    </w:p>
    <w:p w14:paraId="4951F2F1" w14:textId="77777777" w:rsidR="00294220" w:rsidRPr="00294220" w:rsidRDefault="00294220" w:rsidP="00294220">
      <w:pPr>
        <w:pStyle w:val="Bibliography"/>
        <w:rPr>
          <w:rFonts w:ascii="Calibri" w:hAnsi="Calibri" w:cs="Calibri"/>
        </w:rPr>
      </w:pPr>
      <w:r w:rsidRPr="00294220">
        <w:rPr>
          <w:rFonts w:ascii="Calibri" w:hAnsi="Calibri" w:cs="Calibri"/>
        </w:rPr>
        <w:t>3.</w:t>
      </w:r>
      <w:r w:rsidRPr="00294220">
        <w:rPr>
          <w:rFonts w:ascii="Calibri" w:hAnsi="Calibri" w:cs="Calibri"/>
        </w:rPr>
        <w:tab/>
        <w:t xml:space="preserve">Strefler, J. </w:t>
      </w:r>
      <w:r w:rsidRPr="00294220">
        <w:rPr>
          <w:rFonts w:ascii="Calibri" w:hAnsi="Calibri" w:cs="Calibri"/>
          <w:i/>
          <w:iCs/>
        </w:rPr>
        <w:t>et al.</w:t>
      </w:r>
      <w:r w:rsidRPr="00294220">
        <w:rPr>
          <w:rFonts w:ascii="Calibri" w:hAnsi="Calibri" w:cs="Calibri"/>
        </w:rPr>
        <w:t xml:space="preserve"> Carbon dioxide removal technologies are not born equal. </w:t>
      </w:r>
      <w:r w:rsidRPr="00294220">
        <w:rPr>
          <w:rFonts w:ascii="Calibri" w:hAnsi="Calibri" w:cs="Calibri"/>
          <w:i/>
          <w:iCs/>
        </w:rPr>
        <w:t>Environ. Res. Lett.</w:t>
      </w:r>
      <w:r w:rsidRPr="00294220">
        <w:rPr>
          <w:rFonts w:ascii="Calibri" w:hAnsi="Calibri" w:cs="Calibri"/>
        </w:rPr>
        <w:t xml:space="preserve"> </w:t>
      </w:r>
      <w:r w:rsidRPr="00294220">
        <w:rPr>
          <w:rFonts w:ascii="Calibri" w:hAnsi="Calibri" w:cs="Calibri"/>
          <w:b/>
          <w:bCs/>
        </w:rPr>
        <w:t>16</w:t>
      </w:r>
      <w:r w:rsidRPr="00294220">
        <w:rPr>
          <w:rFonts w:ascii="Calibri" w:hAnsi="Calibri" w:cs="Calibri"/>
        </w:rPr>
        <w:t>, 074021 (2021).</w:t>
      </w:r>
    </w:p>
    <w:p w14:paraId="67E1EDD3" w14:textId="77777777" w:rsidR="00294220" w:rsidRPr="00294220" w:rsidRDefault="00294220" w:rsidP="00294220">
      <w:pPr>
        <w:pStyle w:val="Bibliography"/>
        <w:rPr>
          <w:rFonts w:ascii="Calibri" w:hAnsi="Calibri" w:cs="Calibri"/>
        </w:rPr>
      </w:pPr>
      <w:r w:rsidRPr="00294220">
        <w:rPr>
          <w:rFonts w:ascii="Calibri" w:hAnsi="Calibri" w:cs="Calibri"/>
        </w:rPr>
        <w:t>4.</w:t>
      </w:r>
      <w:r w:rsidRPr="00294220">
        <w:rPr>
          <w:rFonts w:ascii="Calibri" w:hAnsi="Calibri" w:cs="Calibri"/>
        </w:rPr>
        <w:tab/>
        <w:t xml:space="preserve">Strefler, J. </w:t>
      </w:r>
      <w:r w:rsidRPr="00294220">
        <w:rPr>
          <w:rFonts w:ascii="Calibri" w:hAnsi="Calibri" w:cs="Calibri"/>
          <w:i/>
          <w:iCs/>
        </w:rPr>
        <w:t>et al.</w:t>
      </w:r>
      <w:r w:rsidRPr="00294220">
        <w:rPr>
          <w:rFonts w:ascii="Calibri" w:hAnsi="Calibri" w:cs="Calibri"/>
        </w:rPr>
        <w:t xml:space="preserve"> Between Scylla and Charybdis: Delayed mitigation narrows the passage between large-scale CDR and high costs. </w:t>
      </w:r>
      <w:r w:rsidRPr="00294220">
        <w:rPr>
          <w:rFonts w:ascii="Calibri" w:hAnsi="Calibri" w:cs="Calibri"/>
          <w:i/>
          <w:iCs/>
        </w:rPr>
        <w:t>Environ. Res. Lett.</w:t>
      </w:r>
      <w:r w:rsidRPr="00294220">
        <w:rPr>
          <w:rFonts w:ascii="Calibri" w:hAnsi="Calibri" w:cs="Calibri"/>
        </w:rPr>
        <w:t xml:space="preserve"> </w:t>
      </w:r>
      <w:r w:rsidRPr="00294220">
        <w:rPr>
          <w:rFonts w:ascii="Calibri" w:hAnsi="Calibri" w:cs="Calibri"/>
          <w:b/>
          <w:bCs/>
        </w:rPr>
        <w:t>13</w:t>
      </w:r>
      <w:r w:rsidRPr="00294220">
        <w:rPr>
          <w:rFonts w:ascii="Calibri" w:hAnsi="Calibri" w:cs="Calibri"/>
        </w:rPr>
        <w:t>, 044015 (2018).</w:t>
      </w:r>
    </w:p>
    <w:p w14:paraId="616DB588" w14:textId="77777777" w:rsidR="00294220" w:rsidRPr="00294220" w:rsidRDefault="00294220" w:rsidP="00294220">
      <w:pPr>
        <w:pStyle w:val="Bibliography"/>
        <w:rPr>
          <w:rFonts w:ascii="Calibri" w:hAnsi="Calibri" w:cs="Calibri"/>
        </w:rPr>
      </w:pPr>
      <w:r w:rsidRPr="00294220">
        <w:rPr>
          <w:rFonts w:ascii="Calibri" w:hAnsi="Calibri" w:cs="Calibri"/>
        </w:rPr>
        <w:t>5.</w:t>
      </w:r>
      <w:r w:rsidRPr="00294220">
        <w:rPr>
          <w:rFonts w:ascii="Calibri" w:hAnsi="Calibri" w:cs="Calibri"/>
        </w:rPr>
        <w:tab/>
        <w:t xml:space="preserve">Strefler, J., Amann, T., Bauer, N., Kriegler, E. &amp; Hartmann, J. Potential and costs of carbon dioxide removal by enhanced weathering of rocks. </w:t>
      </w:r>
      <w:r w:rsidRPr="00294220">
        <w:rPr>
          <w:rFonts w:ascii="Calibri" w:hAnsi="Calibri" w:cs="Calibri"/>
          <w:i/>
          <w:iCs/>
        </w:rPr>
        <w:t>Environ. Res. Lett.</w:t>
      </w:r>
      <w:r w:rsidRPr="00294220">
        <w:rPr>
          <w:rFonts w:ascii="Calibri" w:hAnsi="Calibri" w:cs="Calibri"/>
        </w:rPr>
        <w:t xml:space="preserve"> </w:t>
      </w:r>
      <w:r w:rsidRPr="00294220">
        <w:rPr>
          <w:rFonts w:ascii="Calibri" w:hAnsi="Calibri" w:cs="Calibri"/>
          <w:b/>
          <w:bCs/>
        </w:rPr>
        <w:t>13</w:t>
      </w:r>
      <w:r w:rsidRPr="00294220">
        <w:rPr>
          <w:rFonts w:ascii="Calibri" w:hAnsi="Calibri" w:cs="Calibri"/>
        </w:rPr>
        <w:t>, 034010 (2018).</w:t>
      </w:r>
    </w:p>
    <w:p w14:paraId="34F212E3" w14:textId="6E94C436" w:rsidR="00467ED4" w:rsidRDefault="00467ED4" w:rsidP="002431A4">
      <w:pPr>
        <w:jc w:val="both"/>
      </w:pPr>
      <w:r>
        <w:fldChar w:fldCharType="end"/>
      </w:r>
    </w:p>
    <w:sectPr w:rsidR="00467E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D66C6E"/>
    <w:multiLevelType w:val="hybridMultilevel"/>
    <w:tmpl w:val="FE56E3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F62"/>
    <w:rsid w:val="000757A9"/>
    <w:rsid w:val="00075D97"/>
    <w:rsid w:val="00091CEE"/>
    <w:rsid w:val="000B6BB2"/>
    <w:rsid w:val="000E7A80"/>
    <w:rsid w:val="00147AB8"/>
    <w:rsid w:val="00154867"/>
    <w:rsid w:val="001A5945"/>
    <w:rsid w:val="001D0F62"/>
    <w:rsid w:val="001E34B9"/>
    <w:rsid w:val="002431A4"/>
    <w:rsid w:val="002913B3"/>
    <w:rsid w:val="00294220"/>
    <w:rsid w:val="002D3D19"/>
    <w:rsid w:val="00376AD4"/>
    <w:rsid w:val="00421817"/>
    <w:rsid w:val="0045570F"/>
    <w:rsid w:val="00456F46"/>
    <w:rsid w:val="00467ED4"/>
    <w:rsid w:val="0048517E"/>
    <w:rsid w:val="004B5A9A"/>
    <w:rsid w:val="0055606F"/>
    <w:rsid w:val="005C7DCE"/>
    <w:rsid w:val="00640559"/>
    <w:rsid w:val="00657664"/>
    <w:rsid w:val="00692529"/>
    <w:rsid w:val="006B2E67"/>
    <w:rsid w:val="006F4AA8"/>
    <w:rsid w:val="00741DE4"/>
    <w:rsid w:val="00776B0D"/>
    <w:rsid w:val="007C7FCD"/>
    <w:rsid w:val="00817975"/>
    <w:rsid w:val="008E50F4"/>
    <w:rsid w:val="00977059"/>
    <w:rsid w:val="009C5253"/>
    <w:rsid w:val="00AA6024"/>
    <w:rsid w:val="00AC0CC6"/>
    <w:rsid w:val="00AD7315"/>
    <w:rsid w:val="00AE64C7"/>
    <w:rsid w:val="00B03FD1"/>
    <w:rsid w:val="00B212A0"/>
    <w:rsid w:val="00B21980"/>
    <w:rsid w:val="00BA48C8"/>
    <w:rsid w:val="00BF3E27"/>
    <w:rsid w:val="00C13FB0"/>
    <w:rsid w:val="00C6237F"/>
    <w:rsid w:val="00C901C5"/>
    <w:rsid w:val="00CD12CA"/>
    <w:rsid w:val="00D454F4"/>
    <w:rsid w:val="00D65283"/>
    <w:rsid w:val="00D77E67"/>
    <w:rsid w:val="00E1080E"/>
    <w:rsid w:val="00E753A6"/>
    <w:rsid w:val="00E82241"/>
    <w:rsid w:val="00F20DF4"/>
    <w:rsid w:val="00F73CDA"/>
    <w:rsid w:val="00F87531"/>
    <w:rsid w:val="00FE366A"/>
    <w:rsid w:val="00FF5AD7"/>
  </w:rsids>
  <m:mathPr>
    <m:mathFont m:val="Cambria Math"/>
    <m:brkBin m:val="before"/>
    <m:brkBinSub m:val="--"/>
    <m:smallFrac m:val="0"/>
    <m:dispDef/>
    <m:lMargin m:val="0"/>
    <m:rMargin m:val="0"/>
    <m:defJc m:val="centerGroup"/>
    <m:wrapIndent m:val="1440"/>
    <m:intLim m:val="subSup"/>
    <m:naryLim m:val="undOvr"/>
  </m:mathPr>
  <w:themeFontLang w:val="en-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8E042"/>
  <w15:chartTrackingRefBased/>
  <w15:docId w15:val="{AEFCDCE9-F7A3-40A3-8291-86B87CCB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DE"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0F62"/>
    <w:pPr>
      <w:spacing w:before="100" w:beforeAutospacing="1" w:after="100" w:afterAutospacing="1" w:line="240" w:lineRule="auto"/>
    </w:pPr>
    <w:rPr>
      <w:rFonts w:ascii="Times New Roman" w:eastAsia="Times New Roman" w:hAnsi="Times New Roman" w:cs="Times New Roman"/>
      <w:sz w:val="24"/>
      <w:szCs w:val="24"/>
      <w:lang w:val="en-DE"/>
    </w:rPr>
  </w:style>
  <w:style w:type="paragraph" w:styleId="Caption">
    <w:name w:val="caption"/>
    <w:basedOn w:val="Normal"/>
    <w:next w:val="Normal"/>
    <w:uiPriority w:val="35"/>
    <w:unhideWhenUsed/>
    <w:qFormat/>
    <w:rsid w:val="000757A9"/>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B212A0"/>
    <w:rPr>
      <w:sz w:val="16"/>
      <w:szCs w:val="16"/>
    </w:rPr>
  </w:style>
  <w:style w:type="paragraph" w:styleId="CommentText">
    <w:name w:val="annotation text"/>
    <w:basedOn w:val="Normal"/>
    <w:link w:val="CommentTextChar"/>
    <w:uiPriority w:val="99"/>
    <w:unhideWhenUsed/>
    <w:rsid w:val="00B212A0"/>
    <w:pPr>
      <w:spacing w:line="240" w:lineRule="auto"/>
    </w:pPr>
    <w:rPr>
      <w:sz w:val="20"/>
      <w:szCs w:val="20"/>
    </w:rPr>
  </w:style>
  <w:style w:type="character" w:customStyle="1" w:styleId="CommentTextChar">
    <w:name w:val="Comment Text Char"/>
    <w:basedOn w:val="DefaultParagraphFont"/>
    <w:link w:val="CommentText"/>
    <w:uiPriority w:val="99"/>
    <w:rsid w:val="00B212A0"/>
    <w:rPr>
      <w:sz w:val="20"/>
      <w:szCs w:val="20"/>
      <w:lang w:val="de-DE"/>
    </w:rPr>
  </w:style>
  <w:style w:type="paragraph" w:styleId="CommentSubject">
    <w:name w:val="annotation subject"/>
    <w:basedOn w:val="CommentText"/>
    <w:next w:val="CommentText"/>
    <w:link w:val="CommentSubjectChar"/>
    <w:uiPriority w:val="99"/>
    <w:semiHidden/>
    <w:unhideWhenUsed/>
    <w:rsid w:val="00B212A0"/>
    <w:rPr>
      <w:b/>
      <w:bCs/>
    </w:rPr>
  </w:style>
  <w:style w:type="character" w:customStyle="1" w:styleId="CommentSubjectChar">
    <w:name w:val="Comment Subject Char"/>
    <w:basedOn w:val="CommentTextChar"/>
    <w:link w:val="CommentSubject"/>
    <w:uiPriority w:val="99"/>
    <w:semiHidden/>
    <w:rsid w:val="00B212A0"/>
    <w:rPr>
      <w:b/>
      <w:bCs/>
      <w:sz w:val="20"/>
      <w:szCs w:val="20"/>
      <w:lang w:val="de-DE"/>
    </w:rPr>
  </w:style>
  <w:style w:type="paragraph" w:styleId="BalloonText">
    <w:name w:val="Balloon Text"/>
    <w:basedOn w:val="Normal"/>
    <w:link w:val="BalloonTextChar"/>
    <w:uiPriority w:val="99"/>
    <w:semiHidden/>
    <w:unhideWhenUsed/>
    <w:rsid w:val="00B212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12A0"/>
    <w:rPr>
      <w:rFonts w:ascii="Segoe UI" w:hAnsi="Segoe UI" w:cs="Segoe UI"/>
      <w:sz w:val="18"/>
      <w:szCs w:val="18"/>
      <w:lang w:val="de-DE"/>
    </w:rPr>
  </w:style>
  <w:style w:type="paragraph" w:styleId="ListParagraph">
    <w:name w:val="List Paragraph"/>
    <w:basedOn w:val="Normal"/>
    <w:uiPriority w:val="34"/>
    <w:qFormat/>
    <w:rsid w:val="00B21980"/>
    <w:pPr>
      <w:ind w:left="720"/>
      <w:contextualSpacing/>
    </w:pPr>
  </w:style>
  <w:style w:type="paragraph" w:styleId="Bibliography">
    <w:name w:val="Bibliography"/>
    <w:basedOn w:val="Normal"/>
    <w:next w:val="Normal"/>
    <w:uiPriority w:val="37"/>
    <w:unhideWhenUsed/>
    <w:rsid w:val="00467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468029">
      <w:bodyDiv w:val="1"/>
      <w:marLeft w:val="0"/>
      <w:marRight w:val="0"/>
      <w:marTop w:val="0"/>
      <w:marBottom w:val="0"/>
      <w:divBdr>
        <w:top w:val="none" w:sz="0" w:space="0" w:color="auto"/>
        <w:left w:val="none" w:sz="0" w:space="0" w:color="auto"/>
        <w:bottom w:val="none" w:sz="0" w:space="0" w:color="auto"/>
        <w:right w:val="none" w:sz="0" w:space="0" w:color="auto"/>
      </w:divBdr>
    </w:div>
    <w:div w:id="102724025">
      <w:bodyDiv w:val="1"/>
      <w:marLeft w:val="0"/>
      <w:marRight w:val="0"/>
      <w:marTop w:val="0"/>
      <w:marBottom w:val="0"/>
      <w:divBdr>
        <w:top w:val="none" w:sz="0" w:space="0" w:color="auto"/>
        <w:left w:val="none" w:sz="0" w:space="0" w:color="auto"/>
        <w:bottom w:val="none" w:sz="0" w:space="0" w:color="auto"/>
        <w:right w:val="none" w:sz="0" w:space="0" w:color="auto"/>
      </w:divBdr>
    </w:div>
    <w:div w:id="156576410">
      <w:bodyDiv w:val="1"/>
      <w:marLeft w:val="0"/>
      <w:marRight w:val="0"/>
      <w:marTop w:val="0"/>
      <w:marBottom w:val="0"/>
      <w:divBdr>
        <w:top w:val="none" w:sz="0" w:space="0" w:color="auto"/>
        <w:left w:val="none" w:sz="0" w:space="0" w:color="auto"/>
        <w:bottom w:val="none" w:sz="0" w:space="0" w:color="auto"/>
        <w:right w:val="none" w:sz="0" w:space="0" w:color="auto"/>
      </w:divBdr>
    </w:div>
    <w:div w:id="169180794">
      <w:bodyDiv w:val="1"/>
      <w:marLeft w:val="0"/>
      <w:marRight w:val="0"/>
      <w:marTop w:val="0"/>
      <w:marBottom w:val="0"/>
      <w:divBdr>
        <w:top w:val="none" w:sz="0" w:space="0" w:color="auto"/>
        <w:left w:val="none" w:sz="0" w:space="0" w:color="auto"/>
        <w:bottom w:val="none" w:sz="0" w:space="0" w:color="auto"/>
        <w:right w:val="none" w:sz="0" w:space="0" w:color="auto"/>
      </w:divBdr>
    </w:div>
    <w:div w:id="196237903">
      <w:bodyDiv w:val="1"/>
      <w:marLeft w:val="0"/>
      <w:marRight w:val="0"/>
      <w:marTop w:val="0"/>
      <w:marBottom w:val="0"/>
      <w:divBdr>
        <w:top w:val="none" w:sz="0" w:space="0" w:color="auto"/>
        <w:left w:val="none" w:sz="0" w:space="0" w:color="auto"/>
        <w:bottom w:val="none" w:sz="0" w:space="0" w:color="auto"/>
        <w:right w:val="none" w:sz="0" w:space="0" w:color="auto"/>
      </w:divBdr>
    </w:div>
    <w:div w:id="1521357437">
      <w:bodyDiv w:val="1"/>
      <w:marLeft w:val="0"/>
      <w:marRight w:val="0"/>
      <w:marTop w:val="0"/>
      <w:marBottom w:val="0"/>
      <w:divBdr>
        <w:top w:val="none" w:sz="0" w:space="0" w:color="auto"/>
        <w:left w:val="none" w:sz="0" w:space="0" w:color="auto"/>
        <w:bottom w:val="none" w:sz="0" w:space="0" w:color="auto"/>
        <w:right w:val="none" w:sz="0" w:space="0" w:color="auto"/>
      </w:divBdr>
    </w:div>
    <w:div w:id="1721703350">
      <w:bodyDiv w:val="1"/>
      <w:marLeft w:val="0"/>
      <w:marRight w:val="0"/>
      <w:marTop w:val="0"/>
      <w:marBottom w:val="0"/>
      <w:divBdr>
        <w:top w:val="none" w:sz="0" w:space="0" w:color="auto"/>
        <w:left w:val="none" w:sz="0" w:space="0" w:color="auto"/>
        <w:bottom w:val="none" w:sz="0" w:space="0" w:color="auto"/>
        <w:right w:val="none" w:sz="0" w:space="0" w:color="auto"/>
      </w:divBdr>
    </w:div>
    <w:div w:id="206235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3291</TotalTime>
  <Pages>4</Pages>
  <Words>2416</Words>
  <Characters>13773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Merfort</dc:creator>
  <cp:keywords/>
  <dc:description/>
  <cp:lastModifiedBy>Anne Merfort</cp:lastModifiedBy>
  <cp:revision>45</cp:revision>
  <dcterms:created xsi:type="dcterms:W3CDTF">2024-03-08T11:31:00Z</dcterms:created>
  <dcterms:modified xsi:type="dcterms:W3CDTF">2024-05-21T15:26:00Z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id="zRHl4Rca"/&gt;&lt;style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