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before="93" w:beforeLines="30" w:after="93" w:afterLines="30" w:line="480" w:lineRule="auto"/>
        <w:rPr>
          <w:rFonts w:hint="default" w:cs="Times New Roman"/>
          <w:b/>
          <w:bCs/>
          <w:color w:val="000000"/>
          <w:kern w:val="24"/>
          <w:sz w:val="28"/>
          <w:szCs w:val="28"/>
          <w:highlight w:val="none"/>
          <w:lang w:val="en-US" w:eastAsia="zh-CN"/>
        </w:rPr>
      </w:pPr>
      <w:r>
        <w:rPr>
          <w:rFonts w:hint="eastAsia" w:cs="Times New Roman"/>
          <w:b/>
          <w:bCs/>
          <w:color w:val="000000"/>
          <w:kern w:val="24"/>
          <w:sz w:val="28"/>
          <w:szCs w:val="28"/>
          <w:highlight w:val="none"/>
          <w:lang w:val="en-US" w:eastAsia="zh-CN"/>
        </w:rPr>
        <w:t>Supplementary Figures</w:t>
      </w:r>
    </w:p>
    <w:p>
      <w:pPr>
        <w:numPr>
          <w:ilvl w:val="0"/>
          <w:numId w:val="0"/>
        </w:numPr>
        <w:spacing w:before="93" w:beforeLines="30" w:after="93" w:afterLines="30" w:line="480" w:lineRule="auto"/>
        <w:rPr>
          <w:rFonts w:hint="default" w:cs="Times New Roman"/>
          <w:b/>
          <w:bCs/>
          <w:color w:val="000000"/>
          <w:kern w:val="24"/>
          <w:sz w:val="24"/>
          <w:szCs w:val="24"/>
          <w:highlight w:val="none"/>
          <w:lang w:val="en-US" w:eastAsia="zh-CN"/>
        </w:rPr>
      </w:pPr>
      <w:r>
        <w:rPr>
          <w:rFonts w:hint="default" w:cs="Times New Roman"/>
          <w:b/>
          <w:bCs/>
          <w:color w:val="000000"/>
          <w:kern w:val="24"/>
          <w:sz w:val="24"/>
          <w:szCs w:val="24"/>
          <w:highlight w:val="none"/>
          <w:lang w:val="en-US" w:eastAsia="zh-CN"/>
        </w:rPr>
        <w:drawing>
          <wp:inline distT="0" distB="0" distL="114300" distR="114300">
            <wp:extent cx="5273675" cy="5688965"/>
            <wp:effectExtent l="0" t="0" r="5080" b="0"/>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4"/>
                    <a:stretch>
                      <a:fillRect/>
                    </a:stretch>
                  </pic:blipFill>
                  <pic:spPr>
                    <a:xfrm>
                      <a:off x="0" y="0"/>
                      <a:ext cx="5273675" cy="5688965"/>
                    </a:xfrm>
                    <a:prstGeom prst="rect">
                      <a:avLst/>
                    </a:prstGeom>
                  </pic:spPr>
                </pic:pic>
              </a:graphicData>
            </a:graphic>
          </wp:inline>
        </w:drawing>
      </w:r>
    </w:p>
    <w:p>
      <w:pPr>
        <w:numPr>
          <w:ilvl w:val="0"/>
          <w:numId w:val="0"/>
        </w:numPr>
        <w:spacing w:before="93" w:beforeLines="30" w:after="93" w:afterLines="30" w:line="480" w:lineRule="auto"/>
        <w:rPr>
          <w:rFonts w:hint="default" w:cs="Times New Roman"/>
          <w:b w:val="0"/>
          <w:bCs w:val="0"/>
          <w:color w:val="000000"/>
          <w:kern w:val="24"/>
          <w:sz w:val="24"/>
          <w:szCs w:val="24"/>
          <w:highlight w:val="none"/>
          <w:lang w:val="en-US" w:eastAsia="zh-CN"/>
        </w:rPr>
      </w:pPr>
      <w:r>
        <w:rPr>
          <w:rFonts w:hint="default" w:cs="Times New Roman"/>
          <w:b/>
          <w:bCs/>
          <w:color w:val="000000"/>
          <w:kern w:val="24"/>
          <w:sz w:val="24"/>
          <w:szCs w:val="24"/>
          <w:highlight w:val="none"/>
          <w:lang w:val="en-US" w:eastAsia="zh-CN"/>
        </w:rPr>
        <w:t xml:space="preserve">Figure S1. Functional analysis of DEGs and four hub genes. </w:t>
      </w:r>
      <w:r>
        <w:rPr>
          <w:rFonts w:hint="default" w:cs="Times New Roman"/>
          <w:b w:val="0"/>
          <w:bCs w:val="0"/>
          <w:color w:val="000000"/>
          <w:kern w:val="24"/>
          <w:sz w:val="24"/>
          <w:szCs w:val="24"/>
          <w:highlight w:val="none"/>
          <w:lang w:val="en-US" w:eastAsia="zh-CN"/>
        </w:rPr>
        <w:t>(A-B) GO and KEGG functional enrichment analysis of DEGs. (C) PPI network analysis revealed genes directly associated with four hub genes. (D-E) GO and KEGG functional enrichment analysis was conducted on four hub genes and their directly related genes.</w:t>
      </w:r>
    </w:p>
    <w:p>
      <w:pPr>
        <w:numPr>
          <w:ilvl w:val="0"/>
          <w:numId w:val="0"/>
        </w:numPr>
        <w:spacing w:before="93" w:beforeLines="30" w:after="93" w:afterLines="30" w:line="480" w:lineRule="auto"/>
        <w:rPr>
          <w:rFonts w:hint="default" w:cs="Times New Roman"/>
          <w:b w:val="0"/>
          <w:bCs w:val="0"/>
          <w:color w:val="000000"/>
          <w:kern w:val="24"/>
          <w:sz w:val="24"/>
          <w:szCs w:val="24"/>
          <w:highlight w:val="none"/>
          <w:lang w:val="en-US" w:eastAsia="zh-CN"/>
        </w:rPr>
      </w:pPr>
      <w:r>
        <w:rPr>
          <w:rFonts w:hint="default" w:cs="Times New Roman"/>
          <w:b w:val="0"/>
          <w:bCs w:val="0"/>
          <w:color w:val="000000"/>
          <w:kern w:val="24"/>
          <w:sz w:val="24"/>
          <w:szCs w:val="24"/>
          <w:highlight w:val="none"/>
          <w:lang w:val="en-US" w:eastAsia="zh-CN"/>
        </w:rPr>
        <w:drawing>
          <wp:inline distT="0" distB="0" distL="114300" distR="114300">
            <wp:extent cx="5273675" cy="1793240"/>
            <wp:effectExtent l="0" t="0" r="5080" b="9525"/>
            <wp:docPr id="2" name="图片 2"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2"/>
                    <pic:cNvPicPr>
                      <a:picLocks noChangeAspect="1"/>
                    </pic:cNvPicPr>
                  </pic:nvPicPr>
                  <pic:blipFill>
                    <a:blip r:embed="rId5"/>
                    <a:stretch>
                      <a:fillRect/>
                    </a:stretch>
                  </pic:blipFill>
                  <pic:spPr>
                    <a:xfrm>
                      <a:off x="0" y="0"/>
                      <a:ext cx="5273675" cy="1793240"/>
                    </a:xfrm>
                    <a:prstGeom prst="rect">
                      <a:avLst/>
                    </a:prstGeom>
                  </pic:spPr>
                </pic:pic>
              </a:graphicData>
            </a:graphic>
          </wp:inline>
        </w:drawing>
      </w:r>
    </w:p>
    <w:p>
      <w:pPr>
        <w:numPr>
          <w:ilvl w:val="0"/>
          <w:numId w:val="0"/>
        </w:numPr>
        <w:spacing w:before="93" w:beforeLines="30" w:after="93" w:afterLines="30" w:line="480" w:lineRule="auto"/>
        <w:rPr>
          <w:rFonts w:hint="default" w:cs="Times New Roman"/>
          <w:b w:val="0"/>
          <w:bCs w:val="0"/>
          <w:color w:val="000000"/>
          <w:kern w:val="24"/>
          <w:sz w:val="24"/>
          <w:szCs w:val="24"/>
          <w:highlight w:val="none"/>
          <w:lang w:val="en-US" w:eastAsia="zh-CN"/>
        </w:rPr>
      </w:pPr>
      <w:r>
        <w:rPr>
          <w:rFonts w:hint="default" w:cs="Times New Roman"/>
          <w:b/>
          <w:bCs/>
          <w:color w:val="000000"/>
          <w:kern w:val="24"/>
          <w:sz w:val="24"/>
          <w:szCs w:val="24"/>
          <w:highlight w:val="none"/>
          <w:lang w:val="en-US" w:eastAsia="zh-CN"/>
        </w:rPr>
        <w:t xml:space="preserve">Figure S2. The nomogram model has high predictive consistency. </w:t>
      </w:r>
      <w:r>
        <w:rPr>
          <w:rFonts w:hint="default" w:cs="Times New Roman"/>
          <w:b w:val="0"/>
          <w:bCs w:val="0"/>
          <w:color w:val="000000"/>
          <w:kern w:val="24"/>
          <w:sz w:val="24"/>
          <w:szCs w:val="24"/>
          <w:highlight w:val="none"/>
          <w:lang w:val="en-US" w:eastAsia="zh-CN"/>
        </w:rPr>
        <w:t>(A-C) Draw calibration plot to verify the accuracy of the nomogram model in predicting 1-, 3-, and 5-year survival rates.</w:t>
      </w:r>
    </w:p>
    <w:p>
      <w:pPr>
        <w:numPr>
          <w:ilvl w:val="0"/>
          <w:numId w:val="0"/>
        </w:numPr>
        <w:spacing w:before="93" w:beforeLines="30" w:after="93" w:afterLines="30" w:line="480" w:lineRule="auto"/>
        <w:rPr>
          <w:rFonts w:hint="default" w:cs="Times New Roman"/>
          <w:b w:val="0"/>
          <w:bCs w:val="0"/>
          <w:color w:val="000000"/>
          <w:kern w:val="24"/>
          <w:sz w:val="24"/>
          <w:szCs w:val="24"/>
          <w:highlight w:val="none"/>
          <w:lang w:val="en-US" w:eastAsia="zh-CN"/>
        </w:rPr>
      </w:pPr>
      <w:r>
        <w:rPr>
          <w:rFonts w:hint="default" w:cs="Times New Roman"/>
          <w:b w:val="0"/>
          <w:bCs w:val="0"/>
          <w:color w:val="000000"/>
          <w:kern w:val="24"/>
          <w:sz w:val="24"/>
          <w:szCs w:val="24"/>
          <w:highlight w:val="none"/>
          <w:lang w:val="en-US" w:eastAsia="zh-CN"/>
        </w:rPr>
        <w:drawing>
          <wp:inline distT="0" distB="0" distL="114300" distR="114300">
            <wp:extent cx="5273675" cy="6054090"/>
            <wp:effectExtent l="0" t="0" r="5080" b="1905"/>
            <wp:docPr id="6" name="图片 6"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3"/>
                    <pic:cNvPicPr>
                      <a:picLocks noChangeAspect="1"/>
                    </pic:cNvPicPr>
                  </pic:nvPicPr>
                  <pic:blipFill>
                    <a:blip r:embed="rId6"/>
                    <a:stretch>
                      <a:fillRect/>
                    </a:stretch>
                  </pic:blipFill>
                  <pic:spPr>
                    <a:xfrm>
                      <a:off x="0" y="0"/>
                      <a:ext cx="5273675" cy="605409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before="93" w:beforeLines="30" w:after="93" w:afterLines="30" w:line="480" w:lineRule="auto"/>
        <w:textAlignment w:val="auto"/>
        <w:rPr>
          <w:rFonts w:hint="eastAsia" w:cs="Times New Roman"/>
          <w:b w:val="0"/>
          <w:bCs w:val="0"/>
          <w:color w:val="000000"/>
          <w:kern w:val="24"/>
          <w:sz w:val="24"/>
          <w:szCs w:val="24"/>
          <w:highlight w:val="none"/>
          <w:lang w:val="en-US" w:eastAsia="zh-CN"/>
        </w:rPr>
      </w:pPr>
      <w:r>
        <w:rPr>
          <w:rFonts w:hint="default" w:cs="Times New Roman"/>
          <w:b/>
          <w:bCs/>
          <w:color w:val="000000"/>
          <w:kern w:val="24"/>
          <w:sz w:val="24"/>
          <w:szCs w:val="24"/>
          <w:highlight w:val="none"/>
          <w:lang w:val="en-US" w:eastAsia="zh-CN"/>
        </w:rPr>
        <w:t xml:space="preserve">Figure S3. The value of four hub genes in predicting OS in LUAD. </w:t>
      </w:r>
      <w:r>
        <w:rPr>
          <w:rFonts w:hint="default" w:cs="Times New Roman"/>
          <w:b w:val="0"/>
          <w:bCs w:val="0"/>
          <w:color w:val="000000"/>
          <w:kern w:val="24"/>
          <w:sz w:val="24"/>
          <w:szCs w:val="24"/>
          <w:highlight w:val="none"/>
          <w:lang w:val="en-US" w:eastAsia="zh-CN"/>
        </w:rPr>
        <w:t>(A-D) Based on the LUAD cohort of TCGA database, analyze the expression differences of four hub genes in LUAD and normal lung tissues. (E-H) The prognostic differences of four hub genes in LUAD patients with EGFR mutation. (I) Immunohistochemistry showed the expression levels of PSMD11 and G3BP1 in normal lung and LUAD tissues through HPA database.</w:t>
      </w:r>
      <w:r>
        <w:rPr>
          <w:rFonts w:hint="eastAsia" w:cs="Times New Roman"/>
          <w:b w:val="0"/>
          <w:bCs w:val="0"/>
          <w:color w:val="000000"/>
          <w:kern w:val="24"/>
          <w:sz w:val="24"/>
          <w:szCs w:val="24"/>
          <w:highlight w:val="none"/>
          <w:lang w:val="en-US" w:eastAsia="zh-CN"/>
        </w:rPr>
        <w:t xml:space="preserve"> (J) PSMD11 immunohistochemical staining of a 160 spot LUAD tissue microarray. (K, L) The protein expression of PSMD11 in LUAD samples of different clinical stages (magnification: 400x) was shown by histogram.</w:t>
      </w:r>
    </w:p>
    <w:p>
      <w:pPr>
        <w:keepNext w:val="0"/>
        <w:keepLines w:val="0"/>
        <w:pageBreakBefore w:val="0"/>
        <w:widowControl w:val="0"/>
        <w:numPr>
          <w:ilvl w:val="0"/>
          <w:numId w:val="0"/>
        </w:numPr>
        <w:kinsoku/>
        <w:wordWrap/>
        <w:overflowPunct/>
        <w:topLinePunct w:val="0"/>
        <w:autoSpaceDE/>
        <w:autoSpaceDN/>
        <w:bidi w:val="0"/>
        <w:adjustRightInd/>
        <w:snapToGrid/>
        <w:spacing w:before="93" w:beforeLines="30" w:after="93" w:afterLines="30" w:line="480" w:lineRule="auto"/>
        <w:textAlignment w:val="auto"/>
        <w:rPr>
          <w:rFonts w:hint="default" w:cs="Times New Roman"/>
          <w:b w:val="0"/>
          <w:bCs w:val="0"/>
          <w:color w:val="000000"/>
          <w:kern w:val="24"/>
          <w:sz w:val="24"/>
          <w:szCs w:val="24"/>
          <w:highlight w:val="none"/>
          <w:lang w:val="en-US" w:eastAsia="zh-CN"/>
        </w:rPr>
      </w:pP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before="93" w:beforeLines="30" w:after="93" w:afterLines="30" w:line="480" w:lineRule="auto"/>
        <w:textAlignment w:val="auto"/>
        <w:rPr>
          <w:rFonts w:hint="default" w:cs="Times New Roman"/>
          <w:b w:val="0"/>
          <w:bCs w:val="0"/>
          <w:color w:val="000000"/>
          <w:kern w:val="24"/>
          <w:sz w:val="24"/>
          <w:szCs w:val="24"/>
          <w:highlight w:val="none"/>
          <w:lang w:val="en-US" w:eastAsia="zh-CN"/>
        </w:rPr>
      </w:pPr>
      <w:r>
        <w:rPr>
          <w:rFonts w:hint="default" w:cs="Times New Roman"/>
          <w:b w:val="0"/>
          <w:bCs w:val="0"/>
          <w:color w:val="000000"/>
          <w:kern w:val="24"/>
          <w:sz w:val="24"/>
          <w:szCs w:val="24"/>
          <w:highlight w:val="none"/>
          <w:lang w:val="en-US" w:eastAsia="zh-CN"/>
        </w:rPr>
        <w:drawing>
          <wp:inline distT="0" distB="0" distL="114300" distR="114300">
            <wp:extent cx="5273675" cy="5091430"/>
            <wp:effectExtent l="0" t="0" r="5080" b="3810"/>
            <wp:docPr id="4" name="图片 4"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4"/>
                    <pic:cNvPicPr>
                      <a:picLocks noChangeAspect="1"/>
                    </pic:cNvPicPr>
                  </pic:nvPicPr>
                  <pic:blipFill>
                    <a:blip r:embed="rId7"/>
                    <a:stretch>
                      <a:fillRect/>
                    </a:stretch>
                  </pic:blipFill>
                  <pic:spPr>
                    <a:xfrm>
                      <a:off x="0" y="0"/>
                      <a:ext cx="5273675" cy="5091430"/>
                    </a:xfrm>
                    <a:prstGeom prst="rect">
                      <a:avLst/>
                    </a:prstGeom>
                  </pic:spPr>
                </pic:pic>
              </a:graphicData>
            </a:graphic>
          </wp:inline>
        </w:drawing>
      </w:r>
    </w:p>
    <w:p>
      <w:pPr>
        <w:numPr>
          <w:ilvl w:val="0"/>
          <w:numId w:val="0"/>
        </w:numPr>
        <w:spacing w:before="93" w:beforeLines="30" w:after="93" w:afterLines="30" w:line="480" w:lineRule="auto"/>
        <w:rPr>
          <w:rFonts w:hint="default" w:cs="Times New Roman"/>
          <w:b w:val="0"/>
          <w:bCs w:val="0"/>
          <w:color w:val="000000"/>
          <w:kern w:val="24"/>
          <w:sz w:val="24"/>
          <w:szCs w:val="24"/>
          <w:highlight w:val="none"/>
          <w:lang w:val="en-US" w:eastAsia="zh-CN"/>
        </w:rPr>
      </w:pPr>
      <w:r>
        <w:rPr>
          <w:rFonts w:hint="default" w:cs="Times New Roman"/>
          <w:b/>
          <w:bCs/>
          <w:color w:val="000000"/>
          <w:kern w:val="24"/>
          <w:sz w:val="24"/>
          <w:szCs w:val="24"/>
          <w:highlight w:val="none"/>
          <w:lang w:val="en-US" w:eastAsia="zh-CN"/>
        </w:rPr>
        <w:t xml:space="preserve">Figure S4. The correlation between PSMD11 and infiltrating immune cells and immune related molecules. </w:t>
      </w:r>
      <w:r>
        <w:rPr>
          <w:rFonts w:hint="default" w:cs="Times New Roman"/>
          <w:b w:val="0"/>
          <w:bCs w:val="0"/>
          <w:color w:val="000000"/>
          <w:kern w:val="24"/>
          <w:sz w:val="24"/>
          <w:szCs w:val="24"/>
          <w:highlight w:val="none"/>
          <w:lang w:val="en-US" w:eastAsia="zh-CN"/>
        </w:rPr>
        <w:t>(A-B) The expression of PSMD11 was positively correlated with the propotion of M0/M1 macrophages. (C-F) The expression of PSMD11 was negatively correlated with the propotion of monocytes, memory B cells, resting dendritic cells, and resting mast cells. (G-I) The expression of PSMD11 is positively correlated with immune related molecules HLA-A, HLA-B, and PD-1.</w:t>
      </w:r>
    </w:p>
    <w:p>
      <w:pPr>
        <w:numPr>
          <w:ilvl w:val="0"/>
          <w:numId w:val="0"/>
        </w:numPr>
        <w:spacing w:before="93" w:beforeLines="30" w:after="93" w:afterLines="30" w:line="480" w:lineRule="auto"/>
        <w:rPr>
          <w:rFonts w:hint="default" w:cs="Times New Roman"/>
          <w:b/>
          <w:bCs/>
          <w:color w:val="000000"/>
          <w:kern w:val="24"/>
          <w:sz w:val="24"/>
          <w:szCs w:val="24"/>
          <w:highlight w:val="none"/>
          <w:lang w:val="en-US" w:eastAsia="zh-CN"/>
        </w:rPr>
      </w:pPr>
      <w:r>
        <w:rPr>
          <w:rFonts w:hint="default" w:cs="Times New Roman"/>
          <w:b/>
          <w:bCs/>
          <w:color w:val="000000"/>
          <w:kern w:val="24"/>
          <w:sz w:val="24"/>
          <w:szCs w:val="24"/>
          <w:highlight w:val="none"/>
          <w:lang w:val="en-US" w:eastAsia="zh-CN"/>
        </w:rPr>
        <w:drawing>
          <wp:inline distT="0" distB="0" distL="114300" distR="114300">
            <wp:extent cx="5269865" cy="3714115"/>
            <wp:effectExtent l="0" t="0" r="8890" b="10160"/>
            <wp:docPr id="5" name="图片 5"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5"/>
                    <pic:cNvPicPr>
                      <a:picLocks noChangeAspect="1"/>
                    </pic:cNvPicPr>
                  </pic:nvPicPr>
                  <pic:blipFill>
                    <a:blip r:embed="rId8"/>
                    <a:stretch>
                      <a:fillRect/>
                    </a:stretch>
                  </pic:blipFill>
                  <pic:spPr>
                    <a:xfrm>
                      <a:off x="0" y="0"/>
                      <a:ext cx="5269865" cy="3714115"/>
                    </a:xfrm>
                    <a:prstGeom prst="rect">
                      <a:avLst/>
                    </a:prstGeom>
                  </pic:spPr>
                </pic:pic>
              </a:graphicData>
            </a:graphic>
          </wp:inline>
        </w:drawing>
      </w:r>
    </w:p>
    <w:p>
      <w:pPr>
        <w:numPr>
          <w:ilvl w:val="0"/>
          <w:numId w:val="0"/>
        </w:numPr>
        <w:spacing w:before="93" w:beforeLines="30" w:after="93" w:afterLines="30" w:line="480" w:lineRule="auto"/>
        <w:rPr>
          <w:rFonts w:hint="default" w:cs="Times New Roman"/>
          <w:b w:val="0"/>
          <w:bCs w:val="0"/>
          <w:color w:val="000000"/>
          <w:kern w:val="24"/>
          <w:sz w:val="24"/>
          <w:szCs w:val="24"/>
          <w:highlight w:val="none"/>
          <w:lang w:val="en-US" w:eastAsia="zh-CN"/>
        </w:rPr>
      </w:pPr>
      <w:r>
        <w:rPr>
          <w:rFonts w:hint="default" w:cs="Times New Roman"/>
          <w:b/>
          <w:bCs/>
          <w:color w:val="000000"/>
          <w:kern w:val="24"/>
          <w:sz w:val="24"/>
          <w:szCs w:val="24"/>
          <w:highlight w:val="none"/>
          <w:lang w:val="en-US" w:eastAsia="zh-CN"/>
        </w:rPr>
        <w:t xml:space="preserve">Figure S5. Knocking down PSMD11 in OSI-resistant cells could inhibit cell proliferation and promote cell apoptosis. </w:t>
      </w:r>
      <w:r>
        <w:rPr>
          <w:rFonts w:hint="default" w:cs="Times New Roman"/>
          <w:b w:val="0"/>
          <w:bCs w:val="0"/>
          <w:color w:val="000000"/>
          <w:kern w:val="24"/>
          <w:sz w:val="24"/>
          <w:szCs w:val="24"/>
          <w:highlight w:val="none"/>
          <w:lang w:val="en-US" w:eastAsia="zh-CN"/>
        </w:rPr>
        <w:t>(A) Western blot was used to detect the protein expression of PSMD11 in OSI-sensitive cells (PC9, H1975) and OSI-resistant cells (PC9OR, H1975OR). (B) Colony formation assay was used to detect the cell proliferation of PC9, PC9OR, H1975, and H1975OR cells treated with six different concentrations of OSI. (C) Flow cytometry was used to detect the apoptosis of PC9, PC9OR, H1975, and H1975OR cells treated with three different concentrations of OSI. (D) Colony formation assay was used to detect the effects of individual or combined treatment with PSMD11-siRNA and OSI on the cell proliferation of PC9OR and H1975OR cells. OSI: osimertinib.</w:t>
      </w:r>
    </w:p>
    <w:p>
      <w:pPr>
        <w:spacing w:line="48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iZjcxY2U4NDA3OGY0ZGIyMmNjZTE5YzQ3NjBjOGUifQ=="/>
  </w:docVars>
  <w:rsids>
    <w:rsidRoot w:val="00000000"/>
    <w:rsid w:val="0F4B669A"/>
    <w:rsid w:val="11046ADF"/>
    <w:rsid w:val="13CA384D"/>
    <w:rsid w:val="1CFB2DD9"/>
    <w:rsid w:val="25DF166B"/>
    <w:rsid w:val="3DF54B15"/>
    <w:rsid w:val="42BC4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332</Words>
  <Characters>1827</Characters>
  <Lines>0</Lines>
  <Paragraphs>0</Paragraphs>
  <TotalTime>7</TotalTime>
  <ScaleCrop>false</ScaleCrop>
  <LinksUpToDate>false</LinksUpToDate>
  <CharactersWithSpaces>2153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2023-09-28T01:10:00Z</dcterms:created>
  <dc:creator>10634</dc:creator>
  <cp:lastModifiedBy>圆圆的荷包蛋</cp:lastModifiedBy>
  <dcterms:modified xsi:type="dcterms:W3CDTF">2024-05-13T08:39:41Z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D27DF131AD8842598EB64A75D7DA94E4_12</vt:lpwstr>
  </property>
</Properties>
</file>