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rFonts w:hint="eastAsia"/>
        </w:rPr>
        <w:t>Supplemental materials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rFonts w:hint="eastAsia"/>
        </w:rPr>
        <w:t>S</w:t>
      </w:r>
      <w:r>
        <w:t>upplemental Figures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drawing>
                <wp:inline distT="0" distB="0" distL="0" distR="0">
                  <wp:extent cx="4171950" cy="2926080"/>
                  <wp:effectExtent l="0" t="0" r="0" b="7620"/>
                  <wp:docPr id="2536767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6767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2993" cy="295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  <w:r>
              <w:rPr>
                <w:b/>
                <w:bCs/>
              </w:rPr>
              <w:t>Supplemental Figure 1</w:t>
            </w:r>
            <w:r>
              <w:t xml:space="preserve">: PCA of multiple types of gene expression matrix for batch removal on merge data cohort (LIHC-US and LIRI-JP). </w:t>
            </w:r>
            <w:r>
              <w:rPr>
                <w:b/>
                <w:bCs/>
              </w:rPr>
              <w:t>A</w:t>
            </w:r>
            <w:r>
              <w:t xml:space="preserve">. PCA of raw gene expression matrix. </w:t>
            </w:r>
            <w:r>
              <w:rPr>
                <w:b/>
                <w:bCs/>
              </w:rPr>
              <w:t>B</w:t>
            </w:r>
            <w:r>
              <w:t xml:space="preserve">. PCA of adjusted gene expression matrix by ComBat function from sva (version 3.50.0) R package. </w:t>
            </w:r>
            <w:r>
              <w:rPr>
                <w:b/>
                <w:bCs/>
              </w:rPr>
              <w:t>C</w:t>
            </w:r>
            <w:r>
              <w:t xml:space="preserve">. PCA of adjusted gene expression matrix by removeBatchEffect function from limma (version 3.58.1) R package. </w:t>
            </w:r>
            <w:r>
              <w:rPr>
                <w:b/>
                <w:bCs/>
              </w:rPr>
              <w:t>D</w:t>
            </w:r>
            <w:r>
              <w:t xml:space="preserve">. PCA of adjusted gene expression matrix through VOOM and SNM function from limma (version </w:t>
            </w:r>
            <w:r>
              <w:rPr>
                <w:rFonts w:hint="eastAsia"/>
              </w:rPr>
              <w:t>3.58.11</w:t>
            </w:r>
            <w:r>
              <w:t>) and SNM (version 1.50.0) R package. Dark green represents the HCC early-stage samples and light purple represents the HCC late-stage samples.</w:t>
            </w:r>
          </w:p>
        </w:tc>
      </w:tr>
    </w:tbl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  <w:r>
              <w:drawing>
                <wp:inline distT="0" distB="0" distL="0" distR="0">
                  <wp:extent cx="5429250" cy="2448560"/>
                  <wp:effectExtent l="0" t="0" r="0" b="8890"/>
                  <wp:docPr id="4198011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011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789" cy="245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  <w:r>
              <w:rPr>
                <w:b/>
                <w:bCs/>
              </w:rPr>
              <w:t>Supplemental Figure 2</w:t>
            </w:r>
            <w:r>
              <w:t>: GSVA enrichment analysis of gene expression matrix between the HCC early stage and late stage in merge data.</w:t>
            </w:r>
          </w:p>
        </w:tc>
      </w:tr>
    </w:tbl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/>
    <w:p/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drawing>
                <wp:inline distT="0" distB="0" distL="0" distR="0">
                  <wp:extent cx="3891915" cy="3333750"/>
                  <wp:effectExtent l="0" t="0" r="13335" b="0"/>
                  <wp:docPr id="21266907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6907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9456" cy="3357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  <w:r>
              <w:rPr>
                <w:b/>
                <w:bCs/>
              </w:rPr>
              <w:t>Supplemental Figure 3</w:t>
            </w:r>
            <w:r>
              <w:t xml:space="preserve">: Machine learning algorithms to screen potential diagnostic markers from DEGs between the HCC early stage and late stage in merge data. </w:t>
            </w:r>
            <w:r>
              <w:rPr>
                <w:b/>
                <w:bCs/>
              </w:rPr>
              <w:t>A</w:t>
            </w:r>
            <w:r>
              <w:t xml:space="preserve">. LASSO logistic regression found 20 biomarkers. </w:t>
            </w:r>
            <w:r>
              <w:rPr>
                <w:b/>
                <w:bCs/>
              </w:rPr>
              <w:t>B</w:t>
            </w:r>
            <w:r>
              <w:t>. The performance of LASSO logistic regression diagnostic model built by 20 biomarkers.</w:t>
            </w:r>
            <w:r>
              <w:rPr>
                <w:b/>
                <w:bCs/>
              </w:rPr>
              <w:t xml:space="preserve"> C</w:t>
            </w:r>
            <w:r>
              <w:t xml:space="preserve">. The coefficient of 20 biomarkers in LASSO logistic regression. </w:t>
            </w:r>
            <w:r>
              <w:rPr>
                <w:b/>
                <w:bCs/>
              </w:rPr>
              <w:t>D</w:t>
            </w:r>
            <w:r>
              <w:t xml:space="preserve">. 39 biomarkers were identified by Boruta and random forest. </w:t>
            </w:r>
            <w:r>
              <w:rPr>
                <w:b/>
                <w:bCs/>
              </w:rPr>
              <w:t>E</w:t>
            </w:r>
            <w:r>
              <w:t>. The performance of random forest diagnostic model built by 39 biomarkers.</w:t>
            </w:r>
            <w:r>
              <w:rPr>
                <w:b/>
                <w:bCs/>
              </w:rPr>
              <w:t xml:space="preserve"> F</w:t>
            </w:r>
            <w:r>
              <w:t xml:space="preserve">. The importance scores of 39 biomarkers in random forest. </w:t>
            </w:r>
            <w:r>
              <w:rPr>
                <w:b/>
                <w:bCs/>
              </w:rPr>
              <w:t>G</w:t>
            </w:r>
            <w:r>
              <w:t xml:space="preserve">. 41 biomarkers were identified by Recursive Feature Elimination feature selection. </w:t>
            </w:r>
            <w:r>
              <w:rPr>
                <w:b/>
                <w:bCs/>
              </w:rPr>
              <w:t>H</w:t>
            </w:r>
            <w:r>
              <w:t>. The performance of SVM diagnostic model built by 41 biomarkers.</w:t>
            </w:r>
          </w:p>
        </w:tc>
      </w:tr>
    </w:tbl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  <w:r>
              <w:drawing>
                <wp:inline distT="0" distB="0" distL="0" distR="0">
                  <wp:extent cx="5938520" cy="2457450"/>
                  <wp:effectExtent l="0" t="0" r="5080" b="0"/>
                  <wp:docPr id="5895167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5167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636" cy="247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  <w:r>
              <w:rPr>
                <w:b/>
                <w:bCs/>
                <w:color w:val="auto"/>
              </w:rPr>
              <w:t>Supplemental Figure 4</w:t>
            </w:r>
            <w:r>
              <w:rPr>
                <w:color w:val="auto"/>
              </w:rPr>
              <w:t xml:space="preserve">: 10 overlapping genes screened from machine learning algorithms were validated in the validation cohort. </w:t>
            </w:r>
            <w:r>
              <w:rPr>
                <w:b/>
                <w:bCs/>
                <w:color w:val="auto"/>
              </w:rPr>
              <w:t>A</w:t>
            </w:r>
            <w:r>
              <w:rPr>
                <w:color w:val="auto"/>
              </w:rPr>
              <w:t xml:space="preserve">. The expression level of overlapping genes </w:t>
            </w:r>
            <w:r>
              <w:rPr>
                <w:i/>
                <w:iCs/>
                <w:color w:val="auto"/>
              </w:rPr>
              <w:t>SLC6A8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FTCD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CYP2C9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ANGPT2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ENO1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CNGA1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KCNJ15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SLC39A4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ETV1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</w:t>
            </w:r>
            <w:r>
              <w:rPr>
                <w:color w:val="auto"/>
              </w:rPr>
              <w:t xml:space="preserve">and </w:t>
            </w:r>
            <w:r>
              <w:rPr>
                <w:i/>
                <w:iCs/>
                <w:color w:val="auto"/>
              </w:rPr>
              <w:t xml:space="preserve">ACSL6 </w:t>
            </w:r>
            <w:r>
              <w:rPr>
                <w:color w:val="auto"/>
              </w:rPr>
              <w:t>between the HCC early stage and the HCC late stage in the merge dataset, respectively.</w:t>
            </w:r>
            <w:r>
              <w:rPr>
                <w:b/>
                <w:bCs/>
                <w:color w:val="auto"/>
              </w:rPr>
              <w:t xml:space="preserve"> B</w:t>
            </w:r>
            <w:r>
              <w:rPr>
                <w:color w:val="auto"/>
              </w:rPr>
              <w:t xml:space="preserve">. The expression level of overlapping genes </w:t>
            </w:r>
            <w:r>
              <w:rPr>
                <w:i/>
                <w:iCs/>
                <w:color w:val="auto"/>
              </w:rPr>
              <w:t>SLC6A8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FTCD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CYP2C9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ANGPT2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ENO1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CNGA1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KCNJ15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SLC39A4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ETV1</w:t>
            </w:r>
            <w:r>
              <w:rPr>
                <w:color w:val="auto"/>
              </w:rPr>
              <w:t>,</w:t>
            </w:r>
            <w:r>
              <w:rPr>
                <w:i/>
                <w:iCs/>
                <w:color w:val="auto"/>
              </w:rPr>
              <w:t xml:space="preserve"> </w:t>
            </w:r>
            <w:r>
              <w:rPr>
                <w:color w:val="auto"/>
              </w:rPr>
              <w:t xml:space="preserve">and </w:t>
            </w:r>
            <w:r>
              <w:rPr>
                <w:i/>
                <w:iCs/>
                <w:color w:val="auto"/>
              </w:rPr>
              <w:t xml:space="preserve">ACSL6 </w:t>
            </w:r>
            <w:r>
              <w:rPr>
                <w:color w:val="auto"/>
              </w:rPr>
              <w:t>between the HCC early stage and the HCC late stage in the validation GSE14520 dataset, respectively.</w:t>
            </w:r>
          </w:p>
        </w:tc>
      </w:tr>
    </w:tbl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drawing>
                <wp:inline distT="0" distB="0" distL="0" distR="0">
                  <wp:extent cx="3448050" cy="3783965"/>
                  <wp:effectExtent l="0" t="0" r="0" b="6985"/>
                  <wp:docPr id="527439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4397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667" cy="3801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  <w:r>
              <w:rPr>
                <w:b/>
                <w:bCs/>
              </w:rPr>
              <w:t>Supplemental Figure 5</w:t>
            </w:r>
            <w:r>
              <w:t xml:space="preserve">: Correlation between </w:t>
            </w:r>
            <w:r>
              <w:rPr>
                <w:i/>
                <w:iCs/>
              </w:rPr>
              <w:t xml:space="preserve">SLC6A8 </w:t>
            </w:r>
            <w:r>
              <w:t xml:space="preserve">and 12 immune cells. </w:t>
            </w:r>
            <w:r>
              <w:rPr>
                <w:b/>
                <w:bCs/>
              </w:rPr>
              <w:t>A-B</w:t>
            </w:r>
            <w:r>
              <w:t xml:space="preserve">. Scatter plots of correlation between </w:t>
            </w:r>
            <w:r>
              <w:rPr>
                <w:i/>
                <w:iCs/>
              </w:rPr>
              <w:t xml:space="preserve">SLC6A8 </w:t>
            </w:r>
            <w:r>
              <w:t>expression and different immune cell contents, Exhausted, NKT, nTreg, CD4 naïve, Cytotoxic, CD8 T, B cell, Tr1, NK, Monocyte, Neutrophil, and Th17.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rFonts w:hint="eastAsia"/>
        </w:rPr>
        <w:t>S</w:t>
      </w:r>
      <w:r>
        <w:t>upplemental Tables</w:t>
      </w: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Supplemental Table 1: Clinicopathologic characteristics of patients.</w:t>
      </w:r>
    </w:p>
    <w:tbl>
      <w:tblPr>
        <w:tblStyle w:val="6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1626"/>
        <w:gridCol w:w="1634"/>
        <w:gridCol w:w="1636"/>
        <w:gridCol w:w="1457"/>
        <w:gridCol w:w="159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697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853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LIRI-JP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(N = 231)</w:t>
            </w:r>
          </w:p>
        </w:tc>
        <w:tc>
          <w:tcPr>
            <w:tcW w:w="854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TCGA-LIHC 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(N = 344)</w:t>
            </w:r>
          </w:p>
        </w:tc>
        <w:tc>
          <w:tcPr>
            <w:tcW w:w="76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GSE14520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(N = 218)</w:t>
            </w:r>
          </w:p>
        </w:tc>
        <w:tc>
          <w:tcPr>
            <w:tcW w:w="832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GSE149614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(N = 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Age (years)</w:t>
            </w:r>
          </w:p>
        </w:tc>
        <w:tc>
          <w:tcPr>
            <w:tcW w:w="84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4" w:type="pct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1" w:type="pct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32" w:type="pct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Age (years)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69 (62, 74)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61 (51, 68)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 (44, 58)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64 (55, 65)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abs>
                <w:tab w:val="left" w:pos="408"/>
              </w:tabs>
              <w:jc w:val="left"/>
              <w:rPr>
                <w:rFonts w:hint="default" w:ascii="Times New Roman" w:hAnsi="Times New Roman" w:eastAsia="宋体" w:cs="Times New Roman"/>
                <w:b/>
                <w:bCs/>
                <w:color w:val="1F1F1F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1F1F1F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1F1F1F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both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Gender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female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61 (26%)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110 (32%)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30 (14%)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 (10%)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male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170 (74%)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234 (68%)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188 (86%)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 (90%)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Group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Early Stage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141 (61%)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256 (74%)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170 (78%)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 (40%)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Late Stage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90 (39%)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88 (26%)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48 (22%)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 (60%)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Tumor Stage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T1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36 (16%)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170 (49%)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93 (43%)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 (30%)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T2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105 (45%)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86 (25%)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77 (35%)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 (10%)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T3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71 (31%)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83 (24%)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48 (22%)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 (20%)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T4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19 (8.2%)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 (1.5%)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 (0%)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 (40%)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Dataset Type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Discovery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231 (100%)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344 (100%)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 (0%)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 (0%)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color w:val="1F1F1F"/>
                <w:sz w:val="24"/>
                <w:szCs w:val="24"/>
              </w:rPr>
              <w:t>Validation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 (0%)</w:t>
            </w:r>
          </w:p>
        </w:tc>
        <w:tc>
          <w:tcPr>
            <w:tcW w:w="854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 (0%)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218 (100%)</w:t>
            </w: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 (100%)</w:t>
            </w:r>
          </w:p>
        </w:tc>
      </w:tr>
    </w:tbl>
    <w:p>
      <w:pPr>
        <w:pStyle w:val="4"/>
        <w:widowControl/>
        <w:spacing w:beforeAutospacing="0" w:after="240" w:afterAutospacing="0"/>
        <w:rPr>
          <w:rFonts w:hint="default" w:ascii="Times New Roman" w:hAnsi="Times New Roman" w:eastAsia="Georgia" w:cs="Times New Roman"/>
          <w:b/>
          <w:bCs/>
          <w:color w:val="2E2E2E"/>
          <w:sz w:val="24"/>
          <w:szCs w:val="24"/>
        </w:rPr>
      </w:pPr>
    </w:p>
    <w:p>
      <w:pPr>
        <w:pStyle w:val="4"/>
        <w:widowControl/>
        <w:spacing w:beforeAutospacing="0" w:after="240" w:afterAutospacing="0"/>
        <w:rPr>
          <w:rFonts w:hint="default" w:ascii="Times New Roman" w:hAnsi="Times New Roman" w:eastAsia="Georgia" w:cs="Times New Roman"/>
          <w:b/>
          <w:bCs/>
          <w:color w:val="2E2E2E"/>
          <w:sz w:val="24"/>
          <w:szCs w:val="24"/>
        </w:rPr>
      </w:pPr>
    </w:p>
    <w:p>
      <w:pPr>
        <w:pStyle w:val="4"/>
        <w:widowControl/>
        <w:spacing w:beforeAutospacing="0" w:after="240" w:afterAutospacing="0"/>
        <w:rPr>
          <w:rFonts w:hint="default" w:ascii="Times New Roman" w:hAnsi="Times New Roman" w:eastAsia="Georgia" w:cs="Times New Roman"/>
          <w:b/>
          <w:bCs/>
          <w:color w:val="2E2E2E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sz w:val="24"/>
          <w:szCs w:val="24"/>
        </w:rPr>
        <w:t>: Gene signature from feature selection by least absolute shrinkage and selection operator (LASSO) and logistic regression (LR).</w:t>
      </w:r>
    </w:p>
    <w:tbl>
      <w:tblPr>
        <w:tblStyle w:val="6"/>
        <w:tblW w:w="499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475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2514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Name</w:t>
            </w:r>
          </w:p>
        </w:tc>
        <w:tc>
          <w:tcPr>
            <w:tcW w:w="248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 Coefficient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SLC6A8</w:t>
            </w:r>
          </w:p>
        </w:tc>
        <w:tc>
          <w:tcPr>
            <w:tcW w:w="4235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0.047436726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FTCD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-0.023280924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CYP2C9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-0.081536246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ANGPT2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0.086855552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ENO1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0.031724872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RAMP3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-0.101691327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CNGA1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-0.001393845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AZGP1P1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-0.009962116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KCNJ15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0.212922829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CYP3A7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-0.01268626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SERPINA3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-0.017085184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SLC39A4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0.032329432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DNAH6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-0.002558978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ETV1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0.009360757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TNFSF14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-0.041135365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IFIT1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-0.02840627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PIGR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-0.024637568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ACSL6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-0.011459132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CCL19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-0.027386115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SERPINE1</w:t>
            </w:r>
          </w:p>
        </w:tc>
        <w:tc>
          <w:tcPr>
            <w:tcW w:w="42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0.009470971</w:t>
            </w:r>
          </w:p>
        </w:tc>
      </w:tr>
    </w:tbl>
    <w:p>
      <w:pPr>
        <w:pStyle w:val="4"/>
        <w:widowControl/>
        <w:spacing w:beforeAutospacing="0" w:after="240" w:afterAutospacing="0"/>
        <w:rPr>
          <w:rFonts w:hint="default" w:ascii="Times New Roman" w:hAnsi="Times New Roman" w:eastAsia="Georgia" w:cs="Times New Roman"/>
          <w:b/>
          <w:bCs/>
          <w:color w:val="2E2E2E"/>
          <w:sz w:val="24"/>
          <w:szCs w:val="24"/>
        </w:rPr>
      </w:pPr>
    </w:p>
    <w:p>
      <w:pPr>
        <w:pStyle w:val="4"/>
        <w:widowControl/>
        <w:spacing w:beforeAutospacing="0" w:after="240" w:afterAutospacing="0"/>
        <w:rPr>
          <w:rFonts w:hint="default" w:ascii="Times New Roman" w:hAnsi="Times New Roman" w:eastAsia="Georgia" w:cs="Times New Roman"/>
          <w:b/>
          <w:bCs/>
          <w:color w:val="2E2E2E"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sz w:val="24"/>
          <w:szCs w:val="24"/>
        </w:rPr>
        <w:t>: Gene markers from feature selection by Boruta and random forest (RF).</w:t>
      </w:r>
    </w:p>
    <w:tbl>
      <w:tblPr>
        <w:tblStyle w:val="6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75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2514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Name</w:t>
            </w:r>
          </w:p>
        </w:tc>
        <w:tc>
          <w:tcPr>
            <w:tcW w:w="248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LASSO Coefficient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SLC6A8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APOA2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GCNT3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LECT2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ANGPT2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ABCC2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FTCD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CNGA1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PFKP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CYP7A1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ENO1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SLC39A4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APOM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SAA1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PROC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LPCAT1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RGN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LOX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BCHE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ETV1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LBP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ITIH4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FCGBP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DNAH6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GLS2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KCNJ15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CFHR5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SERPINA6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EGLN3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CLIP2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HK2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GNMT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GPLD1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TMPRSS6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SLCO1B1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ACSL6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CYP2C9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SPP2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1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UPB1</w:t>
            </w:r>
          </w:p>
        </w:tc>
        <w:tc>
          <w:tcPr>
            <w:tcW w:w="248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1.51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</w:rPr>
        <w:t>: Gene markers from feature selection by Recursive Feature Elimination (RFE) and support vector machine (SVM).</w:t>
      </w:r>
    </w:p>
    <w:tbl>
      <w:tblPr>
        <w:tblStyle w:val="6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910"/>
        <w:gridCol w:w="1910"/>
        <w:gridCol w:w="1910"/>
        <w:gridCol w:w="191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719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Name</w:t>
            </w:r>
          </w:p>
        </w:tc>
        <w:tc>
          <w:tcPr>
            <w:tcW w:w="1700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Accuracy</w:t>
            </w:r>
          </w:p>
        </w:tc>
        <w:tc>
          <w:tcPr>
            <w:tcW w:w="1700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Kappa</w:t>
            </w:r>
          </w:p>
        </w:tc>
        <w:tc>
          <w:tcPr>
            <w:tcW w:w="1700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AccuracySD</w:t>
            </w:r>
          </w:p>
        </w:tc>
        <w:tc>
          <w:tcPr>
            <w:tcW w:w="1700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KappaSD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CYP7A1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CYP2C9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GCNT3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EGLN3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ITIH4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DUSP9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LBP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ACSL6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CNGA1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FTCD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APOM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IFIT1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SLC6A8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ADM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CUX2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SLCO2A1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PROC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NRCAM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F5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SLC39A4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GLS2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GNMT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BCHE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PFKP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APOA2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GPLD1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LECT2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TNFSF14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FST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ETV1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SLC6A9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KCNJ15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ENO1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ESM1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CYP3A7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0.683224933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0.116860206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0.035927159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0.097182934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MYOM1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0.566108996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0.01696109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0.06772342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0.138702244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ANGPT2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0.566108996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0.01696109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0.06772342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0.138702244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ABCC2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0.566108996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0.01696109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0.06772342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0.138702244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0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LOX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0.566108996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0.01696109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0.06772342</w:t>
            </w:r>
          </w:p>
        </w:tc>
        <w:tc>
          <w:tcPr>
            <w:tcW w:w="99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0.138702244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/>
    <w:sectPr>
      <w:pgSz w:w="12240" w:h="15840"/>
      <w:pgMar w:top="1440" w:right="1440" w:bottom="1440" w:left="1440" w:header="708" w:footer="708" w:gutter="0"/>
      <w:lnNumType w:countBy="0" w:restart="continuous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67E56A89"/>
    <w:rsid w:val="41F8770C"/>
    <w:rsid w:val="65686A32"/>
    <w:rsid w:val="67E56A89"/>
    <w:rsid w:val="6971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/>
      <w:outlineLvl w:val="1"/>
    </w:pPr>
    <w:rPr>
      <w:b/>
      <w:bCs/>
      <w:sz w:val="28"/>
      <w:szCs w:val="32"/>
    </w:rPr>
  </w:style>
  <w:style w:type="paragraph" w:styleId="3">
    <w:name w:val="heading 3"/>
    <w:basedOn w:val="1"/>
    <w:unhideWhenUsed/>
    <w:qFormat/>
    <w:uiPriority w:val="9"/>
    <w:pPr>
      <w:keepNext/>
      <w:keepLines/>
      <w:spacing w:before="40"/>
      <w:jc w:val="center"/>
      <w:outlineLvl w:val="2"/>
    </w:pPr>
    <w:rPr>
      <w:rFonts w:eastAsiaTheme="majorEastAsia" w:cstheme="majorBidi"/>
      <w:color w:val="1E386B" w:themeColor="accent1" w:themeShade="8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458</Words>
  <Characters>2663</Characters>
  <Lines>0</Lines>
  <Paragraphs>0</Paragraphs>
  <TotalTime>5</TotalTime>
  <ScaleCrop>false</ScaleCrop>
  <LinksUpToDate>false</LinksUpToDate>
  <CharactersWithSpaces>3106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2024-05-29T02:11:00Z</dcterms:created>
  <dc:creator>Shirley</dc:creator>
  <cp:lastModifiedBy>Shirley</cp:lastModifiedBy>
  <dcterms:modified xsi:type="dcterms:W3CDTF">2024-05-29T10:06:33Z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9AEDC4B6327344E9BD00C648E28733BB_11</vt:lpwstr>
  </property>
</Properties>
</file>