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A0160" w14:textId="77777777" w:rsidR="00094917" w:rsidRDefault="00094917" w:rsidP="005503F4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094917">
        <w:rPr>
          <w:rFonts w:ascii="Arial" w:hAnsi="Arial" w:cs="Arial"/>
          <w:b/>
          <w:bCs/>
        </w:rPr>
        <w:t>SUPPLEMENTAL FIGURES</w:t>
      </w:r>
    </w:p>
    <w:p w14:paraId="1D04BA53" w14:textId="77777777" w:rsidR="00094917" w:rsidRDefault="00094917" w:rsidP="005503F4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3C975B1B" w14:textId="77777777" w:rsidR="00094917" w:rsidRDefault="00094917" w:rsidP="005503F4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2311DDF4" w14:textId="596CC390" w:rsidR="00E61E46" w:rsidRDefault="00E61E46" w:rsidP="005503F4">
      <w:pPr>
        <w:pStyle w:val="NormalWeb"/>
        <w:spacing w:before="0" w:beforeAutospacing="0" w:after="0" w:afterAutospacing="0"/>
      </w:pPr>
      <w:r>
        <w:rPr>
          <w:noProof/>
        </w:rPr>
        <w:drawing>
          <wp:inline distT="0" distB="0" distL="0" distR="0" wp14:anchorId="00D123B5" wp14:editId="725395B1">
            <wp:extent cx="5943600" cy="1927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2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CA782" w14:textId="17A0F958" w:rsidR="00E61E46" w:rsidRPr="00E1479D" w:rsidRDefault="00E61E46" w:rsidP="005503F4">
      <w:pPr>
        <w:spacing w:after="0" w:line="240" w:lineRule="auto"/>
        <w:jc w:val="both"/>
      </w:pPr>
      <w:r>
        <w:rPr>
          <w:b/>
          <w:bCs/>
        </w:rPr>
        <w:t xml:space="preserve">Figure S1. </w:t>
      </w:r>
      <w:r w:rsidRPr="005503F4">
        <w:t>ATR kinase reconstitution.</w:t>
      </w:r>
      <w:r>
        <w:t xml:space="preserve"> </w:t>
      </w:r>
      <w:r w:rsidR="005503F4">
        <w:t>(</w:t>
      </w:r>
      <w:r>
        <w:t xml:space="preserve">A) Cartoon illustrating the proteins and DNA substrate used in this work to reconstitute ATR kinase activity. </w:t>
      </w:r>
      <w:r w:rsidR="005503F4">
        <w:t>(</w:t>
      </w:r>
      <w:r>
        <w:t>B) Protein gel</w:t>
      </w:r>
      <w:r w:rsidR="005503F4">
        <w:t>s</w:t>
      </w:r>
      <w:r>
        <w:t xml:space="preserve"> of the purified proteins used in this study. </w:t>
      </w:r>
      <w:r w:rsidR="005503F4">
        <w:t>(</w:t>
      </w:r>
      <w:r>
        <w:t>C) Representative western blot of</w:t>
      </w:r>
      <w:r w:rsidR="005503F4">
        <w:t xml:space="preserve"> ATR-dependent phosphorylation events upon</w:t>
      </w:r>
      <w:r>
        <w:t xml:space="preserve"> the titration of WT or R175H p53 into the reconstituted ATR reaction.</w:t>
      </w:r>
    </w:p>
    <w:p w14:paraId="6C3313FF" w14:textId="77777777" w:rsidR="00E61E46" w:rsidRDefault="00E61E46" w:rsidP="005503F4">
      <w:pPr>
        <w:spacing w:after="0" w:line="240" w:lineRule="auto"/>
      </w:pPr>
      <w:r>
        <w:br w:type="page"/>
      </w:r>
    </w:p>
    <w:p w14:paraId="27D49838" w14:textId="206F9B4C" w:rsidR="00094917" w:rsidRDefault="00094917" w:rsidP="00094917">
      <w:pPr>
        <w:pStyle w:val="NormalWeb"/>
      </w:pPr>
      <w:r>
        <w:rPr>
          <w:noProof/>
        </w:rPr>
        <w:lastRenderedPageBreak/>
        <w:drawing>
          <wp:inline distT="0" distB="0" distL="0" distR="0" wp14:anchorId="3FAE969B" wp14:editId="7D753C7C">
            <wp:extent cx="5943600" cy="376491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6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8C629" w14:textId="6E78753F" w:rsidR="00094917" w:rsidRDefault="00E61E46" w:rsidP="005503F4">
      <w:pPr>
        <w:spacing w:after="0" w:line="240" w:lineRule="auto"/>
        <w:jc w:val="both"/>
      </w:pPr>
      <w:r>
        <w:rPr>
          <w:b/>
          <w:bCs/>
        </w:rPr>
        <w:t xml:space="preserve">Figure S2. </w:t>
      </w:r>
      <w:r w:rsidRPr="007428B9">
        <w:t>Activation of ATR by Ac-RPA and sensitivity to RPA</w:t>
      </w:r>
      <w:r w:rsidR="0085169F">
        <w:t>-DB</w:t>
      </w:r>
      <w:r w:rsidRPr="007428B9">
        <w:t>i.</w:t>
      </w:r>
      <w:r>
        <w:t xml:space="preserve"> </w:t>
      </w:r>
      <w:r w:rsidR="007428B9">
        <w:t>(</w:t>
      </w:r>
      <w:r>
        <w:t>A) Identified Lys acetylation sites upon in vitro acetylation by p300</w:t>
      </w:r>
      <w:r w:rsidR="006433BE">
        <w:t xml:space="preserve"> (Ref 41 in main text)</w:t>
      </w:r>
      <w:r>
        <w:t xml:space="preserve">. </w:t>
      </w:r>
      <w:r w:rsidR="007428B9">
        <w:t>(</w:t>
      </w:r>
      <w:r>
        <w:t xml:space="preserve">B) </w:t>
      </w:r>
      <w:r w:rsidR="007428B9">
        <w:t>Representative e</w:t>
      </w:r>
      <w:r>
        <w:t xml:space="preserve">lectrophoretic mobility shift assay </w:t>
      </w:r>
      <w:r w:rsidR="007428B9">
        <w:t xml:space="preserve">of Um- or Ac-RPA binding to </w:t>
      </w:r>
      <w:r w:rsidR="007428B9">
        <w:rPr>
          <w:vertAlign w:val="superscript"/>
        </w:rPr>
        <w:t>32</w:t>
      </w:r>
      <w:r w:rsidR="007428B9">
        <w:t>P-labelled dT30 ssDNA. (C) Quantification from band intensities in panel B.</w:t>
      </w:r>
      <w:r>
        <w:t xml:space="preserve"> </w:t>
      </w:r>
      <w:r w:rsidR="007428B9">
        <w:t>(</w:t>
      </w:r>
      <w:r>
        <w:t xml:space="preserve">D) Quantification of p53 Ser15, </w:t>
      </w:r>
      <w:r w:rsidR="007428B9">
        <w:t>(</w:t>
      </w:r>
      <w:r>
        <w:t xml:space="preserve">E) RPA32 Ser33, and </w:t>
      </w:r>
      <w:r w:rsidR="007428B9">
        <w:t>(</w:t>
      </w:r>
      <w:r>
        <w:t xml:space="preserve">F) RPA32 Thr21 phosphorylation by ATR over time utilizing Um- or Ac-RPA from triplicate experiments (mean </w:t>
      </w:r>
      <w:r>
        <w:rPr>
          <w:rFonts w:cs="Arial"/>
        </w:rPr>
        <w:t>±</w:t>
      </w:r>
      <w:r>
        <w:t xml:space="preserve"> SEM) fit to a linear curve. </w:t>
      </w:r>
      <w:r w:rsidR="007428B9">
        <w:t>(</w:t>
      </w:r>
      <w:r>
        <w:t xml:space="preserve">J) </w:t>
      </w:r>
      <w:r w:rsidR="007428B9">
        <w:t>Representative w</w:t>
      </w:r>
      <w:r w:rsidRPr="00FB22C3">
        <w:t>estern blot of ATR-dependent phosphorylation</w:t>
      </w:r>
      <w:r w:rsidR="00D35AB6">
        <w:t xml:space="preserve"> events</w:t>
      </w:r>
      <w:r w:rsidRPr="00FB22C3">
        <w:t xml:space="preserve"> </w:t>
      </w:r>
      <w:r>
        <w:t xml:space="preserve">with differential activation when </w:t>
      </w:r>
      <w:r w:rsidRPr="00FB22C3">
        <w:t xml:space="preserve">utilizing Um- </w:t>
      </w:r>
      <w:r w:rsidR="007428B9">
        <w:t>or</w:t>
      </w:r>
      <w:r w:rsidRPr="00FB22C3">
        <w:t xml:space="preserve"> Ac-RPA. </w:t>
      </w:r>
      <w:r w:rsidR="007428B9">
        <w:t>(</w:t>
      </w:r>
      <w:r>
        <w:t>K</w:t>
      </w:r>
      <w:r w:rsidRPr="00FB22C3">
        <w:t>)</w:t>
      </w:r>
      <w:r>
        <w:t xml:space="preserve"> </w:t>
      </w:r>
      <w:r w:rsidR="007428B9">
        <w:t>Representative w</w:t>
      </w:r>
      <w:r w:rsidRPr="00FB22C3">
        <w:t>estern blot of ATR-dependent phosphorylation</w:t>
      </w:r>
      <w:r w:rsidR="00D35AB6">
        <w:t xml:space="preserve"> events</w:t>
      </w:r>
      <w:r w:rsidRPr="00FB22C3">
        <w:t xml:space="preserve"> </w:t>
      </w:r>
      <w:r>
        <w:t>with differential activation</w:t>
      </w:r>
      <w:r w:rsidR="00D35AB6">
        <w:t xml:space="preserve"> upon</w:t>
      </w:r>
      <w:r>
        <w:t xml:space="preserve"> </w:t>
      </w:r>
      <w:r w:rsidR="00D35AB6" w:rsidRPr="00FB22C3">
        <w:t>increasing amounts of RPA</w:t>
      </w:r>
      <w:r w:rsidR="0085169F">
        <w:t>-DB</w:t>
      </w:r>
      <w:r w:rsidR="00D35AB6" w:rsidRPr="00FB22C3">
        <w:t xml:space="preserve">i </w:t>
      </w:r>
      <w:r w:rsidR="00094917">
        <w:t>NERx 329</w:t>
      </w:r>
      <w:r w:rsidR="00D35AB6">
        <w:t xml:space="preserve"> (2.5-20 </w:t>
      </w:r>
      <w:r w:rsidR="00D35AB6">
        <w:rPr>
          <w:rFonts w:cs="Arial"/>
        </w:rPr>
        <w:t>µ</w:t>
      </w:r>
      <w:r w:rsidR="00D35AB6">
        <w:t>M)</w:t>
      </w:r>
      <w:r w:rsidR="00D35AB6" w:rsidRPr="00FB22C3">
        <w:t xml:space="preserve"> </w:t>
      </w:r>
      <w:r>
        <w:t xml:space="preserve">when </w:t>
      </w:r>
      <w:r w:rsidRPr="00FB22C3">
        <w:t xml:space="preserve">utilizing Um- </w:t>
      </w:r>
      <w:r w:rsidR="00D35AB6">
        <w:t>or</w:t>
      </w:r>
      <w:r w:rsidRPr="00FB22C3">
        <w:t xml:space="preserve"> Ac-RPA</w:t>
      </w:r>
      <w:r w:rsidR="00D35AB6">
        <w:t>.</w:t>
      </w:r>
      <w:r w:rsidRPr="00FB22C3">
        <w:t xml:space="preserve"> </w:t>
      </w:r>
      <w:r w:rsidR="007428B9">
        <w:t>(</w:t>
      </w:r>
      <w:r>
        <w:t>L</w:t>
      </w:r>
      <w:r w:rsidRPr="00FB22C3">
        <w:t xml:space="preserve">) Quantification of </w:t>
      </w:r>
      <w:r>
        <w:t>band intensit</w:t>
      </w:r>
      <w:r w:rsidR="00D35AB6">
        <w:t>ies</w:t>
      </w:r>
      <w:r>
        <w:t xml:space="preserve"> from panel K (normalized to lanes 2 and 7 for Um- and Ac-RPA, respectively)</w:t>
      </w:r>
      <w:r w:rsidRPr="00FB22C3">
        <w:t xml:space="preserve">. </w:t>
      </w:r>
    </w:p>
    <w:p w14:paraId="66BDAFBE" w14:textId="043FB510" w:rsidR="00E16B49" w:rsidRDefault="00094917" w:rsidP="00094917">
      <w:r>
        <w:br w:type="page"/>
      </w:r>
      <w:r>
        <w:rPr>
          <w:b/>
          <w:bCs/>
        </w:rPr>
        <w:lastRenderedPageBreak/>
        <w:t>FULL-LENGTH GELS/BLOTS</w:t>
      </w:r>
    </w:p>
    <w:p w14:paraId="00449EB5" w14:textId="5A8C0386" w:rsidR="00094917" w:rsidRDefault="00094917" w:rsidP="00094917">
      <w:pPr>
        <w:pStyle w:val="NormalWeb"/>
      </w:pPr>
      <w:r>
        <w:rPr>
          <w:noProof/>
        </w:rPr>
        <w:drawing>
          <wp:inline distT="0" distB="0" distL="0" distR="0" wp14:anchorId="173FA90A" wp14:editId="0946D565">
            <wp:extent cx="5943600" cy="63468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34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C92CC" w14:textId="3C723AD6" w:rsidR="00094917" w:rsidRDefault="00094917">
      <w:r>
        <w:br w:type="page"/>
      </w:r>
    </w:p>
    <w:p w14:paraId="00CE0C65" w14:textId="26D9B763" w:rsidR="00094917" w:rsidRDefault="00094917" w:rsidP="00094917">
      <w:pPr>
        <w:pStyle w:val="NormalWeb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283B2A2F" wp14:editId="1310DEFA">
            <wp:extent cx="4105275" cy="756711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9223" cy="7574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D0724" w14:textId="77777777" w:rsidR="00094917" w:rsidRDefault="00094917">
      <w:pPr>
        <w:rPr>
          <w:rFonts w:eastAsia="Times New Roman" w:cs="Arial"/>
          <w:szCs w:val="24"/>
        </w:rPr>
      </w:pPr>
      <w:r>
        <w:rPr>
          <w:rFonts w:cs="Arial"/>
        </w:rPr>
        <w:br w:type="page"/>
      </w:r>
    </w:p>
    <w:p w14:paraId="51300BFE" w14:textId="4699DE00" w:rsidR="00094917" w:rsidRDefault="00094917" w:rsidP="00094917">
      <w:pPr>
        <w:pStyle w:val="NormalWeb"/>
      </w:pPr>
      <w:r>
        <w:rPr>
          <w:noProof/>
        </w:rPr>
        <w:lastRenderedPageBreak/>
        <w:drawing>
          <wp:inline distT="0" distB="0" distL="0" distR="0" wp14:anchorId="32AA7AA6" wp14:editId="2D28D8C6">
            <wp:extent cx="4991100" cy="6944885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760" cy="6947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D7C63" w14:textId="550476EA" w:rsidR="00094917" w:rsidRDefault="00094917">
      <w:pPr>
        <w:rPr>
          <w:rFonts w:eastAsia="Times New Roman" w:cs="Arial"/>
          <w:szCs w:val="24"/>
        </w:rPr>
      </w:pPr>
      <w:r>
        <w:rPr>
          <w:rFonts w:cs="Arial"/>
        </w:rPr>
        <w:br w:type="page"/>
      </w:r>
    </w:p>
    <w:p w14:paraId="123DBA83" w14:textId="14E32526" w:rsidR="00094917" w:rsidRDefault="00094917" w:rsidP="00094917">
      <w:pPr>
        <w:pStyle w:val="NormalWeb"/>
      </w:pPr>
      <w:r>
        <w:rPr>
          <w:noProof/>
        </w:rPr>
        <w:lastRenderedPageBreak/>
        <w:drawing>
          <wp:inline distT="0" distB="0" distL="0" distR="0" wp14:anchorId="23F89375" wp14:editId="117413D0">
            <wp:extent cx="5943600" cy="5576570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7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52D762" w14:textId="6914E7BD" w:rsidR="00094917" w:rsidRDefault="00094917">
      <w:pPr>
        <w:rPr>
          <w:rFonts w:eastAsia="Times New Roman" w:cs="Arial"/>
          <w:szCs w:val="24"/>
        </w:rPr>
      </w:pPr>
      <w:r>
        <w:rPr>
          <w:rFonts w:cs="Arial"/>
        </w:rPr>
        <w:br w:type="page"/>
      </w:r>
    </w:p>
    <w:p w14:paraId="311BCD0A" w14:textId="7AD2ADD6" w:rsidR="00094917" w:rsidRDefault="00094917" w:rsidP="00094917">
      <w:pPr>
        <w:pStyle w:val="NormalWeb"/>
      </w:pPr>
      <w:r>
        <w:rPr>
          <w:noProof/>
        </w:rPr>
        <w:lastRenderedPageBreak/>
        <w:drawing>
          <wp:inline distT="0" distB="0" distL="0" distR="0" wp14:anchorId="7FF9E6E5" wp14:editId="7574808A">
            <wp:extent cx="5943600" cy="4094480"/>
            <wp:effectExtent l="0" t="0" r="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9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B1BB2" w14:textId="7F63E865" w:rsidR="00094917" w:rsidRDefault="00094917">
      <w:pPr>
        <w:rPr>
          <w:rFonts w:eastAsia="Times New Roman" w:cs="Arial"/>
          <w:szCs w:val="24"/>
        </w:rPr>
      </w:pPr>
      <w:r>
        <w:rPr>
          <w:rFonts w:cs="Arial"/>
        </w:rPr>
        <w:br w:type="page"/>
      </w:r>
    </w:p>
    <w:p w14:paraId="0C21C7CE" w14:textId="698FC555" w:rsidR="00094917" w:rsidRDefault="00094917" w:rsidP="00094917">
      <w:pPr>
        <w:pStyle w:val="NormalWeb"/>
      </w:pPr>
      <w:r>
        <w:rPr>
          <w:noProof/>
        </w:rPr>
        <w:lastRenderedPageBreak/>
        <w:drawing>
          <wp:inline distT="0" distB="0" distL="0" distR="0" wp14:anchorId="3C9A725A" wp14:editId="392C598E">
            <wp:extent cx="5943600" cy="50006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D75C0F" w14:textId="4B9244B7" w:rsidR="00094917" w:rsidRDefault="00094917">
      <w:pPr>
        <w:rPr>
          <w:rFonts w:eastAsia="Times New Roman" w:cs="Arial"/>
          <w:szCs w:val="24"/>
        </w:rPr>
      </w:pPr>
      <w:r>
        <w:rPr>
          <w:rFonts w:cs="Arial"/>
        </w:rPr>
        <w:br w:type="page"/>
      </w:r>
    </w:p>
    <w:p w14:paraId="670862DA" w14:textId="7F8EC9A8" w:rsidR="00094917" w:rsidRDefault="00094917" w:rsidP="00094917">
      <w:pPr>
        <w:pStyle w:val="NormalWeb"/>
      </w:pPr>
      <w:r>
        <w:rPr>
          <w:noProof/>
        </w:rPr>
        <w:lastRenderedPageBreak/>
        <w:drawing>
          <wp:inline distT="0" distB="0" distL="0" distR="0" wp14:anchorId="415EA5B8" wp14:editId="1E36D8EA">
            <wp:extent cx="5943600" cy="5066665"/>
            <wp:effectExtent l="0" t="0" r="0" b="6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6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5FCCF5" w14:textId="7561CE2A" w:rsidR="00094917" w:rsidRDefault="00094917" w:rsidP="00094917">
      <w:pPr>
        <w:pStyle w:val="NormalWeb"/>
      </w:pPr>
    </w:p>
    <w:p w14:paraId="4562FD77" w14:textId="77777777" w:rsidR="00094917" w:rsidRPr="00094917" w:rsidRDefault="00094917" w:rsidP="00094917">
      <w:pPr>
        <w:pStyle w:val="NormalWeb"/>
        <w:rPr>
          <w:rFonts w:ascii="Arial" w:hAnsi="Arial" w:cs="Arial"/>
        </w:rPr>
      </w:pPr>
    </w:p>
    <w:p w14:paraId="0547F651" w14:textId="77777777" w:rsidR="00094917" w:rsidRPr="00094917" w:rsidRDefault="00094917" w:rsidP="00094917"/>
    <w:sectPr w:rsidR="00094917" w:rsidRPr="00094917" w:rsidSect="005503F4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5836C2" w14:textId="77777777" w:rsidR="0085169F" w:rsidRDefault="0085169F">
      <w:pPr>
        <w:spacing w:after="0" w:line="240" w:lineRule="auto"/>
      </w:pPr>
      <w:r>
        <w:separator/>
      </w:r>
    </w:p>
  </w:endnote>
  <w:endnote w:type="continuationSeparator" w:id="0">
    <w:p w14:paraId="3FE49F9B" w14:textId="77777777" w:rsidR="0085169F" w:rsidRDefault="008516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1238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C781BC" w14:textId="77777777" w:rsidR="0085169F" w:rsidRDefault="0085169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AC8BA60" w14:textId="77777777" w:rsidR="0085169F" w:rsidRDefault="008516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7AF09" w14:textId="77777777" w:rsidR="0085169F" w:rsidRDefault="0085169F">
      <w:pPr>
        <w:spacing w:after="0" w:line="240" w:lineRule="auto"/>
      </w:pPr>
      <w:r>
        <w:separator/>
      </w:r>
    </w:p>
  </w:footnote>
  <w:footnote w:type="continuationSeparator" w:id="0">
    <w:p w14:paraId="2504133B" w14:textId="77777777" w:rsidR="0085169F" w:rsidRDefault="008516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E5B"/>
    <w:rsid w:val="00094917"/>
    <w:rsid w:val="000B75C8"/>
    <w:rsid w:val="003708E6"/>
    <w:rsid w:val="00451E5B"/>
    <w:rsid w:val="005503F4"/>
    <w:rsid w:val="006433BE"/>
    <w:rsid w:val="006C764C"/>
    <w:rsid w:val="006D4719"/>
    <w:rsid w:val="007428B9"/>
    <w:rsid w:val="0085169F"/>
    <w:rsid w:val="00866573"/>
    <w:rsid w:val="00D35AB6"/>
    <w:rsid w:val="00E16B49"/>
    <w:rsid w:val="00E61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B0CCB"/>
  <w15:chartTrackingRefBased/>
  <w15:docId w15:val="{B2DEB21B-931D-48C0-A019-1E34453C8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E46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61E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E46"/>
    <w:rPr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E61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E61E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5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3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Jordan, Matthew Robert</dc:creator>
  <cp:keywords/>
  <dc:description/>
  <cp:lastModifiedBy>Jordan, Matthew Robert</cp:lastModifiedBy>
  <cp:revision>3</cp:revision>
  <dcterms:created xsi:type="dcterms:W3CDTF">2024-06-07T18:01:00Z</dcterms:created>
  <dcterms:modified xsi:type="dcterms:W3CDTF">2024-06-13T14:52:00Z</dcterms:modified>
</cp:coreProperties>
</file>