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898F87" w14:textId="544F9196" w:rsidR="00545A71" w:rsidRPr="007B2715" w:rsidRDefault="00545A71" w:rsidP="00545A71">
      <w:pPr>
        <w:jc w:val="center"/>
        <w:rPr>
          <w:b/>
          <w:bCs/>
          <w:sz w:val="32"/>
          <w:szCs w:val="32"/>
        </w:rPr>
      </w:pPr>
      <w:r w:rsidRPr="007B2715">
        <w:rPr>
          <w:b/>
          <w:bCs/>
          <w:sz w:val="32"/>
          <w:szCs w:val="32"/>
        </w:rPr>
        <w:t xml:space="preserve">Supplementary </w:t>
      </w:r>
      <w:r w:rsidR="00C37A8A">
        <w:rPr>
          <w:b/>
          <w:bCs/>
          <w:sz w:val="32"/>
          <w:szCs w:val="32"/>
        </w:rPr>
        <w:t>Material</w:t>
      </w:r>
    </w:p>
    <w:p w14:paraId="3D540ACE" w14:textId="77777777" w:rsidR="00545A71" w:rsidRPr="007B2715" w:rsidRDefault="00545A71" w:rsidP="00545A71">
      <w:pPr>
        <w:jc w:val="center"/>
        <w:rPr>
          <w:b/>
          <w:bCs/>
          <w:sz w:val="32"/>
          <w:szCs w:val="32"/>
        </w:rPr>
      </w:pPr>
    </w:p>
    <w:p w14:paraId="5C2F55BA" w14:textId="77777777" w:rsidR="00545A71" w:rsidRPr="007B2715" w:rsidRDefault="00545A71" w:rsidP="00545A71">
      <w:pPr>
        <w:rPr>
          <w:b/>
          <w:bCs/>
          <w:sz w:val="28"/>
          <w:szCs w:val="28"/>
        </w:rPr>
      </w:pPr>
      <w:r w:rsidRPr="007B2715">
        <w:rPr>
          <w:b/>
          <w:bCs/>
          <w:sz w:val="28"/>
          <w:szCs w:val="28"/>
        </w:rPr>
        <w:t>Spatial pattern in fractional contribution of the different sources</w:t>
      </w:r>
    </w:p>
    <w:p w14:paraId="1EF8B90F" w14:textId="77777777" w:rsidR="00545A71" w:rsidRPr="007B2715" w:rsidRDefault="00545A71" w:rsidP="00545A71">
      <w:pPr>
        <w:spacing w:after="160"/>
        <w:ind w:firstLine="720"/>
        <w:jc w:val="both"/>
      </w:pPr>
      <w:r w:rsidRPr="007B2715">
        <w:t xml:space="preserve">The fractional contribution of different endmembers shows no or weak spatial pattern - Moran’s I statistics never exceeding 0.24 for a given endmember in any of the models (Table S4). </w:t>
      </w:r>
      <w:r w:rsidRPr="007B2715">
        <w:rPr>
          <w:highlight w:val="white"/>
        </w:rPr>
        <w:t>Except for Madhupur tract and Araihazar where precipitation was the dominant recharge source, a spatially consistent pattern in the contribution of the different sources was not observed (</w:t>
      </w:r>
      <w:r>
        <w:rPr>
          <w:highlight w:val="white"/>
        </w:rPr>
        <w:t>Figure</w:t>
      </w:r>
      <w:r w:rsidRPr="007B2715">
        <w:rPr>
          <w:highlight w:val="white"/>
        </w:rPr>
        <w:t xml:space="preserve"> S4). Even in the districts with high density of isotopic data such as</w:t>
      </w:r>
      <w:r>
        <w:t xml:space="preserve"> </w:t>
      </w:r>
      <w:r w:rsidRPr="007B2715">
        <w:t>Kolkat</w:t>
      </w:r>
      <w:r>
        <w:t>a</w:t>
      </w:r>
      <w:r w:rsidRPr="007B2715">
        <w:rPr>
          <w:highlight w:val="white"/>
        </w:rPr>
        <w:t xml:space="preserve"> neighboring wells </w:t>
      </w:r>
      <w:r w:rsidRPr="007B2715">
        <w:t>showed large and unsystematic variation in the contribution of standing water, precipitation and major rivers.</w:t>
      </w:r>
    </w:p>
    <w:p w14:paraId="46E02AEC" w14:textId="77777777" w:rsidR="00545A71" w:rsidRPr="007B2715" w:rsidRDefault="00545A71" w:rsidP="00545A71">
      <w:pPr>
        <w:spacing w:after="160"/>
        <w:ind w:firstLine="720"/>
        <w:jc w:val="both"/>
      </w:pPr>
    </w:p>
    <w:p w14:paraId="20DB7B99" w14:textId="77777777" w:rsidR="00545A71" w:rsidRPr="007B2715" w:rsidRDefault="00545A71" w:rsidP="00545A71">
      <w:pPr>
        <w:rPr>
          <w:b/>
          <w:bCs/>
          <w:sz w:val="28"/>
          <w:szCs w:val="28"/>
        </w:rPr>
      </w:pPr>
      <w:r w:rsidRPr="007B2715">
        <w:rPr>
          <w:b/>
          <w:bCs/>
          <w:sz w:val="28"/>
          <w:szCs w:val="28"/>
        </w:rPr>
        <w:t>Limitations of using modern precipitation and river endmember values for deeper groundwater samples</w:t>
      </w:r>
    </w:p>
    <w:p w14:paraId="1F216A96" w14:textId="714A7B6F" w:rsidR="00545A71" w:rsidRPr="007B2715" w:rsidRDefault="00545A71" w:rsidP="00545A71">
      <w:pPr>
        <w:keepNext/>
        <w:jc w:val="both"/>
        <w:rPr>
          <w:color w:val="222222"/>
        </w:rPr>
      </w:pPr>
      <w:r w:rsidRPr="007B2715">
        <w:tab/>
        <w:t>During Pleistocene</w:t>
      </w:r>
      <w:r w:rsidRPr="007B2715">
        <w:rPr>
          <w:color w:val="222222"/>
        </w:rPr>
        <w:t xml:space="preserve"> global water cycle oscillated between periods of intensified and weakened summer monsoon </w:t>
      </w:r>
      <w:r w:rsidRPr="007B2715">
        <w:rPr>
          <w:color w:val="222222"/>
        </w:rPr>
        <w:fldChar w:fldCharType="begin" w:fldLock="1"/>
      </w:r>
      <w:r w:rsidR="00D11AD8">
        <w:rPr>
          <w:color w:val="222222"/>
        </w:rPr>
        <w:instrText xml:space="preserve">ADDIN CSL_CITATION {"citationItems":[{"id":"ITEM-1","itemData":{"DOI":"10.1016/j.quascirev.2006.04.012","ISSN":"02773791","abstract":"High-resolution oxygen isotope (δ18O) profiles of Holocene stalagmites from four caves in Northern and Southern Oman and Yemen (Socotra) provide detailed information on fluctuations in precipitation along a latitudinal transect from 12°N to 23°N. δ18O values reflect the amount of precipitation which is primarily controlled by the mean latitudinal position of the ITCZ and dynamics of the Indian summer monsoon (ISM). During the early Holocene rapidly decreasing δ18O values indicate a rapid northward displacement in the mean latitudinal position of the summer ITCZ and the associated ISM rainfall belt, with decadal- to centennial-scale changes in monsoon precipitation correlating well with high-latitude temperature variations recorded in Greenland ice cores. During the middle to late Holocene the summer ITCZ continuously migrated southward and monsoon precipitation decreased gradually in response to decreasing solar insolation, a trend, which is also recorded in other monsoon records from the Indian and East Asian monsoon domains. Importantly, there is no evidence for an abrupt middle Holocene weakening in monsoon precipitation. Although abrupt monsoon events are apparent in all monsoon records, they are short-lived and clearly superimposed on the long-term trend of decreasing monsoon precipitation. For the late Holocene there is an anti-correlation between ISM precipitation in Oman and inter-monsoon (spring/autumn) precipitation on Socotra, revealing a possible long-term change in the duration of the summer monsoon season since at least 4.5 ka BP. Together with the progressive shortening of the ISM season, gradual southward retreat of the mean summer ITCZ and weakening of the ISM, the total amount of precipitation decreased in those areas located at the northern fringe of the Indian and Asian monsoon domains, but increased in areas closer to the equator. © 2006 Elsevier Ltd. All rights reserved.","author":[{"dropping-particle":"","family":"Fleitmann","given":"Dominik","non-dropping-particle":"","parse-names":false,"suffix":""},{"dropping-particle":"","family":"Burns","given":"Stephen J.","non-dropping-particle":"","parse-names":false,"suffix":""},{"dropping-particle":"","family":"Mangini","given":"Augusto","non-dropping-particle":"","parse-names":false,"suffix":""},{"dropping-particle":"","family":"Mudelsee","given":"Manfred","non-dropping-particle":"","parse-names":false,"suffix":""},{"dropping-particle":"","family":"Kramers","given":"Jan","non-dropping-particle":"","parse-names":false,"suffix":""},{"dropping-particle":"","family":"Villa","given":"Igor","non-dropping-particle":"","parse-names":false,"suffix":""},{"dropping-particle":"","family":"Neff","given":"Ulrich","non-dropping-particle":"","parse-names":false,"suffix":""},{"dropping-particle":"","family":"Al-Subbary","given":"Abdulkarim A.","non-dropping-particle":"","parse-names":false,"suffix":""},{"dropping-particle":"","family":"Buettner","given":"Annett","non-dropping-particle":"","parse-names":false,"suffix":""},{"dropping-particle":"","family":"Hippler","given":"Dorothea","non-dropping-particle":"","parse-names":false,"suffix":""},{"dropping-particle":"","family":"Matter","given":"Albert","non-dropping-particle":"","parse-names":false,"suffix":""}],"container-title":"Quaternary Science Reviews","id":"ITEM-1","issue":"1-2","issued":{"date-parts":[["2007","1","1"]]},"page":"170-188","publisher":"Pergamon","title":"Holocene ITCZ and Indian monsoon dynamics recorded in stalagmites from Oman and Yemen (Socotra)","type":"article-journal","volume":"26"},"uris":["http://www.mendeley.com/documents/?uuid=2ff478c9-a813-35b3-acf9-33c605e3bb10"]},{"id":"ITEM-2","itemData":{"DOI":"10.1038/364322a0","ISSN":"00280836","abstract":"BOTH the marine sediment record and numerical modelling of the atmospheric summer circulation over the northern Indian Ocean and southeast Asia have shown that the monsoonal climate exhibits a direct but nonlinear response to the intensity of solar insolation during summer, with a time lag of several thousand years1,2. Here we present evidence from a high-resolution record of oxygen isotopes and carbonate spanning the past 24,000 calendar years that the response of the southwest monsoon over the Arabian Sea to long-term, gradual insolation changes occurred in several distinct events of less than 300 years duration, at 14,300, 13,500, 13,060, 9,900, 8,800 and 7,30014C yr BP. Thus, during this transitional period from glacial to post-glacial conditions the slow solar forcing seems to have induced very rapid changes in local climate. We speculate that the rapid response may be related to albedo changes in Asia. © 1993 Nature Publishing Group.","author":[{"dropping-particle":"","family":"Sirocko","given":"F.","non-dropping-particle":"","parse-names":false,"suffix":""},{"dropping-particle":"","family":"Sarnthein","given":"M.","non-dropping-particle":"","parse-names":false,"suffix":""},{"dropping-particle":"","family":"Erlenkeuser","given":"H.","non-dropping-particle":"","parse-names":false,"suffix":""},{"dropping-particle":"","family":"Lange","given":"H.","non-dropping-particle":"","parse-names":false,"suffix":""},{"dropping-particle":"","family":"Arnold","given":"M.","non-dropping-particle":"","parse-names":false,"suffix":""},{"dropping-particle":"","family":"Duplessy","given":"J. C.","non-dropping-particle":"","parse-names":false,"suffix":""}],"container-title":"Nature","id":"ITEM-2","issue":"6435","issued":{"date-parts":[["1993"]]},"page":"322-324","publisher":"Nature Publishing Group","title":"Century-scale events in monsoonal climate over the past 24,000 years","type":"article-journal","volume":"364"},"uris":["http://www.mendeley.com/documents/?uuid=fcd0d993-95b5-3296-93db-36601625f439"]},{"id":"ITEM-3","itemData":{"DOI":"10.1126/science.1172873","ISSN":"00368075","PMID":"19661421","abstract":"We used 5704 14C, 10Be, and 3He ages that span the interval from 10,000 to 50,000 years ago (10 to 50 ka) to constrain the timing of the Last Glacial Maximum (LGM) in terms of global ice-sheet and mountain-glacier extent. Growth of the ice sheets to their maximum positions occurred between 33.0 and 26.5 ka in response to climate forcing from decreases in northern summer insolation, tropical Pacific sea surface temperatures, and atmospheric CO2. Nearly all ice sheets were at their LGM positions from 26.5 ka to 19 to 20 ka, corresponding to minima in these forcings. The onset of Northern Hemisphere deglaciation 19 to 20 ka was induced by an increase in northern summer insolation, providing the source for an abrupt rise in sea level. The onset of deglaciation of the West Antarctic Ice Sheet occurred between 14 and 15 ka, consistent with evidence that this was the primary source for an abrupt rise in sea level </w:instrText>
      </w:r>
      <w:r w:rsidR="00D11AD8">
        <w:rPr>
          <w:rFonts w:ascii="Cambria Math" w:hAnsi="Cambria Math" w:cs="Cambria Math"/>
          <w:color w:val="222222"/>
        </w:rPr>
        <w:instrText>∼</w:instrText>
      </w:r>
      <w:r w:rsidR="00D11AD8">
        <w:rPr>
          <w:color w:val="222222"/>
        </w:rPr>
        <w:instrText>14.5 ka.","author":[{"dropping-particle":"","family":"Clark","given":"Peter U.","non-dropping-particle":"","parse-names":false,"suffix":""},{"dropping-particle":"","family":"Dyke","given":"Arthur S.","non-dropping-particle":"","parse-names":false,"suffix":""},{"dropping-particle":"","family":"Shakun","given":"Jeremy D.","non-dropping-particle":"","parse-names":false,"suffix":""},{"dropping-particle":"","family":"Carlson","given":"Anders E.","non-dropping-particle":"","parse-names":false,"suffix":""},{"dropping-particle":"","family":"Clark","given":"Jorie","non-dropping-particle":"","parse-names":false,"suffix":""},{"dropping-particle":"","family":"Wohlfarth","given":"Barbara","non-dropping-particle":"","parse-names":false,"suffix":""},{"dropping-particle":"","family":"Mitrovica","given":"Jerry X.","non-dropping-particle":"","parse-names":false,"suffix":""},{"dropping-particle":"","family":"Hostetler","given":"Steven W.","non-dropping-particle":"","parse-names":false,"suffix":""},{"dropping-particle":"","family":"McCabe","given":"A. Marshall","non-dropping-particle":"","parse-names":false,"suffix":""}],"container-title":"Science","id":"ITEM-3","issue":"5941","issued":{"date-parts":[["2009"]]},"page":"710-714","title":"The Last Glacial Maximum","type":"article-journal","volume":"325"},"uris":["http://www.mendeley.com/documents/?uuid=67d87940-7824-379e-9234-0c148158a53e"]},{"id":"ITEM-4","itemData":{"DOI":"10.1016/S0012-821X(00)00053-4","ISSN":"0012821X","abstract":"Through stable oxygen and carbon analyses of rapidly accumulating sediment cores from the eastern Arabian Sea, we show that the excess of evaporation over precipitation (E-P) steadily appears to have decreased during the last ~ 10 000 to ~ 2000 years, most probably due to an increasing trend in the summer monsoon rainfall, contrary to the land-based paleoclimatic data from this region, which indicate onset of aridity around 4000 years ago. Our results are consistent with the hypothesis that significant spatial variability in the monsoon rainfall observed today was persistent during most of the Holocene. Alternatively, the trend can be seen as an adjustment between two phases, one between ~ 10 000 and ~ 6000 years ago of increasing precipitation and another between 3500 and 2000 years ago after the arid episode. We also report a significant ~ 700 year periodicity, similar to that reported recently from the South China Sea, indicating that the centennial/millennial scale response of the Indian and Chinese monsoons to high latitude forcing may be alike. (C) 2000 Published by Elsevier Science B.V. All rights reserved.","author":[{"dropping-particle":"","family":"Sarkar","given":"Ashish","non-dropping-particle":"","parse-names":false,"suffix":""},{"dropping-particle":"","family":"Ramesh","given":"R.","non-dropping-particle":"","parse-names":false,"suffix":""},{"dropping-particle":"","family":"Somayajulu","given":"B. L.K.","non-dropping-particle":"","parse-names":false,"suffix":""},{"dropping-particle":"","family":"Agnihotri","given":"R.","non-dropping-particle":"","parse-names":false,"suffix":""},{"dropping-particle":"","family":"Jull","given":"A. J.T.","non-dropping-particle":"","parse-names":false,"suffix":""},{"dropping-particle":"","family":"Burr","given":"O. S.","non-dropping-particle":"","parse-names":false,"suffix":""}],"container-title":"Earth and Planetary Science Letters","id":"ITEM-4","issue":"3-4","issued":{"date-parts":[["2000","4","30"]]},"page":"209-218","publisher":"Elsevier","title":"High resolution Holocene monsoon record from the eastern Arabian Sea","type":"article-journal","volume":"177"},"uris":["http://www.mendeley.com/documents/?uuid=ab391a15-2efb-37a0-9d80-a92c883fed63"]}],"mendeley":{"formattedCitation":"(&lt;i&gt;1&lt;/i&gt;–&lt;i&gt;4&lt;/i&gt;)","plainTextFormattedCitation":"(1–4)","previouslyFormattedCitation":"&lt;sup&gt;1–4&lt;/sup&gt;"},"properties":{"noteIndex":0},"schema":"https://github.com/citation-style-language/schema/raw/master/csl-citation.json"}</w:instrText>
      </w:r>
      <w:r w:rsidRPr="007B2715">
        <w:rPr>
          <w:color w:val="222222"/>
        </w:rPr>
        <w:fldChar w:fldCharType="separate"/>
      </w:r>
      <w:r w:rsidR="00D11AD8" w:rsidRPr="00D11AD8">
        <w:rPr>
          <w:noProof/>
          <w:color w:val="222222"/>
        </w:rPr>
        <w:t>(</w:t>
      </w:r>
      <w:r w:rsidR="00D11AD8" w:rsidRPr="00D11AD8">
        <w:rPr>
          <w:i/>
          <w:noProof/>
          <w:color w:val="222222"/>
        </w:rPr>
        <w:t>1</w:t>
      </w:r>
      <w:r w:rsidR="00D11AD8" w:rsidRPr="00D11AD8">
        <w:rPr>
          <w:noProof/>
          <w:color w:val="222222"/>
        </w:rPr>
        <w:t>–</w:t>
      </w:r>
      <w:r w:rsidR="00D11AD8" w:rsidRPr="00D11AD8">
        <w:rPr>
          <w:i/>
          <w:noProof/>
          <w:color w:val="222222"/>
        </w:rPr>
        <w:t>4</w:t>
      </w:r>
      <w:r w:rsidR="00D11AD8" w:rsidRPr="00D11AD8">
        <w:rPr>
          <w:noProof/>
          <w:color w:val="222222"/>
        </w:rPr>
        <w:t>)</w:t>
      </w:r>
      <w:r w:rsidRPr="007B2715">
        <w:rPr>
          <w:color w:val="222222"/>
        </w:rPr>
        <w:fldChar w:fldCharType="end"/>
      </w:r>
      <w:r w:rsidRPr="007B2715">
        <w:rPr>
          <w:color w:val="222222"/>
        </w:rPr>
        <w:t xml:space="preserve"> thereby affecting precipitation isotope ratios. In the Bengal Basin, precipitation isotope ratios </w:t>
      </w:r>
      <w:r w:rsidRPr="007B2715">
        <w:t>during late Pleistocene and early Holocene (20,000 -10,000 years before present (BP)) are suggested to have been 1 to 3‰ heavier (δ</w:t>
      </w:r>
      <w:r w:rsidRPr="007B2715">
        <w:rPr>
          <w:vertAlign w:val="superscript"/>
        </w:rPr>
        <w:t>18</w:t>
      </w:r>
      <w:r w:rsidRPr="007B2715">
        <w:t>O ) than the modern values</w:t>
      </w:r>
      <w:r w:rsidRPr="007B2715">
        <w:rPr>
          <w:color w:val="222222"/>
        </w:rPr>
        <w:t xml:space="preserve"> </w:t>
      </w:r>
      <w:r w:rsidRPr="007B2715">
        <w:rPr>
          <w:color w:val="222222"/>
        </w:rPr>
        <w:fldChar w:fldCharType="begin" w:fldLock="1"/>
      </w:r>
      <w:r w:rsidR="00D11AD8">
        <w:rPr>
          <w:color w:val="222222"/>
        </w:rPr>
        <w:instrText xml:space="preserve">ADDIN CSL_CITATION {"citationItems":[{"id":"ITEM-1","itemData":{"DOI":"10.1002/2016GC006400","ISSN":"15252027","abstract":"Global water cycles, ecosystem assemblages, and weathering rates were impacted by the </w:instrText>
      </w:r>
      <w:r w:rsidR="00D11AD8">
        <w:rPr>
          <w:rFonts w:ascii="Cambria Math" w:hAnsi="Cambria Math" w:cs="Cambria Math"/>
          <w:color w:val="222222"/>
        </w:rPr>
        <w:instrText>∼</w:instrText>
      </w:r>
      <w:r w:rsidR="00D11AD8">
        <w:rPr>
          <w:color w:val="222222"/>
        </w:rPr>
        <w:instrText xml:space="preserve">4°C of global warming that took place over the course of the last glacial termination. Fossil groundwaters can be useful indicators of late-Pleistocene precipitation isotope compositions, which, in turn, can help to test hypotheses about the drivers and impacts of glacial-interglacial climate changes. Here, a global catalog of 126 fossil groundwater records is used to interpolate late-Pleistocene precipitation δ18O across the global landmass. The interpolated data show that extratropical late-Pleistocene terrestrial precipitation was near uniformly depleted in 18O relative to the late Holocene. By contrast, tropical δ18O responses to deglacial warming diverged; late-Pleistocene δ18O was higher-than-modern across India and South China but lower-than-modern throughout much of northern and southern Africa. Groundwaters that recharged beneath large northern hemisphere ice sheets have different Holocene-Pleistocene δ18O relationships than paleowaters that recharged subaerially, potentially aiding reconstructions of englacial transport in paleo ice sheets. Global terrestrial late-Pleistocene precipitation δ18O maps may help to determine 3-D groundwater age distributions, constrain Pleistocene mammal movements, and better understand glacial climate dynamics.","author":[{"dropping-particle":"","family":"Jasechko","given":"Scott","non-dropping-particle":"","parse-names":false,"suffix":""}],"container-title":"Geochemistry, Geophysics, Geosystems","id":"ITEM-1","issue":"8","issued":{"date-parts":[["2016","8","1"]]},"page":"3274-3288","publisher":"Blackwell Publishing Ltd","title":"Late-Pleistocene precipitation δ18O interpolated across the global landmass","type":"article-journal","volume":"17"},"uris":["http://www.mendeley.com/documents/?uuid=6eb5b190-6268-3373-930e-c5cdb7bd87b7"]},{"id":"ITEM-2","itemData":{"DOI":"10.1016/j.quaint.2018.03.025","ISSN":"10406182","abstract":"Using new oxygen isotope (δ18O) data of three planktonic foraminiferal (Globigerinoides ruber, Globigerinoides sacculifer and Globorotalia menardii) species from a sediment core SK-234-60, collected from the Andaman Sea, we infer that summer monsoon was weaker during Marine Isotopic Stage-3 (MIS-3) than the early Holocene but was stronger than that during MIS-2. Further, an abrupt decrease in a monsoon during the mid-Holocene between </w:instrText>
      </w:r>
      <w:r w:rsidR="00D11AD8">
        <w:rPr>
          <w:rFonts w:ascii="Cambria Math" w:hAnsi="Cambria Math" w:cs="Cambria Math"/>
          <w:color w:val="222222"/>
        </w:rPr>
        <w:instrText>∼</w:instrText>
      </w:r>
      <w:r w:rsidR="00D11AD8">
        <w:rPr>
          <w:color w:val="222222"/>
        </w:rPr>
        <w:instrText xml:space="preserve">7 and 4.5 ka is observed. The difference in δ18O between species with different habitats depth also enables the reconstruction of past ocean stratification over the Andaman Sea. Distinct weak and strong freshwater-induced upper ocean stratifications are observed during the last </w:instrText>
      </w:r>
      <w:r w:rsidR="00D11AD8">
        <w:rPr>
          <w:rFonts w:ascii="Cambria Math" w:hAnsi="Cambria Math" w:cs="Cambria Math"/>
          <w:color w:val="222222"/>
        </w:rPr>
        <w:instrText>∼</w:instrText>
      </w:r>
      <w:r w:rsidR="00D11AD8">
        <w:rPr>
          <w:color w:val="222222"/>
        </w:rPr>
        <w:instrText xml:space="preserve">66 ka. A weaker upper ocean stratification during the Last Glacial Maximum (LGM) and a stronger stratification during the early Holocene is observed. This is due to the prevailing positive and negative Evaporation minus Precipitation (E-P) conditions, respectively. Weaker stratifications during </w:instrText>
      </w:r>
      <w:r w:rsidR="00D11AD8">
        <w:rPr>
          <w:rFonts w:ascii="Cambria Math" w:hAnsi="Cambria Math" w:cs="Cambria Math"/>
          <w:color w:val="222222"/>
        </w:rPr>
        <w:instrText>∼</w:instrText>
      </w:r>
      <w:r w:rsidR="00D11AD8">
        <w:rPr>
          <w:color w:val="222222"/>
        </w:rPr>
        <w:instrText xml:space="preserve">32 ka and early to mid-MIS-3 are observed, whereas the stratification was strong during </w:instrText>
      </w:r>
      <w:r w:rsidR="00D11AD8">
        <w:rPr>
          <w:rFonts w:ascii="Cambria Math" w:hAnsi="Cambria Math" w:cs="Cambria Math"/>
          <w:color w:val="222222"/>
        </w:rPr>
        <w:instrText>∼</w:instrText>
      </w:r>
      <w:r w:rsidR="00D11AD8">
        <w:rPr>
          <w:color w:val="222222"/>
        </w:rPr>
        <w:instrText xml:space="preserve">42-39 ka. Stronger monsoon associated with higher upper ocean stratification was seen during </w:instrText>
      </w:r>
      <w:r w:rsidR="00D11AD8">
        <w:rPr>
          <w:rFonts w:ascii="Cambria Math" w:hAnsi="Cambria Math" w:cs="Cambria Math"/>
          <w:color w:val="222222"/>
        </w:rPr>
        <w:instrText>∼</w:instrText>
      </w:r>
      <w:r w:rsidR="00D11AD8">
        <w:rPr>
          <w:color w:val="222222"/>
        </w:rPr>
        <w:instrText xml:space="preserve">62 ka. Likewise, weaker monsoon during the Heinrich events was associated with weaker stratification.","author":[{"dropping-particle":"","family":"Kumar","given":"P. Kiran","non-dropping-particle":"","parse-names":false,"suffix":""},{"dropping-particle":"","family":"Band","given":"Shraddha T.","non-dropping-particle":"","parse-names":false,"suffix":""},{"dropping-particle":"","family":"Ramesh","given":"R.","non-dropping-particle":"","parse-names":false,"suffix":""},{"dropping-particle":"","family":"Awasthi","given":"Neeraj","non-dropping-particle":"","parse-names":false,"suffix":""}],"container-title":"Quaternary International","id":"ITEM-2","issued":{"date-parts":[["2018","6","20"]]},"page":"12-18","publisher":"Elsevier Ltd","title":"Monsoon variability and upper ocean stratification during the last </w:instrText>
      </w:r>
      <w:r w:rsidR="00D11AD8">
        <w:rPr>
          <w:rFonts w:ascii="Cambria Math" w:hAnsi="Cambria Math" w:cs="Cambria Math"/>
          <w:color w:val="222222"/>
        </w:rPr>
        <w:instrText>∼</w:instrText>
      </w:r>
      <w:r w:rsidR="00D11AD8">
        <w:rPr>
          <w:color w:val="222222"/>
        </w:rPr>
        <w:instrText>66 ka over the Andaman Sea: Inferences from the δ18O records of planktonic foraminifera","type":"article-journal","volume":"479"},"uris":["http://www.mendeley.com/documents/?uuid=a88233ef-68e5-3b01-8abd-defba5ba6a87"]},{"id":"ITEM-3","itemData":{"DOI":"10.1002/2015WR018224","ISSN":"00431397","abstract":"More than 100,000 community wells have been installed in the 150–300 m depth range throughout Bangladesh over the past decade to provide low-arsenic drinking water (&lt;10 µg/L As), but little is known about how aquifers tapped by these wells are recharged. Within a 25 km2 area of Bangladesh east of Dhaka, groundwater from 65 low-As wells in the 35–240 m depth range was sampled for tritium (3H), oxygen and hydrogen isotopes of water (18O/16O and 2H/1H), carbon isotope ratios in dissolved inorganic carbon (DIC, 14C/12C and 13C/12C), noble gases, and a suite of dissolved constituents, including major cations, anions, and trace elements. At shallow depths (&lt;90 m), 24 out of 42 wells contain detectable 3H of up to 6 TU, indicating the presence of groundwater recharged within 60 years. Radiocarbon (14C) ages in DIC range from modern to 10 kyr. In the 90–240 m depth range, however, only five wells shallower than 150 m contain detectable 3H (&lt;0.3 TU) and 14C ages of DIC cluster around 10 kyr. The radiogenic helium (4He) content in groundwater increases linearly across the entire range of 14C ages at a rate of 2.5 × 10−12 ccSTP 4He g−1 yr−1. Within the samples from depths &gt;90 m, systematic relationships between 18O/16O, 2H/1H, 13C/12C, and 14C/12C, and variations in noble gas temperatures, suggest that changes in monsoon intensity and vegetation cover occurred at the onset of the Holocene, when the sampled water was recharged. Thus, the deeper low-As aquifers remain relatively isolated from the shallow, high-As aquifer.","author":[{"dropping-particle":"","family":"Mihajlov","given":"I.","non-dropping-particle":"","parse-names":false,"suffix":""},{"dropping-particle":"","family":"Stute","given":"M.","non-dropping-particle":"","parse-names":false,"suffix":""},{"dropping-particle":"","family":"Schlosser","given":"P.","non-dropping-particle":"","parse-names":false,"suffix":""},{"dropping-particle":"","family":"Mailloux","given":"B. J.","non-dropping-particle":"","parse-names":false,"suffix":""},{"dropping-particle":"","family":"Zheng","given":"Y.","non-dropping-particle":"","parse-names":false,"suffix":""},{"dropping-particle":"","family":"Choudhury","given":"I.","non-dropping-particle":"","parse-names":false,"suffix":""},{"dropping-particle":"","family":"Ahmed","given":"K. M.","non-dropping-particle":"","parse-names":false,"suffix":""},{"dropping-particle":"","family":"Geen","given":"A.","non-dropping-particle":"van","parse-names":false,"suffix":""}],"container-title":"Water Resources Research","id":"ITEM-3","issue":"5","issued":{"date-parts":[["2016","5","1"]]},"page":"3324-3349","publisher":"Blackwell Publishing Ltd","title":"Recharge of low-arsenic aquifers tapped by community wells in Araihazar, Bangladesh, inferred from environmental isotopes","type":"article-journal","volume":"52"},"uris":["http://www.mendeley.com/documents/?uuid=ec3087f1-7c97-397f-87ff-8526031b1d31"]},{"id":"ITEM-4","itemData":{"author":[{"dropping-particle":"","family":"Aggarwal","given":"Pradeep","non-dropping-particle":"","parse-names":false,"suffix":""},{"dropping-particle":"","family":"Basu","given":"Asish","non-dropping-particle":"","parse-names":false,"suffix":""},{"dropping-particle":"","family":"Robert","given":"J Poreda","non-dropping-particle":"","parse-names":false,"suffix":""},{"dropping-particle":"","family":"Kulkarni","given":"KM","non-dropping-particle":"","parse-names":false,"suffix":""},{"dropping-particle":"","family":"Tarafdar","given":"Sa","non-dropping-particle":"","parse-names":false,"suffix":""},{"dropping-particle":"","family":"Ali","given":"Mohamed","non-dropping-particle":"","parse-names":false,"suffix":""},{"dropping-particle":"","family":"Ahmed","given":"Nasir","non-dropping-particle":"","parse-names":false,"suffix":""},{"dropping-particle":"","family":"Hussain","given":"Alamgir","non-dropping-particle":"","parse-names":false,"suffix":""},{"dropping-particle":"","family":"Rahman","given":"Mizanur","non-dropping-particle":"","parse-names":false,"suffix":""},{"dropping-particle":"","family":"Reazuddin Ahmed","given":"Syed","non-dropping-particle":"","parse-names":false,"suffix":""}],"id":"ITEM-4","issued":{"date-parts":[["2000"]]},"title":"A Report on Isotope Hydrology of Groundwater in Bangladesh: Implications for Characterization and Mitigation of Arsenic in Groundwater Work Performed within an IAEA-TC Project (BGD/8/016)","type":"report"},"uris":["http://www.mendeley.com/documents/?uuid=cdc6ecd7-9f4c-3495-af86-1e9c4fae96ba"]}],"mendeley":{"formattedCitation":"(&lt;i&gt;5&lt;/i&gt;–&lt;i&gt;8&lt;/i&gt;)","plainTextFormattedCitation":"(5–8)","previouslyFormattedCitation":"&lt;sup&gt;5–8&lt;/sup&gt;"},"properties":{"noteIndex":0},"schema":"https://github.com/citation-style-language/schema/raw/master/csl-citation.json"}</w:instrText>
      </w:r>
      <w:r w:rsidRPr="007B2715">
        <w:rPr>
          <w:color w:val="222222"/>
        </w:rPr>
        <w:fldChar w:fldCharType="separate"/>
      </w:r>
      <w:r w:rsidR="00D11AD8" w:rsidRPr="00D11AD8">
        <w:rPr>
          <w:noProof/>
          <w:color w:val="222222"/>
        </w:rPr>
        <w:t>(</w:t>
      </w:r>
      <w:r w:rsidR="00D11AD8" w:rsidRPr="00D11AD8">
        <w:rPr>
          <w:i/>
          <w:noProof/>
          <w:color w:val="222222"/>
        </w:rPr>
        <w:t>5</w:t>
      </w:r>
      <w:r w:rsidR="00D11AD8" w:rsidRPr="00D11AD8">
        <w:rPr>
          <w:noProof/>
          <w:color w:val="222222"/>
        </w:rPr>
        <w:t>–</w:t>
      </w:r>
      <w:r w:rsidR="00D11AD8" w:rsidRPr="00D11AD8">
        <w:rPr>
          <w:i/>
          <w:noProof/>
          <w:color w:val="222222"/>
        </w:rPr>
        <w:t>8</w:t>
      </w:r>
      <w:r w:rsidR="00D11AD8" w:rsidRPr="00D11AD8">
        <w:rPr>
          <w:noProof/>
          <w:color w:val="222222"/>
        </w:rPr>
        <w:t>)</w:t>
      </w:r>
      <w:r w:rsidRPr="007B2715">
        <w:rPr>
          <w:color w:val="222222"/>
        </w:rPr>
        <w:fldChar w:fldCharType="end"/>
      </w:r>
      <w:r w:rsidRPr="007B2715">
        <w:rPr>
          <w:color w:val="222222"/>
        </w:rPr>
        <w:t xml:space="preserve">. The isotope ratios of Ganges and Brahmaputra River waters were also lighter than the modern values during certain time periods such as around 30,000 years and 19,000 years BP </w:t>
      </w:r>
      <w:r w:rsidRPr="007B2715">
        <w:rPr>
          <w:color w:val="222222"/>
        </w:rPr>
        <w:fldChar w:fldCharType="begin" w:fldLock="1"/>
      </w:r>
      <w:r w:rsidR="00D11AD8">
        <w:rPr>
          <w:color w:val="222222"/>
        </w:rPr>
        <w:instrText>ADDIN CSL_CITATION {"citationItems":[{"id":"ITEM-1","itemData":{"DOI":"10.1016/j.quascirev.2016.01.022","ISSN":"02773791","abstract":"Oxygen isotopes of surface, thermocline and bottom dwelling foraminifera were analysed from two well-dated Andaman Sea cores and combined with nine previously published records from the Bay of Bengal (BoB) and Andaman Sea to create a transect spanning 20°N to 5°N. Combined with temperature estimates and the observed seawater δ18O-salinity relationship, these data are used to estimate past changes in BoB salinity structure. Compared to modern, mid-Holocene (9-6 cal ka BP) surface waters in the northern BoB were 2.5 psμ (8%) fresher, Andaman Sea were 3.8 psμ (12%) fresher, and southern BoB were 1.2 psμ (3.5%) fresher. Conversely, during the last glacial maximum (LGM), surface waters in the northern BoB were 2.9 psμ (9%) more saline while Andaman Sea were essentially unchanged and southern BoB were 1.7 psμ (4.9%) more saline compared to modern. The relative freshness of the Andaman during the last glacial maximum is likely the result of basin morphology during sea level low stand, resulting in reduced surface water mixing with the open BoB as well as shelf emergence, causing increased proximity of the core locations to river outflow. Sensitivity experiments using a regional ocean model indicate that the increased mid-Holocene north to south (20°N to 5°N) salinity gradient can be achieved with a ~50% increase in precipitation/runoff while the decreased glacial age gradient can be achieved with a ~50% reduction in precipitation/runoff. During the deglaciation, both surface and thermocline-dwelling species in the Andaman and northern BoB exhibit depleted δ18O within the Younger Dryas (YD), indicating colder and/or more saline conditions. None of the records from the southern BoB site have clear YD structure, possibly due to the combined effects of bioturbation and low sedimentation rates.","author":[{"dropping-particle":"V.","family":"Sijinkumar","given":"A.","non-dropping-particle":"","parse-names":false,"suffix":""},{"dropping-particle":"","family":"Clemens","given":"Steven","non-dropping-particle":"","parse-names":false,"suffix":""},{"dropping-particle":"","family":"Nath","given":"B. Nagender","non-dropping-particle":"","parse-names":false,"suffix":""},{"dropping-particle":"","family":"Prell","given":"Warren","non-dropping-particle":"","parse-names":false,"suffix":""},{"dropping-particle":"","family":"Benshila","given":"Rachid","non-dropping-particle":"","parse-names":false,"suffix":""},{"dropping-particle":"","family":"Lengaigne","given":"Matthieu","non-dropping-particle":"","parse-names":false,"suffix":""}],"container-title":"Quaternary Science Reviews","id":"ITEM-1","issued":{"date-parts":[["2016","3","1"]]},"page":"79-91","publisher":"Elsevier Ltd","title":"δ18O and salinity variability from the Last Glacial Maximum to Recent in the Bay of Bengal and Andaman Sea","type":"article-journal","volume":"135"},"uris":["http://www.mendeley.com/documents/?uuid=1050c6cd-010c-33c0-8904-9de9ecd804b2"]},{"id":"ITEM-2","itemData":{"DOI":"10.1002/hyp.13267","ISSN":"10991085","abstract":"In the Bengal Basin of Bangladesh and West Bengal (India), where arsenic (As) and salinity adversely affect groundwater in shallow aquifers (&lt;150 m deep), consumers increasingly turn to “the deep aquifer” as a source of low-As and low-salinity water. We show that “the deep aquifer,” which has traditionally been regarded as a single entity, can be divided into at least eight deep aquifer units each with distinctive chemical, isotopic, hydraulic, and piezometric characteristics. Except in the rapidly subsiding Sylhet Basin, the deep aquifers are largely As-safe (&lt;50 μg/L and mostly &lt;10 μg/L) but differ in terms of iron (Fe), manganese (Mn), salinity, stable isotopic composition, groundwater age, and in their piezometric response to pumping. We use isotopic data to identify recharge from five periods, of which two are quantitatively dominant: (a) from the Last Glacial Maximum, isotopically heavy water (δ18O &gt;−3.5‰) with low As, Cl, and Fe concentrations occupies hydraulically trapped positions in the South-Central, Southeast, Southwest, and Madhupur aquifer units and (b) terminal Pleistocene to Early Holocene recharge of isotopically lighter water (δ18O &lt;−3.5‰) that has high Fe and slightly elevated Cl concentrations and was recharged along palaeochannels that facilitated deep circulation up to the mid-Holocene. Piezometric responses to development change in style towards the coast. In the north, water levels at all depths tend to be coincident and transition through a seasonally divergent pattern to become parallel in the south with a near constant downward gradient. The delineation of the deep aquifer units provides a practical framework for the assessment and management of groundwater resources for water supply.","author":[{"dropping-particle":"","family":"Ravenscroft","given":"Peter","non-dropping-particle":"","parse-names":false,"suffix":""},{"dropping-particle":"","family":"McArthur","given":"John M.","non-dropping-particle":"","parse-names":false,"suffix":""},{"dropping-particle":"","family":"Rahman","given":"Muhammad Saifur","non-dropping-particle":"","parse-names":false,"suffix":""}],"container-title":"Hydrological Processes","id":"ITEM-2","issue":"24","issued":{"date-parts":[["2018","11","30"]]},"page":"3615-3632","publisher":"John Wiley and Sons Ltd","title":"Identifying multiple deep aquifers in the Bengal Basin: Implications for resource management","type":"article-journal","volume":"32"},"uris":["http://www.mendeley.com/documents/?uuid=1d88d2d5-ecf2-3e5c-833b-5d992bbe2125"]}],"mendeley":{"formattedCitation":"(&lt;i&gt;9&lt;/i&gt;, &lt;i&gt;10&lt;/i&gt;)","plainTextFormattedCitation":"(9, 10)","previouslyFormattedCitation":"&lt;sup&gt;9,10&lt;/sup&gt;"},"properties":{"noteIndex":0},"schema":"https://github.com/citation-style-language/schema/raw/master/csl-citation.json"}</w:instrText>
      </w:r>
      <w:r w:rsidRPr="007B2715">
        <w:rPr>
          <w:color w:val="222222"/>
        </w:rPr>
        <w:fldChar w:fldCharType="separate"/>
      </w:r>
      <w:r w:rsidR="00D11AD8" w:rsidRPr="00D11AD8">
        <w:rPr>
          <w:noProof/>
          <w:color w:val="222222"/>
        </w:rPr>
        <w:t>(</w:t>
      </w:r>
      <w:r w:rsidR="00D11AD8" w:rsidRPr="00D11AD8">
        <w:rPr>
          <w:i/>
          <w:noProof/>
          <w:color w:val="222222"/>
        </w:rPr>
        <w:t>9</w:t>
      </w:r>
      <w:r w:rsidR="00D11AD8" w:rsidRPr="00D11AD8">
        <w:rPr>
          <w:noProof/>
          <w:color w:val="222222"/>
        </w:rPr>
        <w:t xml:space="preserve">, </w:t>
      </w:r>
      <w:r w:rsidR="00D11AD8" w:rsidRPr="00D11AD8">
        <w:rPr>
          <w:i/>
          <w:noProof/>
          <w:color w:val="222222"/>
        </w:rPr>
        <w:t>10</w:t>
      </w:r>
      <w:r w:rsidR="00D11AD8" w:rsidRPr="00D11AD8">
        <w:rPr>
          <w:noProof/>
          <w:color w:val="222222"/>
        </w:rPr>
        <w:t>)</w:t>
      </w:r>
      <w:r w:rsidRPr="007B2715">
        <w:rPr>
          <w:color w:val="222222"/>
        </w:rPr>
        <w:fldChar w:fldCharType="end"/>
      </w:r>
      <w:r w:rsidRPr="007B2715">
        <w:rPr>
          <w:color w:val="222222"/>
        </w:rPr>
        <w:t xml:space="preserve">, when the northern hemisphere deglaciation resulted in the addition of isotopically depleted Himalayan meltwater to the rivers. </w:t>
      </w:r>
    </w:p>
    <w:p w14:paraId="6002B357" w14:textId="77777777" w:rsidR="00545A71" w:rsidRPr="006D2E75" w:rsidRDefault="00545A71" w:rsidP="00545A71">
      <w:pPr>
        <w:keepNext/>
        <w:adjustRightInd w:val="0"/>
        <w:snapToGrid w:val="0"/>
        <w:jc w:val="both"/>
        <w:rPr>
          <w:color w:val="222222"/>
        </w:rPr>
      </w:pPr>
      <w:r w:rsidRPr="007B2715">
        <w:rPr>
          <w:color w:val="222222"/>
        </w:rPr>
        <w:tab/>
      </w:r>
      <w:r w:rsidRPr="007B2715">
        <w:t xml:space="preserve">It is possible that </w:t>
      </w:r>
      <w:r w:rsidRPr="007B2715">
        <w:rPr>
          <w:color w:val="222222"/>
        </w:rPr>
        <w:t xml:space="preserve">the modern values used in our model could over- or underestimate the contributions from precipitation, standing water and river endmembers for Pleistocene groundwater samples. Since river and precipitation endmembers lie on the local meteoric water line (LMWL) their proportional contribution is negatively correlated. </w:t>
      </w:r>
      <w:r w:rsidRPr="007B2715">
        <w:t>Qualitative evaluation of possible range of endmember values (</w:t>
      </w:r>
      <w:r>
        <w:t>Figure</w:t>
      </w:r>
      <w:r w:rsidRPr="007B2715">
        <w:t xml:space="preserve"> S5) </w:t>
      </w:r>
      <w:r w:rsidRPr="007B2715">
        <w:rPr>
          <w:color w:val="222222"/>
        </w:rPr>
        <w:t>suggests that it might be possible that the endmember values used in our model could have under and overestimated the contribution of precipitation and rivers for some of the deep groundwater samples</w:t>
      </w:r>
      <w:r w:rsidRPr="007B2715">
        <w:t xml:space="preserve">. </w:t>
      </w:r>
      <w:r w:rsidRPr="007B2715">
        <w:rPr>
          <w:color w:val="222222"/>
        </w:rPr>
        <w:t xml:space="preserve"> The contribution from evaporated standing water for samples falling off the LMWL would have been similar to the values calculated by our model. We acknowledge the limitation of our model endmembers and focus our discussion on groundwater samples between 0 -100 m deep which is recharged primarily during the last 1000 years. </w:t>
      </w:r>
      <w:r>
        <w:br w:type="page"/>
      </w:r>
    </w:p>
    <w:p w14:paraId="62A6E8F2" w14:textId="77777777" w:rsidR="00545A71" w:rsidRDefault="00545A71" w:rsidP="00545A71">
      <w:pPr>
        <w:spacing w:after="160"/>
        <w:ind w:firstLine="720"/>
        <w:sectPr w:rsidR="00545A71" w:rsidSect="000C489A">
          <w:footerReference w:type="even" r:id="rId8"/>
          <w:footerReference w:type="default" r:id="rId9"/>
          <w:pgSz w:w="12240" w:h="15840"/>
          <w:pgMar w:top="1440" w:right="1440" w:bottom="1440" w:left="1440" w:header="720" w:footer="720" w:gutter="0"/>
          <w:lnNumType w:countBy="1" w:restart="continuous"/>
          <w:pgNumType w:start="1"/>
          <w:cols w:space="720"/>
          <w:docGrid w:linePitch="326"/>
        </w:sectPr>
      </w:pPr>
    </w:p>
    <w:p w14:paraId="38436BAC" w14:textId="77777777" w:rsidR="00545A71" w:rsidRDefault="00545A71" w:rsidP="00545A71">
      <w:r>
        <w:rPr>
          <w:noProof/>
        </w:rPr>
        <w:lastRenderedPageBreak/>
        <w:drawing>
          <wp:inline distT="0" distB="0" distL="0" distR="0" wp14:anchorId="26E78327" wp14:editId="1A9F3D8C">
            <wp:extent cx="8229600" cy="5491480"/>
            <wp:effectExtent l="0" t="0" r="0" b="0"/>
            <wp:docPr id="8" name="Picture 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229600" cy="5491480"/>
                    </a:xfrm>
                    <a:prstGeom prst="rect">
                      <a:avLst/>
                    </a:prstGeom>
                  </pic:spPr>
                </pic:pic>
              </a:graphicData>
            </a:graphic>
          </wp:inline>
        </w:drawing>
      </w:r>
    </w:p>
    <w:p w14:paraId="0D868492" w14:textId="77777777" w:rsidR="00545A71" w:rsidRDefault="00545A71" w:rsidP="00545A71"/>
    <w:p w14:paraId="7C989BC5" w14:textId="77777777" w:rsidR="00545A71" w:rsidRDefault="00545A71" w:rsidP="00545A71">
      <w:r>
        <w:t xml:space="preserve">Figure S1: Bi-monthly precipitation amount for the Bengal Basin (data: </w:t>
      </w:r>
      <w:hyperlink r:id="rId11" w:history="1">
        <w:r>
          <w:rPr>
            <w:rStyle w:val="Hyperlink"/>
          </w:rPr>
          <w:t>https://www.worldclim.org/</w:t>
        </w:r>
      </w:hyperlink>
      <w:r>
        <w:t>).</w:t>
      </w:r>
    </w:p>
    <w:p w14:paraId="059CC064" w14:textId="77777777" w:rsidR="00545A71" w:rsidRDefault="00545A71" w:rsidP="00545A71">
      <w:r>
        <w:rPr>
          <w:noProof/>
        </w:rPr>
        <w:lastRenderedPageBreak/>
        <w:drawing>
          <wp:inline distT="0" distB="0" distL="0" distR="0" wp14:anchorId="6A08D72F" wp14:editId="7034102C">
            <wp:extent cx="8229600" cy="5365750"/>
            <wp:effectExtent l="0" t="0" r="0" b="6350"/>
            <wp:docPr id="9" name="Picture 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ap&#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229600" cy="5365750"/>
                    </a:xfrm>
                    <a:prstGeom prst="rect">
                      <a:avLst/>
                    </a:prstGeom>
                  </pic:spPr>
                </pic:pic>
              </a:graphicData>
            </a:graphic>
          </wp:inline>
        </w:drawing>
      </w:r>
    </w:p>
    <w:p w14:paraId="698D7E7D" w14:textId="77777777" w:rsidR="00545A71" w:rsidRDefault="00545A71" w:rsidP="00545A71"/>
    <w:p w14:paraId="743A6A28" w14:textId="77777777" w:rsidR="00545A71" w:rsidRDefault="00545A71" w:rsidP="00545A71">
      <w:pPr>
        <w:sectPr w:rsidR="00545A71" w:rsidSect="0019352A">
          <w:pgSz w:w="15840" w:h="12240" w:orient="landscape"/>
          <w:pgMar w:top="1440" w:right="1440" w:bottom="1440" w:left="1440" w:header="720" w:footer="720" w:gutter="0"/>
          <w:lnNumType w:countBy="1" w:restart="continuous"/>
          <w:pgNumType w:start="1"/>
          <w:cols w:space="720"/>
          <w:docGrid w:linePitch="326"/>
        </w:sectPr>
      </w:pPr>
      <w:r>
        <w:t xml:space="preserve">Figure S2: Bi-monthly modeled mean </w:t>
      </w:r>
      <w:r>
        <w:rPr>
          <w:highlight w:val="white"/>
        </w:rPr>
        <w:t>δ</w:t>
      </w:r>
      <w:r>
        <w:rPr>
          <w:highlight w:val="white"/>
          <w:vertAlign w:val="superscript"/>
        </w:rPr>
        <w:t>18</w:t>
      </w:r>
      <w:r>
        <w:rPr>
          <w:highlight w:val="white"/>
        </w:rPr>
        <w:t>O</w:t>
      </w:r>
      <w:r>
        <w:t xml:space="preserve"> precipitation values for the Bengal Basin. Late Monsoon precipitation is isotopically lighter than dry season and early monsoon precipitation (data: </w:t>
      </w:r>
      <w:hyperlink r:id="rId13" w:history="1">
        <w:r>
          <w:rPr>
            <w:rStyle w:val="Hyperlink"/>
          </w:rPr>
          <w:t>https://wateriso.utah.edu/waterisotopes/index.html</w:t>
        </w:r>
      </w:hyperlink>
      <w:r>
        <w:t>).</w:t>
      </w:r>
    </w:p>
    <w:p w14:paraId="00077E31" w14:textId="77777777" w:rsidR="00545A71" w:rsidRDefault="00545A71" w:rsidP="00545A71">
      <w:pPr>
        <w:spacing w:after="160"/>
      </w:pPr>
      <w:r>
        <w:rPr>
          <w:noProof/>
        </w:rPr>
        <w:lastRenderedPageBreak/>
        <w:drawing>
          <wp:inline distT="0" distB="0" distL="0" distR="0" wp14:anchorId="185D499E" wp14:editId="4DDDFFF3">
            <wp:extent cx="5943600" cy="2945130"/>
            <wp:effectExtent l="0" t="0" r="0" b="1270"/>
            <wp:docPr id="27" name="Picture 27"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2945130"/>
                    </a:xfrm>
                    <a:prstGeom prst="rect">
                      <a:avLst/>
                    </a:prstGeom>
                  </pic:spPr>
                </pic:pic>
              </a:graphicData>
            </a:graphic>
          </wp:inline>
        </w:drawing>
      </w:r>
      <w:r>
        <w:t>Figure S3: (A) Range of precipitation, large rivers and standing water endmembers. (B) For mixing model consisting of precipitation river and standing water endmembers (model 2), two mixing scenarios are shown where a solution is possible – for these scenarios the endmember values are connected by red dashed lines. One mixing scenario is shown where a solution is not possible (connected by green lines).</w:t>
      </w:r>
    </w:p>
    <w:p w14:paraId="3A80C271" w14:textId="77777777" w:rsidR="00545A71" w:rsidRDefault="00545A71" w:rsidP="00545A71"/>
    <w:p w14:paraId="78B03C12" w14:textId="77777777" w:rsidR="00545A71" w:rsidRDefault="00545A71" w:rsidP="00545A71">
      <w:pPr>
        <w:widowControl w:val="0"/>
        <w:jc w:val="both"/>
      </w:pPr>
      <w:r>
        <w:rPr>
          <w:noProof/>
        </w:rPr>
        <w:drawing>
          <wp:inline distT="0" distB="0" distL="0" distR="0" wp14:anchorId="58B0E70A" wp14:editId="159C5BB4">
            <wp:extent cx="5943600" cy="3151505"/>
            <wp:effectExtent l="0" t="0" r="0" b="0"/>
            <wp:docPr id="28" name="Picture 2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Map&#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151505"/>
                    </a:xfrm>
                    <a:prstGeom prst="rect">
                      <a:avLst/>
                    </a:prstGeom>
                  </pic:spPr>
                </pic:pic>
              </a:graphicData>
            </a:graphic>
          </wp:inline>
        </w:drawing>
      </w:r>
    </w:p>
    <w:p w14:paraId="1BFD6FE8" w14:textId="77777777" w:rsidR="00545A71" w:rsidRDefault="00545A71" w:rsidP="00545A71">
      <w:pPr>
        <w:spacing w:after="160"/>
        <w:ind w:firstLine="720"/>
      </w:pPr>
      <w:r>
        <w:t>Figure S4: Spatial distribution of fractional contribution of standing water for shallow and deep wells. bgl: below ground level</w:t>
      </w:r>
    </w:p>
    <w:p w14:paraId="64BAEA60" w14:textId="77777777" w:rsidR="00545A71" w:rsidRDefault="00545A71" w:rsidP="00545A71">
      <w:pPr>
        <w:rPr>
          <w:b/>
          <w:bCs/>
          <w:sz w:val="28"/>
          <w:szCs w:val="28"/>
        </w:rPr>
      </w:pPr>
      <w:r>
        <w:rPr>
          <w:b/>
          <w:bCs/>
          <w:sz w:val="28"/>
          <w:szCs w:val="28"/>
        </w:rPr>
        <w:br w:type="page"/>
      </w:r>
    </w:p>
    <w:p w14:paraId="71BE4F92" w14:textId="77777777" w:rsidR="00545A71" w:rsidRDefault="00545A71" w:rsidP="00545A71">
      <w:pPr>
        <w:keepNext/>
        <w:adjustRightInd w:val="0"/>
        <w:snapToGrid w:val="0"/>
      </w:pPr>
      <w:r>
        <w:rPr>
          <w:noProof/>
        </w:rPr>
        <w:lastRenderedPageBreak/>
        <w:drawing>
          <wp:inline distT="0" distB="0" distL="0" distR="0" wp14:anchorId="2A76BF8A" wp14:editId="289EDEFC">
            <wp:extent cx="5943600" cy="5350510"/>
            <wp:effectExtent l="0" t="0" r="0" b="0"/>
            <wp:docPr id="29" name="Picture 29"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 diagram&#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5350510"/>
                    </a:xfrm>
                    <a:prstGeom prst="rect">
                      <a:avLst/>
                    </a:prstGeom>
                  </pic:spPr>
                </pic:pic>
              </a:graphicData>
            </a:graphic>
          </wp:inline>
        </w:drawing>
      </w:r>
    </w:p>
    <w:p w14:paraId="2CFF870E" w14:textId="22290A39" w:rsidR="00545A71" w:rsidRDefault="00545A71" w:rsidP="00545A71">
      <w:pPr>
        <w:widowControl w:val="0"/>
        <w:ind w:firstLine="720"/>
        <w:jc w:val="both"/>
      </w:pPr>
      <w:r>
        <w:t xml:space="preserve">Figure S5: Schematic showing the probable isotope end-member sources values during modern and Late-Pleistocene-Early Holocene time. The red circles, purple square and the orange diamond are the isotope values of groundwater below 75 m depth, large rivers and the amount-weighted mean of modern precipitation. The brown and purple ellipse shows the possible range of mean precipitation and river isotope values during Late Pleistocene -Early Holocene period, see ref. </w:t>
      </w:r>
      <w:r>
        <w:fldChar w:fldCharType="begin" w:fldLock="1"/>
      </w:r>
      <w:r w:rsidR="00D11AD8">
        <w:instrText xml:space="preserve">ADDIN CSL_CITATION {"citationItems":[{"id":"ITEM-1","itemData":{"DOI":"10.1002/2016GC006400","ISSN":"15252027","abstract":"Global water cycles, ecosystem assemblages, and weathering rates were impacted by the </w:instrText>
      </w:r>
      <w:r w:rsidR="00D11AD8">
        <w:rPr>
          <w:rFonts w:ascii="Cambria Math" w:hAnsi="Cambria Math" w:cs="Cambria Math"/>
        </w:rPr>
        <w:instrText>∼</w:instrText>
      </w:r>
      <w:r w:rsidR="00D11AD8">
        <w:instrText>4°C of global warming that took place over the course of the last glacial termination. Fossil groundwaters can be useful indicators of late-Pleistocene precipitation isotope compositions, which, in turn, can help to test hypotheses about the drivers and impacts of glacial-interglacial climate changes. Here, a global catalog of 126 fossil groundwater records is used to interpolate late-Pleistocene precipitation δ18O across the global landmass. The interpolated data show that extratropical late-Pleistocene terrestrial precipitation was near uniformly depleted in 18O relative to the late Holocene. By contrast, tropical δ18O responses to deglacial warming diverged; late-Pleistocene δ18O was higher-than-modern across India and South China but lower-than-modern throughout much of northern and southern Africa. Groundwaters that recharged beneath large northern hemisphere ice sheets have different Holocene-Pleistocene δ18O relationships than paleowaters that recharged subaerially, potentially aiding reconstructions of englacial transport in paleo ice sheets. Global terrestrial late-Pleistocene precipitation δ18O maps may help to determine 3-D groundwater age distributions, constrain Pleistocene mammal movements, and better understand glacial climate dynamics.","author":[{"dropping-particle":"","family":"Jasechko","given":"Scott","non-dropping-particle":"","parse-names":false,"suffix":""}],"container-title":"Geochemistry, Geophysics, Geosystems","id":"ITEM-1","issue":"8","issued":{"date-parts":[["2016","8","1"]]},"page":"3274-3288","publisher":"Blackwell Publishing Ltd","title":"Late-Pleistocene precipitation δ18O interpolated across the global landmass","type":"article-journal","volume":"17"},"uris":["http://www.mendeley.com/documents/?uuid=6eb5b190-6268-3373-930e-c5cdb7bd87b7"]}],"mendeley":{"formattedCitation":"(&lt;i&gt;5&lt;/i&gt;)","plainTextFormattedCitation":"(5)","previouslyFormattedCitation":"&lt;sup&gt;5&lt;/sup&gt;"},"properties":{"noteIndex":0},"schema":"https://github.com/citation-style-language/schema/raw/master/csl-citation.json"}</w:instrText>
      </w:r>
      <w:r>
        <w:fldChar w:fldCharType="separate"/>
      </w:r>
      <w:r w:rsidR="00D11AD8" w:rsidRPr="00D11AD8">
        <w:rPr>
          <w:noProof/>
        </w:rPr>
        <w:t>(</w:t>
      </w:r>
      <w:r w:rsidR="00D11AD8" w:rsidRPr="00D11AD8">
        <w:rPr>
          <w:i/>
          <w:noProof/>
        </w:rPr>
        <w:t>5</w:t>
      </w:r>
      <w:r w:rsidR="00D11AD8" w:rsidRPr="00D11AD8">
        <w:rPr>
          <w:noProof/>
        </w:rPr>
        <w:t>)</w:t>
      </w:r>
      <w:r>
        <w:fldChar w:fldCharType="end"/>
      </w:r>
      <w:r>
        <w:t>. Light blue shaded region is the possible range of evaporated surface water based upon the surface water samples analyzed in this study.</w:t>
      </w:r>
    </w:p>
    <w:p w14:paraId="61ECF708" w14:textId="77777777" w:rsidR="00545A71" w:rsidRDefault="00545A71" w:rsidP="00545A71">
      <w:pPr>
        <w:widowControl w:val="0"/>
        <w:ind w:firstLine="720"/>
        <w:jc w:val="both"/>
      </w:pPr>
    </w:p>
    <w:p w14:paraId="5ACDCAAB" w14:textId="77777777" w:rsidR="00545A71" w:rsidRDefault="00545A71" w:rsidP="00545A71">
      <w:pPr>
        <w:widowControl w:val="0"/>
        <w:ind w:firstLine="720"/>
        <w:jc w:val="both"/>
      </w:pPr>
      <w:r>
        <w:rPr>
          <w:noProof/>
        </w:rPr>
        <w:lastRenderedPageBreak/>
        <w:drawing>
          <wp:inline distT="0" distB="0" distL="0" distR="0" wp14:anchorId="71DD38D1" wp14:editId="4ED9B0DF">
            <wp:extent cx="5943600" cy="4795520"/>
            <wp:effectExtent l="0" t="0" r="0" b="5080"/>
            <wp:docPr id="3" name="Picture 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Map&#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4795520"/>
                    </a:xfrm>
                    <a:prstGeom prst="rect">
                      <a:avLst/>
                    </a:prstGeom>
                  </pic:spPr>
                </pic:pic>
              </a:graphicData>
            </a:graphic>
          </wp:inline>
        </w:drawing>
      </w:r>
    </w:p>
    <w:p w14:paraId="23E4D704" w14:textId="77777777" w:rsidR="00545A71" w:rsidRDefault="00545A71" w:rsidP="00545A71">
      <w:pPr>
        <w:widowControl w:val="0"/>
        <w:ind w:firstLine="720"/>
        <w:jc w:val="both"/>
      </w:pPr>
      <w:r>
        <w:t>Figure</w:t>
      </w:r>
      <w:r w:rsidRPr="00F85A8F">
        <w:t xml:space="preserve"> </w:t>
      </w:r>
      <w:r>
        <w:t>S6</w:t>
      </w:r>
      <w:r w:rsidRPr="00F85A8F">
        <w:t xml:space="preserve">: Change in the water table between </w:t>
      </w:r>
      <w:r>
        <w:t xml:space="preserve">October </w:t>
      </w:r>
      <w:r w:rsidRPr="00F85A8F">
        <w:t>(</w:t>
      </w:r>
      <w:r>
        <w:t xml:space="preserve">high </w:t>
      </w:r>
      <w:r w:rsidRPr="00F85A8F">
        <w:t xml:space="preserve">groundwater level) and </w:t>
      </w:r>
      <w:r>
        <w:t>April</w:t>
      </w:r>
      <w:r w:rsidRPr="00F85A8F">
        <w:t xml:space="preserve"> (</w:t>
      </w:r>
      <w:r>
        <w:t>low</w:t>
      </w:r>
      <w:r w:rsidRPr="00F85A8F">
        <w:t xml:space="preserve"> groundwater level) expressed as percent change occurring each month</w:t>
      </w:r>
      <w:r>
        <w:t>(s)</w:t>
      </w:r>
      <w:r w:rsidRPr="00F85A8F">
        <w:t>.</w:t>
      </w:r>
      <w:r>
        <w:t xml:space="preserve"> Panels (A-D) shows percent discharge in November to January (A), February (B), March (C) and April (D). A percentage change of 75 means that 75% of the net groundwater discharge occurred in that month(s).  Negative discharge percent for some wells in April means that lowest groundwater level occurred in March and groundwater level increased in April.  </w:t>
      </w:r>
    </w:p>
    <w:p w14:paraId="1D198694" w14:textId="77777777" w:rsidR="00545A71" w:rsidRDefault="00545A71" w:rsidP="00545A71">
      <w:r>
        <w:br w:type="page"/>
      </w:r>
    </w:p>
    <w:p w14:paraId="774C923C" w14:textId="77777777" w:rsidR="00545A71" w:rsidRDefault="00545A71" w:rsidP="00545A71">
      <w:pPr>
        <w:widowControl w:val="0"/>
        <w:ind w:firstLine="720"/>
        <w:jc w:val="both"/>
      </w:pPr>
    </w:p>
    <w:p w14:paraId="4F930A06" w14:textId="77777777" w:rsidR="00545A71" w:rsidRDefault="00545A71" w:rsidP="00545A71">
      <w:pPr>
        <w:widowControl w:val="0"/>
      </w:pPr>
      <w:r>
        <w:rPr>
          <w:noProof/>
        </w:rPr>
        <w:drawing>
          <wp:inline distT="0" distB="0" distL="0" distR="0" wp14:anchorId="10633A19" wp14:editId="49B897D0">
            <wp:extent cx="5943600" cy="5229225"/>
            <wp:effectExtent l="0" t="0" r="0" b="3175"/>
            <wp:docPr id="23" name="Picture 2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Map&#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5229225"/>
                    </a:xfrm>
                    <a:prstGeom prst="rect">
                      <a:avLst/>
                    </a:prstGeom>
                  </pic:spPr>
                </pic:pic>
              </a:graphicData>
            </a:graphic>
          </wp:inline>
        </w:drawing>
      </w:r>
    </w:p>
    <w:p w14:paraId="56F45654" w14:textId="77777777" w:rsidR="00545A71" w:rsidRDefault="00545A71" w:rsidP="00545A71">
      <w:pPr>
        <w:widowControl w:val="0"/>
        <w:ind w:firstLine="720"/>
        <w:jc w:val="both"/>
      </w:pPr>
      <w:r>
        <w:t>Figure</w:t>
      </w:r>
      <w:r w:rsidRPr="00F85A8F">
        <w:t xml:space="preserve"> </w:t>
      </w:r>
      <w:r>
        <w:t>S7</w:t>
      </w:r>
      <w:r w:rsidRPr="00F85A8F">
        <w:t>: Change in the water table between April (lowest groundwater level) and October (highest groundwater level occurs either in late September or early October) expressed as percent change occurring each month.</w:t>
      </w:r>
      <w:r>
        <w:t xml:space="preserve"> Panels (A-D) shows percent recharge in May and June (A), July and August (B), September (C) and October (D). Light green and light gray states highlight the states where majority of the recharge occurs in May and June and July and August respectively. A percentage change of 75 means that 75% of the groundwater level recovery occurred in that month.  Negative recharge percent for some wells in October means that highest groundwater level occurred in September and from September to October the groundwater level decreased.  </w:t>
      </w:r>
    </w:p>
    <w:p w14:paraId="76A0BFA9" w14:textId="77777777" w:rsidR="00545A71" w:rsidRDefault="00545A71" w:rsidP="00545A71">
      <w:r>
        <w:br w:type="page"/>
      </w:r>
    </w:p>
    <w:p w14:paraId="0FE5ACDC" w14:textId="77777777" w:rsidR="00545A71" w:rsidRDefault="00545A71" w:rsidP="00545A71">
      <w:pPr>
        <w:spacing w:after="160"/>
        <w:ind w:firstLine="720"/>
      </w:pPr>
      <w:r>
        <w:lastRenderedPageBreak/>
        <w:t>Table S1: Data source, year of publication of groundwater, surface water and precipitation stable isotope ratios across the Bengal Basin</w:t>
      </w:r>
    </w:p>
    <w:tbl>
      <w:tblPr>
        <w:tblW w:w="7320" w:type="dxa"/>
        <w:jc w:val="center"/>
        <w:tblLook w:val="04A0" w:firstRow="1" w:lastRow="0" w:firstColumn="1" w:lastColumn="0" w:noHBand="0" w:noVBand="1"/>
      </w:tblPr>
      <w:tblGrid>
        <w:gridCol w:w="4200"/>
        <w:gridCol w:w="1669"/>
        <w:gridCol w:w="1451"/>
      </w:tblGrid>
      <w:tr w:rsidR="00545A71" w14:paraId="2494E2D8" w14:textId="77777777" w:rsidTr="007A7372">
        <w:trPr>
          <w:trHeight w:val="320"/>
          <w:jc w:val="center"/>
        </w:trPr>
        <w:tc>
          <w:tcPr>
            <w:tcW w:w="4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252E23" w14:textId="77777777" w:rsidR="00545A71" w:rsidRDefault="00545A71" w:rsidP="007A7372">
            <w:pPr>
              <w:jc w:val="center"/>
              <w:rPr>
                <w:b/>
                <w:bCs/>
                <w:color w:val="000000"/>
                <w:sz w:val="20"/>
                <w:szCs w:val="20"/>
              </w:rPr>
            </w:pPr>
            <w:r>
              <w:rPr>
                <w:b/>
                <w:bCs/>
                <w:color w:val="000000"/>
                <w:sz w:val="20"/>
                <w:szCs w:val="20"/>
              </w:rPr>
              <w:t>Authors</w:t>
            </w:r>
          </w:p>
        </w:tc>
        <w:tc>
          <w:tcPr>
            <w:tcW w:w="1669" w:type="dxa"/>
            <w:tcBorders>
              <w:top w:val="single" w:sz="4" w:space="0" w:color="auto"/>
              <w:left w:val="nil"/>
              <w:bottom w:val="single" w:sz="4" w:space="0" w:color="auto"/>
              <w:right w:val="single" w:sz="4" w:space="0" w:color="auto"/>
            </w:tcBorders>
            <w:shd w:val="clear" w:color="auto" w:fill="auto"/>
            <w:noWrap/>
            <w:vAlign w:val="center"/>
            <w:hideMark/>
          </w:tcPr>
          <w:p w14:paraId="2267FA17" w14:textId="77777777" w:rsidR="00545A71" w:rsidRDefault="00545A71" w:rsidP="007A7372">
            <w:pPr>
              <w:jc w:val="center"/>
              <w:rPr>
                <w:b/>
                <w:bCs/>
                <w:color w:val="000000"/>
                <w:sz w:val="20"/>
                <w:szCs w:val="20"/>
              </w:rPr>
            </w:pPr>
            <w:r>
              <w:rPr>
                <w:b/>
                <w:bCs/>
                <w:color w:val="000000"/>
                <w:sz w:val="20"/>
                <w:szCs w:val="20"/>
              </w:rPr>
              <w:t>Year of publication</w:t>
            </w:r>
          </w:p>
        </w:tc>
        <w:tc>
          <w:tcPr>
            <w:tcW w:w="1451" w:type="dxa"/>
            <w:tcBorders>
              <w:top w:val="single" w:sz="4" w:space="0" w:color="auto"/>
              <w:left w:val="nil"/>
              <w:bottom w:val="single" w:sz="4" w:space="0" w:color="auto"/>
              <w:right w:val="single" w:sz="4" w:space="0" w:color="auto"/>
            </w:tcBorders>
            <w:shd w:val="clear" w:color="auto" w:fill="auto"/>
            <w:noWrap/>
            <w:vAlign w:val="center"/>
            <w:hideMark/>
          </w:tcPr>
          <w:p w14:paraId="09F20420" w14:textId="77777777" w:rsidR="00545A71" w:rsidRDefault="00545A71" w:rsidP="007A7372">
            <w:pPr>
              <w:jc w:val="center"/>
              <w:rPr>
                <w:rFonts w:ascii="Calibri" w:hAnsi="Calibri" w:cs="Calibri"/>
                <w:b/>
                <w:bCs/>
                <w:color w:val="000000"/>
                <w:sz w:val="20"/>
                <w:szCs w:val="20"/>
              </w:rPr>
            </w:pPr>
            <w:r>
              <w:rPr>
                <w:rFonts w:ascii="Calibri" w:hAnsi="Calibri" w:cs="Calibri"/>
                <w:b/>
                <w:bCs/>
                <w:color w:val="000000"/>
                <w:sz w:val="20"/>
                <w:szCs w:val="20"/>
              </w:rPr>
              <w:t>Reference</w:t>
            </w:r>
          </w:p>
        </w:tc>
      </w:tr>
      <w:tr w:rsidR="00545A71" w14:paraId="2DA7ADEE"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7ECF3A2D" w14:textId="77777777" w:rsidR="00545A71" w:rsidRDefault="00545A71" w:rsidP="007A7372">
            <w:pPr>
              <w:jc w:val="center"/>
              <w:rPr>
                <w:color w:val="000000"/>
                <w:sz w:val="20"/>
                <w:szCs w:val="20"/>
              </w:rPr>
            </w:pPr>
            <w:r>
              <w:rPr>
                <w:color w:val="000000"/>
                <w:sz w:val="20"/>
                <w:szCs w:val="20"/>
              </w:rPr>
              <w:t>Aggarwal et al</w:t>
            </w:r>
          </w:p>
        </w:tc>
        <w:tc>
          <w:tcPr>
            <w:tcW w:w="1669" w:type="dxa"/>
            <w:tcBorders>
              <w:top w:val="nil"/>
              <w:left w:val="nil"/>
              <w:bottom w:val="single" w:sz="4" w:space="0" w:color="auto"/>
              <w:right w:val="single" w:sz="4" w:space="0" w:color="auto"/>
            </w:tcBorders>
            <w:shd w:val="clear" w:color="auto" w:fill="auto"/>
            <w:noWrap/>
            <w:vAlign w:val="center"/>
            <w:hideMark/>
          </w:tcPr>
          <w:p w14:paraId="6EF7DC03" w14:textId="77777777" w:rsidR="00545A71" w:rsidRDefault="00545A71" w:rsidP="007A7372">
            <w:pPr>
              <w:jc w:val="center"/>
              <w:rPr>
                <w:color w:val="000000"/>
                <w:sz w:val="20"/>
                <w:szCs w:val="20"/>
              </w:rPr>
            </w:pPr>
            <w:r>
              <w:rPr>
                <w:color w:val="000000"/>
                <w:sz w:val="20"/>
                <w:szCs w:val="20"/>
              </w:rPr>
              <w:t>2000</w:t>
            </w:r>
          </w:p>
        </w:tc>
        <w:tc>
          <w:tcPr>
            <w:tcW w:w="1451" w:type="dxa"/>
            <w:tcBorders>
              <w:top w:val="nil"/>
              <w:left w:val="nil"/>
              <w:bottom w:val="single" w:sz="4" w:space="0" w:color="auto"/>
              <w:right w:val="single" w:sz="4" w:space="0" w:color="auto"/>
            </w:tcBorders>
            <w:shd w:val="clear" w:color="auto" w:fill="auto"/>
            <w:noWrap/>
            <w:vAlign w:val="bottom"/>
            <w:hideMark/>
          </w:tcPr>
          <w:p w14:paraId="35C04F1C" w14:textId="25675873"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author":[{"dropping-particle":"","family":"Aggarwal","given":"Pradeep","non-dropping-particle":"","parse-names":false,"suffix":""},{"dropping-particle":"","family":"Basu","given":"Asish","non-dropping-particle":"","parse-names":false,"suffix":""},{"dropping-particle":"","family":"Robert","given":"J Poreda","non-dropping-particle":"","parse-names":false,"suffix":""},{"dropping-particle":"","family":"Kulkarni","given":"KM","non-dropping-particle":"","parse-names":false,"suffix":""},{"dropping-particle":"","family":"Tarafdar","given":"Sa","non-dropping-particle":"","parse-names":false,"suffix":""},{"dropping-particle":"","family":"Ali","given":"Mohamed","non-dropping-particle":"","parse-names":false,"suffix":""},{"dropping-particle":"","family":"Ahmed","given":"Nasir","non-dropping-particle":"","parse-names":false,"suffix":""},{"dropping-particle":"","family":"Hussain","given":"Alamgir","non-dropping-particle":"","parse-names":false,"suffix":""},{"dropping-particle":"","family":"Rahman","given":"Mizanur","non-dropping-particle":"","parse-names":false,"suffix":""},{"dropping-particle":"","family":"Reazuddin Ahmed","given":"Syed","non-dropping-particle":"","parse-names":false,"suffix":""}],"id":"ITEM-1","issued":{"date-parts":[["2000"]]},"title":"A Report on Isotope Hydrology of Groundwater in Bangladesh: Implications for Characterization and Mitigation of Arsenic in Groundwater Work Performed within an IAEA-TC Project (BGD/8/016)","type":"report"},"uris":["http://www.mendeley.com/documents/?uuid=cdc6ecd7-9f4c-3495-af86-1e9c4fae96ba"]}],"mendeley":{"formattedCitation":"(&lt;i&gt;8&lt;/i&gt;)","plainTextFormattedCitation":"(8)","previouslyFormattedCitation":"&lt;sup&gt;8&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8</w:t>
            </w:r>
            <w:r w:rsidR="00D11AD8" w:rsidRPr="00D11AD8">
              <w:rPr>
                <w:noProof/>
                <w:color w:val="000000"/>
                <w:sz w:val="22"/>
                <w:szCs w:val="22"/>
              </w:rPr>
              <w:t>)</w:t>
            </w:r>
            <w:r w:rsidRPr="00FB1ADB">
              <w:rPr>
                <w:color w:val="000000"/>
                <w:sz w:val="22"/>
                <w:szCs w:val="22"/>
              </w:rPr>
              <w:fldChar w:fldCharType="end"/>
            </w:r>
          </w:p>
        </w:tc>
      </w:tr>
      <w:tr w:rsidR="00545A71" w14:paraId="26C1A505"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14C84540" w14:textId="77777777" w:rsidR="00545A71" w:rsidRDefault="00545A71" w:rsidP="007A7372">
            <w:pPr>
              <w:jc w:val="center"/>
              <w:rPr>
                <w:color w:val="000000"/>
                <w:sz w:val="20"/>
                <w:szCs w:val="20"/>
              </w:rPr>
            </w:pPr>
            <w:r>
              <w:rPr>
                <w:color w:val="000000"/>
                <w:sz w:val="20"/>
                <w:szCs w:val="20"/>
              </w:rPr>
              <w:t>BAEC</w:t>
            </w:r>
          </w:p>
        </w:tc>
        <w:tc>
          <w:tcPr>
            <w:tcW w:w="1669" w:type="dxa"/>
            <w:tcBorders>
              <w:top w:val="nil"/>
              <w:left w:val="nil"/>
              <w:bottom w:val="single" w:sz="4" w:space="0" w:color="auto"/>
              <w:right w:val="single" w:sz="4" w:space="0" w:color="auto"/>
            </w:tcBorders>
            <w:shd w:val="clear" w:color="auto" w:fill="auto"/>
            <w:noWrap/>
            <w:vAlign w:val="center"/>
            <w:hideMark/>
          </w:tcPr>
          <w:p w14:paraId="62156E28" w14:textId="77777777" w:rsidR="00545A71" w:rsidRDefault="00545A71" w:rsidP="007A7372">
            <w:pPr>
              <w:jc w:val="center"/>
              <w:rPr>
                <w:color w:val="000000"/>
                <w:sz w:val="20"/>
                <w:szCs w:val="20"/>
              </w:rPr>
            </w:pPr>
            <w:r>
              <w:rPr>
                <w:color w:val="000000"/>
                <w:sz w:val="20"/>
                <w:szCs w:val="20"/>
              </w:rPr>
              <w:t>2010</w:t>
            </w:r>
          </w:p>
        </w:tc>
        <w:tc>
          <w:tcPr>
            <w:tcW w:w="1451" w:type="dxa"/>
            <w:tcBorders>
              <w:top w:val="nil"/>
              <w:left w:val="nil"/>
              <w:bottom w:val="single" w:sz="4" w:space="0" w:color="auto"/>
              <w:right w:val="single" w:sz="4" w:space="0" w:color="auto"/>
            </w:tcBorders>
            <w:shd w:val="clear" w:color="auto" w:fill="auto"/>
            <w:noWrap/>
            <w:vAlign w:val="bottom"/>
            <w:hideMark/>
          </w:tcPr>
          <w:p w14:paraId="6B2FE06D" w14:textId="2D3D1FBE"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{"citationItems":[{"id":"ITEM-1","itemData":{"DOI":"10.1002/hyp.13267","ISSN":"10991085","abstract":"In the Bengal Basin of Bangladesh and West Bengal (India), where arsenic (As) and salinity adversely affect groundwater in shallow aquifers (&lt;150 m deep), consumers increasingly turn to “the deep aquifer” as a source of low-As and low-salinity water. We show that “the deep aquifer,” which has traditionally been regarded as a single entity, can be divided into at least eight deep aquifer units each with distinctive chemical, isotopic, hydraulic, and piezometric characteristics. Except in the rapidly subsiding Sylhet Basin, the deep aquifers are largely As-safe (&lt;50 μg/L and mostly &lt;10 μg/L) but differ in terms of iron (Fe), manganese (Mn), salinity, stable isotopic composition, groundwater age, and in their piezometric response to pumping. We use isotopic data to identify recharge from five periods, of which two are quantitatively dominant: (a) from the Last Glacial Maximum, isotopically heavy water (δ18O &gt;−3.5‰) with low As, Cl, and Fe concentrations occupies hydraulically trapped positions in the South-Central, Southeast, Southwest, and Madhupur aquifer units and (b) terminal Pleistocene to Early Holocene recharge of isotopically lighter water (δ18O &lt;−3.5‰) that has high Fe and slightly elevated Cl concentrations and was recharged along palaeochannels that facilitated deep circulation up to the mid-Holocene. Piezometric responses to development change in style towards the coast. In the north, water levels at all depths tend to be coincident and transition through a seasonally divergent pattern to become parallel in the south with a near constant downward gradient. The delineation of the deep aquifer units provides a practical framework for the assessment and management of groundwater resources for water supply.","author":[{"dropping-particle":"","family":"Ravenscroft","given":"Peter","non-dropping-particle":"","parse-names":false,"suffix":""},{"dropping-particle":"","family":"McArthur","given":"John M.","non-dropping-particle":"","parse-names":false,"suffix":""},{"dropping-particle":"","family":"Rahman","given":"Muhammad Saifur","non-dropping-particle":"","parse-names":false,"suffix":""}],"container-title":"Hydrological Processes","id":"ITEM-1","issue":"24","issued":{"date-parts":[["2018","11","30"]]},"page":"3615-3632","publisher":"John Wiley and Sons Ltd","title":"Identifying multiple deep aquifers in the Bengal Basin: Implications for resource management","type":"article-journal","volume":"32"},"uris":["http://www.mendeley.com/documents/?uuid=1d88d2d5-ecf2-3e5c-833b-5d992bbe2125"]}],"mendeley":{"formattedCitation":"(&lt;i&gt;10&lt;/i&gt;)","plainTextFormattedCitation":"(10)","previouslyFormattedCitation":"&lt;sup&gt;10&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10</w:t>
            </w:r>
            <w:r w:rsidR="00D11AD8" w:rsidRPr="00D11AD8">
              <w:rPr>
                <w:noProof/>
                <w:color w:val="000000"/>
                <w:sz w:val="22"/>
                <w:szCs w:val="22"/>
              </w:rPr>
              <w:t>)</w:t>
            </w:r>
            <w:r w:rsidRPr="00FB1ADB">
              <w:rPr>
                <w:color w:val="000000"/>
                <w:sz w:val="22"/>
                <w:szCs w:val="22"/>
              </w:rPr>
              <w:fldChar w:fldCharType="end"/>
            </w:r>
          </w:p>
        </w:tc>
      </w:tr>
      <w:tr w:rsidR="00545A71" w14:paraId="4354D36D"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6DE46830" w14:textId="77777777" w:rsidR="00545A71" w:rsidRDefault="00545A71" w:rsidP="007A7372">
            <w:pPr>
              <w:jc w:val="center"/>
              <w:rPr>
                <w:color w:val="000000"/>
                <w:sz w:val="20"/>
                <w:szCs w:val="20"/>
              </w:rPr>
            </w:pPr>
            <w:r>
              <w:rPr>
                <w:color w:val="000000"/>
                <w:sz w:val="20"/>
                <w:szCs w:val="20"/>
              </w:rPr>
              <w:t>DPHE</w:t>
            </w:r>
          </w:p>
        </w:tc>
        <w:tc>
          <w:tcPr>
            <w:tcW w:w="1669" w:type="dxa"/>
            <w:tcBorders>
              <w:top w:val="nil"/>
              <w:left w:val="nil"/>
              <w:bottom w:val="single" w:sz="4" w:space="0" w:color="auto"/>
              <w:right w:val="single" w:sz="4" w:space="0" w:color="auto"/>
            </w:tcBorders>
            <w:shd w:val="clear" w:color="auto" w:fill="auto"/>
            <w:noWrap/>
            <w:vAlign w:val="center"/>
            <w:hideMark/>
          </w:tcPr>
          <w:p w14:paraId="6E7DDC31" w14:textId="77777777" w:rsidR="00545A71" w:rsidRDefault="00545A71" w:rsidP="007A7372">
            <w:pPr>
              <w:jc w:val="center"/>
              <w:rPr>
                <w:color w:val="000000"/>
                <w:sz w:val="20"/>
                <w:szCs w:val="20"/>
              </w:rPr>
            </w:pPr>
            <w:r>
              <w:rPr>
                <w:color w:val="000000"/>
                <w:sz w:val="20"/>
                <w:szCs w:val="20"/>
              </w:rPr>
              <w:t>2001</w:t>
            </w:r>
          </w:p>
        </w:tc>
        <w:tc>
          <w:tcPr>
            <w:tcW w:w="1451" w:type="dxa"/>
            <w:tcBorders>
              <w:top w:val="nil"/>
              <w:left w:val="nil"/>
              <w:bottom w:val="single" w:sz="4" w:space="0" w:color="auto"/>
              <w:right w:val="single" w:sz="4" w:space="0" w:color="auto"/>
            </w:tcBorders>
            <w:shd w:val="clear" w:color="auto" w:fill="auto"/>
            <w:noWrap/>
            <w:vAlign w:val="bottom"/>
            <w:hideMark/>
          </w:tcPr>
          <w:p w14:paraId="6D752D39" w14:textId="00BC95A8" w:rsidR="00545A71" w:rsidRPr="00FB1ADB" w:rsidRDefault="00545A71" w:rsidP="007A7372">
            <w:pPr>
              <w:jc w:val="center"/>
              <w:rPr>
                <w:color w:val="000000"/>
                <w:sz w:val="22"/>
                <w:szCs w:val="22"/>
              </w:rPr>
            </w:pPr>
            <w:r>
              <w:rPr>
                <w:color w:val="000000"/>
                <w:sz w:val="22"/>
                <w:szCs w:val="22"/>
              </w:rPr>
              <w:fldChar w:fldCharType="begin" w:fldLock="1"/>
            </w:r>
            <w:r w:rsidR="00D11AD8">
              <w:rPr>
                <w:color w:val="000000"/>
                <w:sz w:val="22"/>
                <w:szCs w:val="22"/>
              </w:rPr>
              <w:instrText>ADDIN CSL_CITATION {"citationItems":[{"id":"ITEM-1","itemData":{"DOI":"10.1007/s10040-014-1155-8","ISSN":"14350157","abstract":"Dhaka, the capital of Bangladesh, is home to a population of 15 million people, whose water supply is 85% drawn from groundwater in aquifers that underlie the city. Values of Cl/Br &gt;500 are common in groundwater beneath western Dhaka in areas &lt;3 km from the river, and in rivers and sewers around and within the city. The study shows that groundwater beneath western Dhaka is strongly influenced by infiltration of effluent from leaking sewers and unsewered sanitation, and by river-bank infiltration from the Turag-Buriganga river system which bounds the western limit of the city. River-bank infiltration from other rivers around Dhaka is minor. Values of Cl/Br and Cl concentrations reveal that 23 % of wells sampled in Dhaka are influenced by saline connate water in amounts up to 1%. This residual natural salinity compromises the use of electrical conductivity of groundwater as a method for defining pathways of recharge by contaminated surface waters. Concentrations of As, B, Ba, Cd, Cu, F, Ni, NO3, Pb, Sb, Se and U in groundwater samples are less than WHO health-based guideline values for drinking water.","author":[{"dropping-particle":"","family":"Hoque","given":"M. A.","non-dropping-particle":"","parse-names":false,"suffix":""},{"dropping-particle":"","family":"McArthur","given":"J. M.","non-dropping-particle":"","parse-names":false,"suffix":""},{"dropping-particle":"","family":"Sikdar","given":"P. K.","non-dropping-particle":"","parse-names":false,"suffix":""},{"dropping-particle":"","family":"Ball","given":"J. D.","non-dropping-particle":"","parse-names":false,"suffix":""},{"dropping-particle":"","family":"Molla","given":"T. N.","non-dropping-particle":"","parse-names":false,"suffix":""}],"container-title":"Hydrogeology Journal","id":"ITEM-1","issue":"7","issued":{"date-parts":[["2014","10","21"]]},"page":"1549-1560","publisher":"Springer Verlag","title":"Tracing recharge to aquifers beneath an Asian megacity with Cl/Br and stable isotopes: The example of Dhaka, Bangladesh","type":"article-journal","volume":"22"},"uris":["http://www.mendeley.com/documents/?uuid=c76e11a3-1663-3ef4-82bd-de93ea1da21a"]}],"mendeley":{"formattedCitation":"(&lt;i&gt;11&lt;/i&gt;)","plainTextFormattedCitation":"(11)","previouslyFormattedCitation":"&lt;sup&gt;11&lt;/sup&gt;"},"properties":{"noteIndex":0},"schema":"https://github.com/citation-style-language/schema/raw/master/csl-citation.json"}</w:instrText>
            </w:r>
            <w:r>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11</w:t>
            </w:r>
            <w:r w:rsidR="00D11AD8" w:rsidRPr="00D11AD8">
              <w:rPr>
                <w:noProof/>
                <w:color w:val="000000"/>
                <w:sz w:val="22"/>
                <w:szCs w:val="22"/>
              </w:rPr>
              <w:t>)</w:t>
            </w:r>
            <w:r>
              <w:rPr>
                <w:color w:val="000000"/>
                <w:sz w:val="22"/>
                <w:szCs w:val="22"/>
              </w:rPr>
              <w:fldChar w:fldCharType="end"/>
            </w:r>
          </w:p>
        </w:tc>
      </w:tr>
      <w:tr w:rsidR="00545A71" w14:paraId="5B0859F1"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283FCFD8" w14:textId="77777777" w:rsidR="00545A71" w:rsidRDefault="00545A71" w:rsidP="007A7372">
            <w:pPr>
              <w:jc w:val="center"/>
              <w:rPr>
                <w:color w:val="000000"/>
                <w:sz w:val="20"/>
                <w:szCs w:val="20"/>
              </w:rPr>
            </w:pPr>
            <w:r>
              <w:rPr>
                <w:color w:val="000000"/>
                <w:sz w:val="20"/>
                <w:szCs w:val="20"/>
              </w:rPr>
              <w:t>Burgess et al</w:t>
            </w:r>
          </w:p>
        </w:tc>
        <w:tc>
          <w:tcPr>
            <w:tcW w:w="1669" w:type="dxa"/>
            <w:tcBorders>
              <w:top w:val="nil"/>
              <w:left w:val="nil"/>
              <w:bottom w:val="single" w:sz="4" w:space="0" w:color="auto"/>
              <w:right w:val="single" w:sz="4" w:space="0" w:color="auto"/>
            </w:tcBorders>
            <w:shd w:val="clear" w:color="auto" w:fill="auto"/>
            <w:noWrap/>
            <w:vAlign w:val="center"/>
            <w:hideMark/>
          </w:tcPr>
          <w:p w14:paraId="331563BE" w14:textId="77777777" w:rsidR="00545A71" w:rsidRDefault="00545A71" w:rsidP="007A7372">
            <w:pPr>
              <w:jc w:val="center"/>
              <w:rPr>
                <w:color w:val="000000"/>
                <w:sz w:val="20"/>
                <w:szCs w:val="20"/>
              </w:rPr>
            </w:pPr>
            <w:r>
              <w:rPr>
                <w:color w:val="000000"/>
                <w:sz w:val="20"/>
                <w:szCs w:val="20"/>
              </w:rPr>
              <w:t>2007</w:t>
            </w:r>
          </w:p>
        </w:tc>
        <w:tc>
          <w:tcPr>
            <w:tcW w:w="1451" w:type="dxa"/>
            <w:tcBorders>
              <w:top w:val="nil"/>
              <w:left w:val="nil"/>
              <w:bottom w:val="single" w:sz="4" w:space="0" w:color="auto"/>
              <w:right w:val="single" w:sz="4" w:space="0" w:color="auto"/>
            </w:tcBorders>
            <w:shd w:val="clear" w:color="auto" w:fill="auto"/>
            <w:noWrap/>
            <w:vAlign w:val="bottom"/>
            <w:hideMark/>
          </w:tcPr>
          <w:p w14:paraId="56A0346F" w14:textId="1E538CAC" w:rsidR="00545A71" w:rsidRPr="00FB1ADB" w:rsidRDefault="00545A71" w:rsidP="007A7372">
            <w:pPr>
              <w:jc w:val="center"/>
              <w:rPr>
                <w:color w:val="000000"/>
                <w:sz w:val="22"/>
                <w:szCs w:val="22"/>
              </w:rPr>
            </w:pPr>
            <w:r>
              <w:rPr>
                <w:color w:val="000000"/>
                <w:sz w:val="20"/>
                <w:szCs w:val="20"/>
              </w:rPr>
              <w:fldChar w:fldCharType="begin" w:fldLock="1"/>
            </w:r>
            <w:r w:rsidR="00D11AD8">
              <w:rPr>
                <w:color w:val="000000"/>
                <w:sz w:val="20"/>
                <w:szCs w:val="20"/>
              </w:rPr>
              <w:instrText>ADDIN CSL_CITATION {"citationItems":[{"id":"ITEM-1","itemData":{"DOI":"10.1016/S1875-1121(06)09002-X","ISBN":"9780444518200","ISSN":"18751121","abstract":"Groundwater across much of central and southern Bangladesh contains As at concentrations many times the World Health Organization recommended limit for drinking water, 10 μg/l. Approximately 70% of shallow hand-pumped tubewells (HTWs) comply with the Bangladesh national limit for drinking water, 50 μg/l. But will the As concentration in HTW discharge change with time? Attention is turning to the use of deeper tubewells (DTWs). Fewer than 1% of DTWs exceed the 50 μg/l As limit. For how long will DTWs remain As-safe? Prospects for sustainable development of groundwater either by shallow tubewells or by deep tubewells can only be judged by addressing the questions: will As concentration in tubewell discharge change with time; if so by how much, and how quickly? This chapter describes models developed to anticipate trends in As concentration at HTWs and DTWs in the alluvial aquifers, and assesses the field evidence for changing concentration over time. © 2007 Elsevier B.V. All rights reserved.","author":[{"dropping-particle":"","family":"Burgess","given":"W.","non-dropping-particle":"","parse-names":false,"suffix":""},{"dropping-particle":"","family":"Ahmed","given":"K. M.","non-dropping-particle":"","parse-names":false,"suffix":""},{"dropping-particle":"","family":"Carruthers","given":"A.","non-dropping-particle":"","parse-names":false,"suffix":""},{"dropping-particle":"","family":"Cheetham","given":"H.","non-dropping-particle":"","parse-names":false,"suffix":""},{"dropping-particle":"","family":"Cobbing","given":"J.","non-dropping-particle":"","parse-names":false,"suffix":""},{"dropping-particle":"","family":"Cuthbert","given":"M.","non-dropping-particle":"","parse-names":false,"suffix":""},{"dropping-particle":"","family":"Mather","given":"S.","non-dropping-particle":"","parse-names":false,"suffix":""},{"dropping-particle":"","family":"McCarthy","given":"E.","non-dropping-particle":"","parse-names":false,"suffix":""}],"container-title":"Trace Metals and other Contaminants in the Environment","id":"ITEM-1","issued":{"date-parts":[["2007","1","1"]]},"page":"63-83","publisher":"Elsevier","title":"Trends in arsenic concentration at tubewells in Bangladesh: conceptual models, numerical models, and monitoring proxies","type":"article","volume":"9"},"uris":["http://www.mendeley.com/documents/?uuid=2b7b94d2-1177-3a1c-b871-25a03b503356"]}],"mendeley":{"formattedCitation":"(&lt;i&gt;12&lt;/i&gt;)","plainTextFormattedCitation":"(12)","previouslyFormattedCitation":"&lt;sup&gt;12&lt;/sup&gt;"},"properties":{"noteIndex":0},"schema":"https://github.com/citation-style-language/schema/raw/master/csl-citation.json"}</w:instrText>
            </w:r>
            <w:r>
              <w:rPr>
                <w:color w:val="000000"/>
                <w:sz w:val="20"/>
                <w:szCs w:val="20"/>
              </w:rPr>
              <w:fldChar w:fldCharType="separate"/>
            </w:r>
            <w:r w:rsidR="00D11AD8" w:rsidRPr="00D11AD8">
              <w:rPr>
                <w:noProof/>
                <w:color w:val="000000"/>
                <w:sz w:val="20"/>
                <w:szCs w:val="20"/>
              </w:rPr>
              <w:t>(</w:t>
            </w:r>
            <w:r w:rsidR="00D11AD8" w:rsidRPr="00D11AD8">
              <w:rPr>
                <w:i/>
                <w:noProof/>
                <w:color w:val="000000"/>
                <w:sz w:val="20"/>
                <w:szCs w:val="20"/>
              </w:rPr>
              <w:t>12</w:t>
            </w:r>
            <w:r w:rsidR="00D11AD8" w:rsidRPr="00D11AD8">
              <w:rPr>
                <w:noProof/>
                <w:color w:val="000000"/>
                <w:sz w:val="20"/>
                <w:szCs w:val="20"/>
              </w:rPr>
              <w:t>)</w:t>
            </w:r>
            <w:r>
              <w:rPr>
                <w:color w:val="000000"/>
                <w:sz w:val="20"/>
                <w:szCs w:val="20"/>
              </w:rPr>
              <w:fldChar w:fldCharType="end"/>
            </w:r>
          </w:p>
        </w:tc>
      </w:tr>
      <w:tr w:rsidR="00545A71" w14:paraId="34F5E35C"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6A6F67A9" w14:textId="77777777" w:rsidR="00545A71" w:rsidRDefault="00545A71" w:rsidP="007A7372">
            <w:pPr>
              <w:jc w:val="center"/>
              <w:rPr>
                <w:color w:val="000000"/>
                <w:sz w:val="20"/>
                <w:szCs w:val="20"/>
              </w:rPr>
            </w:pPr>
            <w:r>
              <w:rPr>
                <w:color w:val="000000"/>
                <w:sz w:val="20"/>
                <w:szCs w:val="20"/>
              </w:rPr>
              <w:t>Darling et al</w:t>
            </w:r>
          </w:p>
        </w:tc>
        <w:tc>
          <w:tcPr>
            <w:tcW w:w="1669" w:type="dxa"/>
            <w:tcBorders>
              <w:top w:val="nil"/>
              <w:left w:val="nil"/>
              <w:bottom w:val="single" w:sz="4" w:space="0" w:color="auto"/>
              <w:right w:val="single" w:sz="4" w:space="0" w:color="auto"/>
            </w:tcBorders>
            <w:shd w:val="clear" w:color="auto" w:fill="auto"/>
            <w:noWrap/>
            <w:vAlign w:val="center"/>
            <w:hideMark/>
          </w:tcPr>
          <w:p w14:paraId="4EE8BAED" w14:textId="77777777" w:rsidR="00545A71" w:rsidRDefault="00545A71" w:rsidP="007A7372">
            <w:pPr>
              <w:jc w:val="center"/>
              <w:rPr>
                <w:color w:val="000000"/>
                <w:sz w:val="20"/>
                <w:szCs w:val="20"/>
              </w:rPr>
            </w:pPr>
            <w:r>
              <w:rPr>
                <w:color w:val="000000"/>
                <w:sz w:val="20"/>
                <w:szCs w:val="20"/>
              </w:rPr>
              <w:t>2002</w:t>
            </w:r>
          </w:p>
        </w:tc>
        <w:tc>
          <w:tcPr>
            <w:tcW w:w="1451" w:type="dxa"/>
            <w:tcBorders>
              <w:top w:val="nil"/>
              <w:left w:val="nil"/>
              <w:bottom w:val="single" w:sz="4" w:space="0" w:color="auto"/>
              <w:right w:val="single" w:sz="4" w:space="0" w:color="auto"/>
            </w:tcBorders>
            <w:shd w:val="clear" w:color="auto" w:fill="auto"/>
            <w:noWrap/>
            <w:vAlign w:val="bottom"/>
            <w:hideMark/>
          </w:tcPr>
          <w:p w14:paraId="5157EB97" w14:textId="43DD13DA" w:rsidR="00545A71" w:rsidRPr="00FB1ADB" w:rsidRDefault="00545A71" w:rsidP="007A7372">
            <w:pPr>
              <w:jc w:val="center"/>
              <w:rPr>
                <w:color w:val="000000"/>
                <w:sz w:val="22"/>
                <w:szCs w:val="22"/>
              </w:rPr>
            </w:pPr>
            <w:r>
              <w:rPr>
                <w:color w:val="000000"/>
                <w:sz w:val="22"/>
                <w:szCs w:val="22"/>
              </w:rPr>
              <w:fldChar w:fldCharType="begin" w:fldLock="1"/>
            </w:r>
            <w:r w:rsidR="00D11AD8">
              <w:rPr>
                <w:color w:val="000000"/>
                <w:sz w:val="22"/>
                <w:szCs w:val="22"/>
              </w:rPr>
              <w:instrText>ADDIN CSL_CITATION {"citationItems":[{"id":"ITEM-1","itemData":{"ISBN":"1011-4289","abstract":"The population of the greater Dhaka metropolitan area is over 8 million and growing at a rate of six percent per year Much of the water supply for the area is obtained from the underlying Dupi Tila sand aquifer Intensive exploitation of the aquifer has led to a progressive decline in water levels beneath the parts of the city The resulting cone of depression is thought likely to be causing the infiltration of surface water, largely from the polluted Buriganga waterway The use of oxygen and hydrogen stable isotopes in unravelling the subsurface hydrology of the Dhaka area is hindered by the lack of data regarding 'baseline' conditions Nevertheless it is clear from the evidence obtained from tubewells across the city that there is leakage from the Buriganga river extending several kilometres beneath parts of the urban area, possibly as far as the centre of the city Carbon stable isotopes and major ion chemistry confirm this general picture; though appear to indicate that polluted river water has not penetrated quite so far towards the city centre The Dupi Tila is regarded as a multi-layer aquifer on the basis of its hydrogeology and water quality variations with depth Since there is little stable isotopic evidence for stratification, future investigations should include sensitive recent age indicators to investigate this, and the rates of groundwater movement in general (author)","author":[{"dropping-particle":"","family":"Darling","given":"W G","non-dropping-particle":"","parse-names":false,"suffix":""},{"dropping-particle":"","family":"Burgess","given":"W G","non-dropping-particle":"","parse-names":false,"suffix":""},{"dropping-particle":"","family":"Hasan","given":"M K","non-dropping-particle":"","parse-names":false,"suffix":""}],"id":"ITEM-1","issued":{"date-parts":[["2002"]]},"number-of-pages":"95-107","publisher-place":"International Atomic Energy Agency (IAEA)","title":"Isotopic evidence for induced river recharge to the Dupi Tila aquifer in the Dhaka urban area, Bangladesh","type":"report"},"uris":["http://www.mendeley.com/documents/?uuid=d0425038-fe28-4c15-84da-e81e4bb7aa50"]}],"mendeley":{"formattedCitation":"(&lt;i&gt;13&lt;/i&gt;)","plainTextFormattedCitation":"(13)","previouslyFormattedCitation":"&lt;sup&gt;13&lt;/sup&gt;"},"properties":{"noteIndex":0},"schema":"https://github.com/citation-style-language/schema/raw/master/csl-citation.json"}</w:instrText>
            </w:r>
            <w:r>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13</w:t>
            </w:r>
            <w:r w:rsidR="00D11AD8" w:rsidRPr="00D11AD8">
              <w:rPr>
                <w:noProof/>
                <w:color w:val="000000"/>
                <w:sz w:val="22"/>
                <w:szCs w:val="22"/>
              </w:rPr>
              <w:t>)</w:t>
            </w:r>
            <w:r>
              <w:rPr>
                <w:color w:val="000000"/>
                <w:sz w:val="22"/>
                <w:szCs w:val="22"/>
              </w:rPr>
              <w:fldChar w:fldCharType="end"/>
            </w:r>
          </w:p>
        </w:tc>
      </w:tr>
      <w:tr w:rsidR="00545A71" w14:paraId="5DEE2D9E"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582022A7" w14:textId="77777777" w:rsidR="00545A71" w:rsidRDefault="00545A71" w:rsidP="007A7372">
            <w:pPr>
              <w:jc w:val="center"/>
              <w:rPr>
                <w:color w:val="000000"/>
                <w:sz w:val="20"/>
                <w:szCs w:val="20"/>
              </w:rPr>
            </w:pPr>
            <w:r>
              <w:rPr>
                <w:color w:val="000000"/>
                <w:sz w:val="20"/>
                <w:szCs w:val="20"/>
              </w:rPr>
              <w:t>Datta et al</w:t>
            </w:r>
          </w:p>
        </w:tc>
        <w:tc>
          <w:tcPr>
            <w:tcW w:w="1669" w:type="dxa"/>
            <w:tcBorders>
              <w:top w:val="nil"/>
              <w:left w:val="nil"/>
              <w:bottom w:val="single" w:sz="4" w:space="0" w:color="auto"/>
              <w:right w:val="single" w:sz="4" w:space="0" w:color="auto"/>
            </w:tcBorders>
            <w:shd w:val="clear" w:color="auto" w:fill="auto"/>
            <w:noWrap/>
            <w:vAlign w:val="center"/>
            <w:hideMark/>
          </w:tcPr>
          <w:p w14:paraId="63DE3F86" w14:textId="77777777" w:rsidR="00545A71" w:rsidRDefault="00545A71" w:rsidP="007A7372">
            <w:pPr>
              <w:jc w:val="center"/>
              <w:rPr>
                <w:color w:val="000000"/>
                <w:sz w:val="20"/>
                <w:szCs w:val="20"/>
              </w:rPr>
            </w:pPr>
            <w:r>
              <w:rPr>
                <w:color w:val="000000"/>
                <w:sz w:val="20"/>
                <w:szCs w:val="20"/>
              </w:rPr>
              <w:t>2011</w:t>
            </w:r>
          </w:p>
        </w:tc>
        <w:tc>
          <w:tcPr>
            <w:tcW w:w="1451" w:type="dxa"/>
            <w:tcBorders>
              <w:top w:val="nil"/>
              <w:left w:val="nil"/>
              <w:bottom w:val="single" w:sz="4" w:space="0" w:color="auto"/>
              <w:right w:val="single" w:sz="4" w:space="0" w:color="auto"/>
            </w:tcBorders>
            <w:shd w:val="clear" w:color="auto" w:fill="auto"/>
            <w:noWrap/>
            <w:vAlign w:val="bottom"/>
            <w:hideMark/>
          </w:tcPr>
          <w:p w14:paraId="6037F63B" w14:textId="4F579464"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{"citationItems":[{"id":"ITEM-1","itemData":{"DOI":"10.1029/2011GL049301","ISSN":"00948276","abstract":"Arsenic (As) concentrations and stable hydrogen (δ&lt;sup&gt;2&lt;/sup&gt;H) and oxygen (δ&lt;sup&gt;18&lt;/sup&gt;O) isotope ratios of surface and groundwaters from a representative site in West Bengal, India, are reported. Shallow groundwaters (≤35 m) from the study site have among the highest As concentrations measured in the entire Bengal Basin, reaching values in excess of 4600 μg kg &lt;sup&gt;-1&lt;/sup&gt;. Stable isotope ratios of waters from constructed, perennial ponds indicate the ponds are chiefly recharged during the summer monsoon, and subsequently undergo extensive evaporation during the dry (winter) season. In contrast, groundwaters with high As concentrations plot along the local meteoric water line (LMWL) near where the annual, volume-weighted mean precipitation values for δ&lt;sup&gt;2&lt;/sup&gt;H and δ&lt;sup&gt;18&lt;/sup&gt;O would plot. The stable isotope data demonstrate that groundwaters are directly recharged by local precipitation without significant evaporation, and thus are not recharged by, nor mixed with, the pond waters. Furthermore, reactive transport modeling indicates that dissolved organic matter (DOM) derived from pond waters does not fuel microbial respiration and As mobilization at depth in the underlying aquifer because travel times for pond-derived DOM exceed groundwater ages by thousands of years. Instead, organic matter within the aquifer sediments must drive dissimilatory iron reduction and As release to groundwaters. © 2011 by the American Geophysical Union.","author":[{"dropping-particle":"","family":"Datta","given":"Saugata","non-dropping-particle":"","parse-names":false,"suffix":""},{"dropping-particle":"","family":"Neal","given":"Andrew W.","non-dropping-particle":"","parse-names":false,"suffix":""},{"dropping-particle":"","family":"Mohajerin","given":"T. Jade","non-dropping-particle":"","parse-names":false,"suffix":""},{"dropping-particle":"","family":"Ocheltree","given":"Troy","non-dropping-particle":"","parse-names":false,"suffix":""},{"dropping-particle":"","family":"Rosenheim","given":"Brad E.","non-dropping-particle":"","parse-names":false,"suffix":""},{"dropping-particle":"","family":"White","given":"Christopher D.","non-dropping-particle":"","parse-names":false,"suffix":""},{"dropping-particle":"","family":"Johannesson","given":"Karen H.","non-dropping-particle":"","parse-names":false,"suffix":""}],"container-title":"Geophysical Research Letters","id":"ITEM-1","issue":"20","issued":{"date-parts":[["2011","10","1"]]},"page":"n/a-n/a","publisher":"Blackwell Publishing Ltd","title":"Perennial ponds are not an important source of water or dissolved organic matter to groundwaters with high arsenic concentrations in West Bengal, India","type":"article-journal","volume":"38"},"uris":["http://www.mendeley.com/documents/?uuid=46a66e25-959a-3fa1-98f4-6a7c3eebc1e1"]}],"mendeley":{"formattedCitation":"(&lt;i&gt;14&lt;/i&gt;)","plainTextFormattedCitation":"(14)","previouslyFormattedCitation":"&lt;sup&gt;14&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14</w:t>
            </w:r>
            <w:r w:rsidR="00D11AD8" w:rsidRPr="00D11AD8">
              <w:rPr>
                <w:noProof/>
                <w:color w:val="000000"/>
                <w:sz w:val="22"/>
                <w:szCs w:val="22"/>
              </w:rPr>
              <w:t>)</w:t>
            </w:r>
            <w:r w:rsidRPr="00FB1ADB">
              <w:rPr>
                <w:color w:val="000000"/>
                <w:sz w:val="22"/>
                <w:szCs w:val="22"/>
              </w:rPr>
              <w:fldChar w:fldCharType="end"/>
            </w:r>
          </w:p>
        </w:tc>
      </w:tr>
      <w:tr w:rsidR="00545A71" w14:paraId="3008A94A"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1558EDBA" w14:textId="77777777" w:rsidR="00545A71" w:rsidRDefault="00545A71" w:rsidP="007A7372">
            <w:pPr>
              <w:jc w:val="center"/>
              <w:rPr>
                <w:color w:val="000000"/>
                <w:sz w:val="20"/>
                <w:szCs w:val="20"/>
              </w:rPr>
            </w:pPr>
            <w:r>
              <w:rPr>
                <w:color w:val="000000"/>
                <w:sz w:val="20"/>
                <w:szCs w:val="20"/>
              </w:rPr>
              <w:t>Davies and Exley</w:t>
            </w:r>
          </w:p>
        </w:tc>
        <w:tc>
          <w:tcPr>
            <w:tcW w:w="1669" w:type="dxa"/>
            <w:tcBorders>
              <w:top w:val="nil"/>
              <w:left w:val="nil"/>
              <w:bottom w:val="single" w:sz="4" w:space="0" w:color="auto"/>
              <w:right w:val="single" w:sz="4" w:space="0" w:color="auto"/>
            </w:tcBorders>
            <w:shd w:val="clear" w:color="auto" w:fill="auto"/>
            <w:noWrap/>
            <w:vAlign w:val="center"/>
            <w:hideMark/>
          </w:tcPr>
          <w:p w14:paraId="0FA4BE8E" w14:textId="77777777" w:rsidR="00545A71" w:rsidRDefault="00545A71" w:rsidP="007A7372">
            <w:pPr>
              <w:jc w:val="center"/>
              <w:rPr>
                <w:color w:val="000000"/>
                <w:sz w:val="20"/>
                <w:szCs w:val="20"/>
              </w:rPr>
            </w:pPr>
            <w:r>
              <w:rPr>
                <w:color w:val="000000"/>
                <w:sz w:val="20"/>
                <w:szCs w:val="20"/>
              </w:rPr>
              <w:t>1992</w:t>
            </w:r>
          </w:p>
        </w:tc>
        <w:tc>
          <w:tcPr>
            <w:tcW w:w="1451" w:type="dxa"/>
            <w:tcBorders>
              <w:top w:val="nil"/>
              <w:left w:val="nil"/>
              <w:bottom w:val="single" w:sz="4" w:space="0" w:color="auto"/>
              <w:right w:val="single" w:sz="4" w:space="0" w:color="auto"/>
            </w:tcBorders>
            <w:shd w:val="clear" w:color="auto" w:fill="auto"/>
            <w:noWrap/>
            <w:vAlign w:val="bottom"/>
            <w:hideMark/>
          </w:tcPr>
          <w:p w14:paraId="3E2F1A17" w14:textId="79B18B82" w:rsidR="00545A71" w:rsidRPr="00FB1ADB" w:rsidRDefault="00545A71" w:rsidP="007A7372">
            <w:pPr>
              <w:jc w:val="center"/>
              <w:rPr>
                <w:color w:val="000000"/>
                <w:sz w:val="22"/>
                <w:szCs w:val="22"/>
              </w:rPr>
            </w:pPr>
            <w:r>
              <w:rPr>
                <w:color w:val="000000"/>
                <w:sz w:val="22"/>
                <w:szCs w:val="22"/>
              </w:rPr>
              <w:fldChar w:fldCharType="begin" w:fldLock="1"/>
            </w:r>
            <w:r w:rsidR="00D11AD8">
              <w:rPr>
                <w:color w:val="000000"/>
                <w:sz w:val="22"/>
                <w:szCs w:val="22"/>
              </w:rPr>
              <w:instrText>ADDIN CSL_CITATION {"citationItems":[{"id":"ITEM-1","itemData":{"DOI":"10.1007/s10040-014-1155-8","ISSN":"14350157","abstract":"Dhaka, the capital of Bangladesh, is home to a population of 15 million people, whose water supply is 85% drawn from groundwater in aquifers that underlie the city. Values of Cl/Br &gt;500 are common in groundwater beneath western Dhaka in areas &lt;3 km from the river, and in rivers and sewers around and within the city. The study shows that groundwater beneath western Dhaka is strongly influenced by infiltration of effluent from leaking sewers and unsewered sanitation, and by river-bank infiltration from the Turag-Buriganga river system which bounds the western limit of the city. River-bank infiltration from other rivers around Dhaka is minor. Values of Cl/Br and Cl concentrations reveal that 23 % of wells sampled in Dhaka are influenced by saline connate water in amounts up to 1%. This residual natural salinity compromises the use of electrical conductivity of groundwater as a method for defining pathways of recharge by contaminated surface waters. Concentrations of As, B, Ba, Cd, Cu, F, Ni, NO3, Pb, Sb, Se and U in groundwater samples are less than WHO health-based guideline values for drinking water.","author":[{"dropping-particle":"","family":"Hoque","given":"M. A.","non-dropping-particle":"","parse-names":false,"suffix":""},{"dropping-particle":"","family":"McArthur","given":"J. M.","non-dropping-particle":"","parse-names":false,"suffix":""},{"dropping-particle":"","family":"Sikdar","given":"P. K.","non-dropping-particle":"","parse-names":false,"suffix":""},{"dropping-particle":"","family":"Ball","given":"J. D.","non-dropping-particle":"","parse-names":false,"suffix":""},{"dropping-particle":"","family":"Molla","given":"T. N.","non-dropping-particle":"","parse-names":false,"suffix":""}],"container-title":"Hydrogeology Journal","id":"ITEM-1","issue":"7","issued":{"date-parts":[["2014","10","21"]]},"page":"1549-1560","publisher":"Springer Verlag","title":"Tracing recharge to aquifers beneath an Asian megacity with Cl/Br and stable isotopes: The example of Dhaka, Bangladesh","type":"article-journal","volume":"22"},"uris":["http://www.mendeley.com/documents/?uuid=c76e11a3-1663-3ef4-82bd-de93ea1da21a"]}],"mendeley":{"formattedCitation":"(&lt;i&gt;11&lt;/i&gt;)","plainTextFormattedCitation":"(11)","previouslyFormattedCitation":"&lt;sup&gt;11&lt;/sup&gt;"},"properties":{"noteIndex":0},"schema":"https://github.com/citation-style-language/schema/raw/master/csl-citation.json"}</w:instrText>
            </w:r>
            <w:r>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11</w:t>
            </w:r>
            <w:r w:rsidR="00D11AD8" w:rsidRPr="00D11AD8">
              <w:rPr>
                <w:noProof/>
                <w:color w:val="000000"/>
                <w:sz w:val="22"/>
                <w:szCs w:val="22"/>
              </w:rPr>
              <w:t>)</w:t>
            </w:r>
            <w:r>
              <w:rPr>
                <w:color w:val="000000"/>
                <w:sz w:val="22"/>
                <w:szCs w:val="22"/>
              </w:rPr>
              <w:fldChar w:fldCharType="end"/>
            </w:r>
          </w:p>
        </w:tc>
      </w:tr>
      <w:tr w:rsidR="00545A71" w14:paraId="31F2FB92"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575359EB" w14:textId="77777777" w:rsidR="00545A71" w:rsidRDefault="00545A71" w:rsidP="007A7372">
            <w:pPr>
              <w:jc w:val="center"/>
              <w:rPr>
                <w:color w:val="000000"/>
                <w:sz w:val="20"/>
                <w:szCs w:val="20"/>
              </w:rPr>
            </w:pPr>
            <w:r>
              <w:rPr>
                <w:color w:val="000000"/>
                <w:sz w:val="20"/>
                <w:szCs w:val="20"/>
              </w:rPr>
              <w:t>Desbarats et al</w:t>
            </w:r>
          </w:p>
        </w:tc>
        <w:tc>
          <w:tcPr>
            <w:tcW w:w="1669" w:type="dxa"/>
            <w:tcBorders>
              <w:top w:val="nil"/>
              <w:left w:val="nil"/>
              <w:bottom w:val="single" w:sz="4" w:space="0" w:color="auto"/>
              <w:right w:val="single" w:sz="4" w:space="0" w:color="auto"/>
            </w:tcBorders>
            <w:shd w:val="clear" w:color="auto" w:fill="auto"/>
            <w:noWrap/>
            <w:vAlign w:val="center"/>
            <w:hideMark/>
          </w:tcPr>
          <w:p w14:paraId="33AD64A3" w14:textId="77777777" w:rsidR="00545A71" w:rsidRDefault="00545A71" w:rsidP="007A7372">
            <w:pPr>
              <w:jc w:val="center"/>
              <w:rPr>
                <w:color w:val="000000"/>
                <w:sz w:val="20"/>
                <w:szCs w:val="20"/>
              </w:rPr>
            </w:pPr>
            <w:r>
              <w:rPr>
                <w:color w:val="000000"/>
                <w:sz w:val="20"/>
                <w:szCs w:val="20"/>
              </w:rPr>
              <w:t>2014, 2017</w:t>
            </w:r>
          </w:p>
        </w:tc>
        <w:tc>
          <w:tcPr>
            <w:tcW w:w="1451" w:type="dxa"/>
            <w:tcBorders>
              <w:top w:val="nil"/>
              <w:left w:val="nil"/>
              <w:bottom w:val="single" w:sz="4" w:space="0" w:color="auto"/>
              <w:right w:val="single" w:sz="4" w:space="0" w:color="auto"/>
            </w:tcBorders>
            <w:shd w:val="clear" w:color="auto" w:fill="auto"/>
            <w:noWrap/>
            <w:vAlign w:val="bottom"/>
            <w:hideMark/>
          </w:tcPr>
          <w:p w14:paraId="1DFA9A02" w14:textId="46F69307" w:rsidR="00545A71" w:rsidRPr="00FB1ADB" w:rsidRDefault="00545A71" w:rsidP="007A7372">
            <w:pPr>
              <w:jc w:val="center"/>
              <w:rPr>
                <w:color w:val="000000"/>
                <w:sz w:val="22"/>
                <w:szCs w:val="22"/>
              </w:rPr>
            </w:pPr>
            <w:r>
              <w:rPr>
                <w:color w:val="000000"/>
                <w:sz w:val="22"/>
                <w:szCs w:val="22"/>
              </w:rPr>
              <w:fldChar w:fldCharType="begin" w:fldLock="1"/>
            </w:r>
            <w:r w:rsidR="00D11AD8">
              <w:rPr>
                <w:color w:val="000000"/>
                <w:sz w:val="22"/>
                <w:szCs w:val="22"/>
              </w:rPr>
              <w:instrText>ADDIN CSL_CITATION {"citationItems":[{"id":"ITEM-1","itemData":{"DOI":"10.1002/2017WR020863","ISSN":"00431397","abstract":"The source of geogenic arsenic (As) contaminating a shallow aquifer in West Bengal was traced to fine-grained sediments deposited in an abandoned river channel. Along with As-bearing phases, these sediments contain 0.46% codeposited organic carbon. The release of As and the geochemistry of groundwater within the channel-fill deposits is investigated using a detailed mass balance model supported by aqueous, solid-phase, and mineralogical data. The model describes the evolution of groundwater chemistry along a flow path extending from its recharge in an abandoned channel pond, through the channel fill, to the underlying aquifer. Variations in groundwater composition are explained in terms of mineral weathering of host sediments driven by organic carbon decay. Arsenic is released through the reductive dissolution of goethite and the weathering of chlorite. Concomitantly, some As is sequestered in precipitating vivianite. These competing processes reach equilibrium deeper in the channel-fill sequence as groundwater As concentrations stabilize. The model yields estimates of mineral reaction (or precipitation) rates including rates of organic carbon oxidation (1.15 mmol C L−1 a−1) and net As release (4.57×10-4 mmol L−1 a−1). Fine-grained, slightly permeable, deposits such as channel fill containing reactive organic carbon and As-bearing goethite and phyllosilicates are centers of intense chemical weathering conducive to As mobilization.","author":[{"dropping-particle":"","family":"Desbarats","given":"A. J.","non-dropping-particle":"","parse-names":false,"suffix":""},{"dropping-particle":"","family":"Pal","given":"T.","non-dropping-particle":"","parse-names":false,"suffix":""},{"dropping-particle":"","family":"Mukherjee","given":"P. K.","non-dropping-particle":"","parse-names":false,"suffix":""},{"dropping-particle":"","family":"Beckie","given":"R. D.","non-dropping-particle":"","parse-names":false,"suffix":""}],"container-title":"Water Resources Research","id":"ITEM-1","issue":"11","issued":{"date-parts":[["2017","11","1"]]},"page":"8715-8735","publisher":"Blackwell Publishing Ltd","title":"Geochemical Evolution of Groundwater Flowing Through Arsenic Source Sediments in an Aquifer System of West Bengal, India","type":"article-journal","volume":"53"},"uris":["http://www.mendeley.com/documents/?uuid=f29aa771-dad2-34c7-9099-86c5b195da5f"]},{"id":"ITEM-2","itemData":{"DOI":"10.1002/2013WR014034","ISSN":"19447973","abstract":"Numerical groundwater flow modeling, reverse particle tracking, and environmental tracers are used to locate the source of geogenic As affecting an aquifer in West Bengal. The aquifer is hosted by point-bar sands deposited in a meandering fluvial environment. Wells tapping the aquifer exhibit As concentrations up to 531 μg/L. High-As groundwaters are recharged in ponds marking an abandoned river channel. The source of As is traced to the underlying fine-grained channel-fill sediments. Arsenic release within these sediments is accompanied by a concomitant release of Br and DOC indicating that these species may be decay products of natural organobromines codeposited along with As. Mass transfer of As to the dissolved phase and its flushing from source sediments are described using a simplified reactive solute transport model. Based on this model, a characteristic reaction time for mass transfer is estimated at 6.7 years. Average groundwater residence times in the source are estimated to have declined from 16.6 to 6.6 years with the advent of intensive irrigation pumping. The ratio of residence and reaction times, a Damköhler number, has declined correspondingly from 2.49 to 0.99, indicating a shift from transport to reaction rate limited As mobilization. Greater insight into the As problem in SE Asia may be achieved by shifting the focus of field investigations from aquifers to potential contamination sources in aquitards. © 2014. American Geophysical Union. All Rights Reserved.","author":[{"dropping-particle":"","family":"Desbarats","given":"A. J.","non-dropping-particle":"","parse-names":false,"suffix":""},{"dropping-particle":"","family":"Koenig","given":"C. E.M.","non-dropping-particle":"","parse-names":false,"suffix":""},{"dropping-particle":"","family":"Pal","given":"T.","non-dropping-particle":"","parse-names":false,"suffix":""},{"dropping-particle":"","family":"Mukherjee","given":"P. K.","non-dropping-particle":"","parse-names":false,"suffix":""},{"dropping-particle":"","family":"Beckie","given":"R. D.","non-dropping-particle":"","parse-names":false,"suffix":""}],"container-title":"Water Resources Research","id":"ITEM-2","issue":"6","issued":{"date-parts":[["2014","6","1"]]},"page":"4974-5002","publisher":"Blackwell Publishing Ltd","title":"Groundwater flow dynamics and arsenic source characterization in an aquifer system of West Bengal, india","type":"article-journal","volume":"50"},"uris":["http://www.mendeley.com/documents/?uuid=1e670765-4a98-3c24-b1e9-6172e27fdfde"]}],"mendeley":{"formattedCitation":"(&lt;i&gt;15&lt;/i&gt;, &lt;i&gt;16&lt;/i&gt;)","plainTextFormattedCitation":"(15, 16)","previouslyFormattedCitation":"&lt;sup&gt;15,16&lt;/sup&gt;"},"properties":{"noteIndex":0},"schema":"https://github.com/citation-style-language/schema/raw/master/csl-citation.json"}</w:instrText>
            </w:r>
            <w:r>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15</w:t>
            </w:r>
            <w:r w:rsidR="00D11AD8" w:rsidRPr="00D11AD8">
              <w:rPr>
                <w:noProof/>
                <w:color w:val="000000"/>
                <w:sz w:val="22"/>
                <w:szCs w:val="22"/>
              </w:rPr>
              <w:t xml:space="preserve">, </w:t>
            </w:r>
            <w:r w:rsidR="00D11AD8" w:rsidRPr="00D11AD8">
              <w:rPr>
                <w:i/>
                <w:noProof/>
                <w:color w:val="000000"/>
                <w:sz w:val="22"/>
                <w:szCs w:val="22"/>
              </w:rPr>
              <w:t>16</w:t>
            </w:r>
            <w:r w:rsidR="00D11AD8" w:rsidRPr="00D11AD8">
              <w:rPr>
                <w:noProof/>
                <w:color w:val="000000"/>
                <w:sz w:val="22"/>
                <w:szCs w:val="22"/>
              </w:rPr>
              <w:t>)</w:t>
            </w:r>
            <w:r>
              <w:rPr>
                <w:color w:val="000000"/>
                <w:sz w:val="22"/>
                <w:szCs w:val="22"/>
              </w:rPr>
              <w:fldChar w:fldCharType="end"/>
            </w:r>
          </w:p>
        </w:tc>
      </w:tr>
      <w:tr w:rsidR="00545A71" w14:paraId="2428205A"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51A9D665" w14:textId="77777777" w:rsidR="00545A71" w:rsidRDefault="00545A71" w:rsidP="007A7372">
            <w:pPr>
              <w:jc w:val="center"/>
              <w:rPr>
                <w:color w:val="000000"/>
                <w:sz w:val="20"/>
                <w:szCs w:val="20"/>
              </w:rPr>
            </w:pPr>
            <w:r>
              <w:rPr>
                <w:color w:val="000000"/>
                <w:sz w:val="20"/>
                <w:szCs w:val="20"/>
              </w:rPr>
              <w:t>Dray et al</w:t>
            </w:r>
          </w:p>
        </w:tc>
        <w:tc>
          <w:tcPr>
            <w:tcW w:w="1669" w:type="dxa"/>
            <w:tcBorders>
              <w:top w:val="nil"/>
              <w:left w:val="nil"/>
              <w:bottom w:val="single" w:sz="4" w:space="0" w:color="auto"/>
              <w:right w:val="single" w:sz="4" w:space="0" w:color="auto"/>
            </w:tcBorders>
            <w:shd w:val="clear" w:color="auto" w:fill="auto"/>
            <w:noWrap/>
            <w:vAlign w:val="center"/>
            <w:hideMark/>
          </w:tcPr>
          <w:p w14:paraId="7B92D008" w14:textId="77777777" w:rsidR="00545A71" w:rsidRDefault="00545A71" w:rsidP="007A7372">
            <w:pPr>
              <w:jc w:val="center"/>
              <w:rPr>
                <w:color w:val="000000"/>
                <w:sz w:val="20"/>
                <w:szCs w:val="20"/>
              </w:rPr>
            </w:pPr>
            <w:r>
              <w:rPr>
                <w:color w:val="000000"/>
                <w:sz w:val="20"/>
                <w:szCs w:val="20"/>
              </w:rPr>
              <w:t>1982</w:t>
            </w:r>
          </w:p>
        </w:tc>
        <w:tc>
          <w:tcPr>
            <w:tcW w:w="1451" w:type="dxa"/>
            <w:tcBorders>
              <w:top w:val="nil"/>
              <w:left w:val="nil"/>
              <w:bottom w:val="single" w:sz="4" w:space="0" w:color="auto"/>
              <w:right w:val="single" w:sz="4" w:space="0" w:color="auto"/>
            </w:tcBorders>
            <w:shd w:val="clear" w:color="auto" w:fill="auto"/>
            <w:noWrap/>
            <w:vAlign w:val="bottom"/>
            <w:hideMark/>
          </w:tcPr>
          <w:p w14:paraId="4A43BFF6" w14:textId="1C8A1543" w:rsidR="00545A71" w:rsidRPr="00FB1ADB" w:rsidRDefault="00545A71" w:rsidP="007A7372">
            <w:pPr>
              <w:jc w:val="center"/>
              <w:rPr>
                <w:color w:val="000000"/>
                <w:sz w:val="22"/>
                <w:szCs w:val="22"/>
              </w:rPr>
            </w:pPr>
            <w:r>
              <w:rPr>
                <w:color w:val="000000"/>
                <w:sz w:val="22"/>
                <w:szCs w:val="22"/>
              </w:rPr>
              <w:fldChar w:fldCharType="begin" w:fldLock="1"/>
            </w:r>
            <w:r w:rsidR="00D11AD8">
              <w:rPr>
                <w:color w:val="000000"/>
                <w:sz w:val="22"/>
                <w:szCs w:val="22"/>
              </w:rPr>
              <w:instrText>ADDIN CSL_CITATION {"citationItems":[{"id":"ITEM-1","itemData":{"DOI":"10.1007/s10040-014-1155-8","ISSN":"14350157","abstract":"Dhaka, the capital of Bangladesh, is home to a population of 15 million people, whose water supply is 85% drawn from groundwater in aquifers that underlie the city. Values of Cl/Br &gt;500 are common in groundwater beneath western Dhaka in areas &lt;3 km from the river, and in rivers and sewers around and within the city. The study shows that groundwater beneath western Dhaka is strongly influenced by infiltration of effluent from leaking sewers and unsewered sanitation, and by river-bank infiltration from the Turag-Buriganga river system which bounds the western limit of the city. River-bank infiltration from other rivers around Dhaka is minor. Values of Cl/Br and Cl concentrations reveal that 23 % of wells sampled in Dhaka are influenced by saline connate water in amounts up to 1%. This residual natural salinity compromises the use of electrical conductivity of groundwater as a method for defining pathways of recharge by contaminated surface waters. Concentrations of As, B, Ba, Cd, Cu, F, Ni, NO3, Pb, Sb, Se and U in groundwater samples are less than WHO health-based guideline values for drinking water.","author":[{"dropping-particle":"","family":"Hoque","given":"M. A.","non-dropping-particle":"","parse-names":false,"suffix":""},{"dropping-particle":"","family":"McArthur","given":"J. M.","non-dropping-particle":"","parse-names":false,"suffix":""},{"dropping-particle":"","family":"Sikdar","given":"P. K.","non-dropping-particle":"","parse-names":false,"suffix":""},{"dropping-particle":"","family":"Ball","given":"J. D.","non-dropping-particle":"","parse-names":false,"suffix":""},{"dropping-particle":"","family":"Molla","given":"T. N.","non-dropping-particle":"","parse-names":false,"suffix":""}],"container-title":"Hydrogeology Journal","id":"ITEM-1","issue":"7","issued":{"date-parts":[["2014","10","21"]]},"page":"1549-1560","publisher":"Springer Verlag","title":"Tracing recharge to aquifers beneath an Asian megacity with Cl/Br and stable isotopes: The example of Dhaka, Bangladesh","type":"article-journal","volume":"22"},"uris":["http://www.mendeley.com/documents/?uuid=c76e11a3-1663-3ef4-82bd-de93ea1da21a"]}],"mendeley":{"formattedCitation":"(&lt;i&gt;11&lt;/i&gt;)","plainTextFormattedCitation":"(11)","previouslyFormattedCitation":"&lt;sup&gt;11&lt;/sup&gt;"},"properties":{"noteIndex":0},"schema":"https://github.com/citation-style-language/schema/raw/master/csl-citation.json"}</w:instrText>
            </w:r>
            <w:r>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11</w:t>
            </w:r>
            <w:r w:rsidR="00D11AD8" w:rsidRPr="00D11AD8">
              <w:rPr>
                <w:noProof/>
                <w:color w:val="000000"/>
                <w:sz w:val="22"/>
                <w:szCs w:val="22"/>
              </w:rPr>
              <w:t>)</w:t>
            </w:r>
            <w:r>
              <w:rPr>
                <w:color w:val="000000"/>
                <w:sz w:val="22"/>
                <w:szCs w:val="22"/>
              </w:rPr>
              <w:fldChar w:fldCharType="end"/>
            </w:r>
          </w:p>
        </w:tc>
      </w:tr>
      <w:tr w:rsidR="00545A71" w14:paraId="4042033A"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326DEA52" w14:textId="77777777" w:rsidR="00545A71" w:rsidRDefault="00545A71" w:rsidP="007A7372">
            <w:pPr>
              <w:jc w:val="center"/>
              <w:rPr>
                <w:color w:val="000000"/>
                <w:sz w:val="20"/>
                <w:szCs w:val="20"/>
              </w:rPr>
            </w:pPr>
            <w:r>
              <w:rPr>
                <w:color w:val="000000"/>
                <w:sz w:val="20"/>
                <w:szCs w:val="20"/>
              </w:rPr>
              <w:t xml:space="preserve">Hoque et al </w:t>
            </w:r>
          </w:p>
        </w:tc>
        <w:tc>
          <w:tcPr>
            <w:tcW w:w="1669" w:type="dxa"/>
            <w:tcBorders>
              <w:top w:val="nil"/>
              <w:left w:val="nil"/>
              <w:bottom w:val="single" w:sz="4" w:space="0" w:color="auto"/>
              <w:right w:val="single" w:sz="4" w:space="0" w:color="auto"/>
            </w:tcBorders>
            <w:shd w:val="clear" w:color="auto" w:fill="auto"/>
            <w:noWrap/>
            <w:vAlign w:val="center"/>
            <w:hideMark/>
          </w:tcPr>
          <w:p w14:paraId="3DC32C86" w14:textId="77777777" w:rsidR="00545A71" w:rsidRDefault="00545A71" w:rsidP="007A7372">
            <w:pPr>
              <w:jc w:val="center"/>
              <w:rPr>
                <w:color w:val="000000"/>
                <w:sz w:val="20"/>
                <w:szCs w:val="20"/>
              </w:rPr>
            </w:pPr>
            <w:r>
              <w:rPr>
                <w:color w:val="000000"/>
                <w:sz w:val="20"/>
                <w:szCs w:val="20"/>
              </w:rPr>
              <w:t>2012</w:t>
            </w:r>
          </w:p>
        </w:tc>
        <w:tc>
          <w:tcPr>
            <w:tcW w:w="1451" w:type="dxa"/>
            <w:tcBorders>
              <w:top w:val="nil"/>
              <w:left w:val="nil"/>
              <w:bottom w:val="single" w:sz="4" w:space="0" w:color="auto"/>
              <w:right w:val="single" w:sz="4" w:space="0" w:color="auto"/>
            </w:tcBorders>
            <w:shd w:val="clear" w:color="auto" w:fill="auto"/>
            <w:noWrap/>
            <w:vAlign w:val="bottom"/>
            <w:hideMark/>
          </w:tcPr>
          <w:p w14:paraId="038FD744" w14:textId="3C6E4626"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{"citationItems":[{"id":"ITEM-1","itemData":{"DOI":"10.1016/j.jhydrol.2012.04.022","ISSN":"00221694","abstract":"Environmental isotopes and 14C dating were applied to estimate ages and recharge sources of deep groundwater (≥150m bgl) in south-east Bangladesh. With one exception, deep groundwater is shown to have been recharged more recently than 10Ka (range 3-9Ka, mean 7.6Ka), under climatic conditions indicated by δ 18O and δ 2H as similar to the present day. Groundwater age distributions have been used to infer the scale of aquifer hydraulic anisotropy. 2D groundwater flow modelling is able to reproduce the observed vertical profiles of groundwater age, as determined at two locations, when the aquifer is assigned a permeability anisotropy (K x/K z) of at least 10 3. Under these conditions, deep groundwater originates as recharge in the hill regions at the eastern boundary of the basin. Recharge rates estimated from the groundwater ages are close to an estimate of the current rate of deep groundwater abstraction. Cautious development and careful monitoring are therefore necessary, as excessive deep groundwater pumping could draw dissolved arsenic from the shallow levels of the Bengal Aquifer System (BAS) and contaminate the deep groundwater resource. © 2012 Elsevier B.V.","author":[{"dropping-particle":"","family":"Hoque","given":"Mohammad A.","non-dropping-particle":"","parse-names":false,"suffix":""},{"dropping-particle":"","family":"Burgess","given":"William G.","non-dropping-particle":"","parse-names":false,"suffix":""}],"container-title":"Journal of Hydrology","id":"ITEM-1","issued":{"date-parts":[["2012","6","11"]]},"page":"209-220","publisher":"Elsevier","title":"14C dating of deep groundwater in the Bengal Aquifer System, Bangladesh: Implications for aquifer anisotropy, recharge sources and sustainability","type":"article-journal","volume":"444-445"},"uris":["http://www.mendeley.com/documents/?uuid=939c5b53-256b-3ec7-b280-2a53b155d154"]}],"mendeley":{"formattedCitation":"(&lt;i&gt;17&lt;/i&gt;)","plainTextFormattedCitation":"(17)","previouslyFormattedCitation":"&lt;sup&gt;17&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17</w:t>
            </w:r>
            <w:r w:rsidR="00D11AD8" w:rsidRPr="00D11AD8">
              <w:rPr>
                <w:noProof/>
                <w:color w:val="000000"/>
                <w:sz w:val="22"/>
                <w:szCs w:val="22"/>
              </w:rPr>
              <w:t>)</w:t>
            </w:r>
            <w:r w:rsidRPr="00FB1ADB">
              <w:rPr>
                <w:color w:val="000000"/>
                <w:sz w:val="22"/>
                <w:szCs w:val="22"/>
              </w:rPr>
              <w:fldChar w:fldCharType="end"/>
            </w:r>
          </w:p>
        </w:tc>
      </w:tr>
      <w:tr w:rsidR="00545A71" w14:paraId="568E932D"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3F829266" w14:textId="77777777" w:rsidR="00545A71" w:rsidRDefault="00545A71" w:rsidP="007A7372">
            <w:pPr>
              <w:jc w:val="center"/>
              <w:rPr>
                <w:color w:val="000000"/>
                <w:sz w:val="20"/>
                <w:szCs w:val="20"/>
              </w:rPr>
            </w:pPr>
            <w:r>
              <w:rPr>
                <w:color w:val="000000"/>
                <w:sz w:val="20"/>
                <w:szCs w:val="20"/>
              </w:rPr>
              <w:t>Hoque et al</w:t>
            </w:r>
          </w:p>
        </w:tc>
        <w:tc>
          <w:tcPr>
            <w:tcW w:w="1669" w:type="dxa"/>
            <w:tcBorders>
              <w:top w:val="nil"/>
              <w:left w:val="nil"/>
              <w:bottom w:val="single" w:sz="4" w:space="0" w:color="auto"/>
              <w:right w:val="single" w:sz="4" w:space="0" w:color="auto"/>
            </w:tcBorders>
            <w:shd w:val="clear" w:color="auto" w:fill="auto"/>
            <w:noWrap/>
            <w:vAlign w:val="center"/>
            <w:hideMark/>
          </w:tcPr>
          <w:p w14:paraId="0F373417" w14:textId="77777777" w:rsidR="00545A71" w:rsidRDefault="00545A71" w:rsidP="007A7372">
            <w:pPr>
              <w:jc w:val="center"/>
              <w:rPr>
                <w:color w:val="000000"/>
                <w:sz w:val="20"/>
                <w:szCs w:val="20"/>
              </w:rPr>
            </w:pPr>
            <w:r>
              <w:rPr>
                <w:color w:val="000000"/>
                <w:sz w:val="20"/>
                <w:szCs w:val="20"/>
              </w:rPr>
              <w:t>2014</w:t>
            </w:r>
          </w:p>
        </w:tc>
        <w:tc>
          <w:tcPr>
            <w:tcW w:w="1451" w:type="dxa"/>
            <w:tcBorders>
              <w:top w:val="nil"/>
              <w:left w:val="nil"/>
              <w:bottom w:val="single" w:sz="4" w:space="0" w:color="auto"/>
              <w:right w:val="single" w:sz="4" w:space="0" w:color="auto"/>
            </w:tcBorders>
            <w:shd w:val="clear" w:color="auto" w:fill="auto"/>
            <w:noWrap/>
            <w:vAlign w:val="bottom"/>
            <w:hideMark/>
          </w:tcPr>
          <w:p w14:paraId="53D61272" w14:textId="04CBF375" w:rsidR="00545A71" w:rsidRPr="00FB1ADB" w:rsidRDefault="00545A71" w:rsidP="007A7372">
            <w:pPr>
              <w:jc w:val="center"/>
              <w:rPr>
                <w:color w:val="000000"/>
                <w:sz w:val="22"/>
                <w:szCs w:val="22"/>
              </w:rPr>
            </w:pPr>
            <w:r>
              <w:rPr>
                <w:color w:val="000000"/>
                <w:sz w:val="22"/>
                <w:szCs w:val="22"/>
              </w:rPr>
              <w:fldChar w:fldCharType="begin" w:fldLock="1"/>
            </w:r>
            <w:r w:rsidR="00D11AD8">
              <w:rPr>
                <w:color w:val="000000"/>
                <w:sz w:val="22"/>
                <w:szCs w:val="22"/>
              </w:rPr>
              <w:instrText>ADDIN CSL_CITATION {"citationItems":[{"id":"ITEM-1","itemData":{"DOI":"10.1007/s10040-014-1155-8","ISSN":"14350157","abstract":"Dhaka, the capital of Bangladesh, is home to a population of 15 million people, whose water supply is 85% drawn from groundwater in aquifers that underlie the city. Values of Cl/Br &gt;500 are common in groundwater beneath western Dhaka in areas &lt;3 km from the river, and in rivers and sewers around and within the city. The study shows that groundwater beneath western Dhaka is strongly influenced by infiltration of effluent from leaking sewers and unsewered sanitation, and by river-bank infiltration from the Turag-Buriganga river system which bounds the western limit of the city. River-bank infiltration from other rivers around Dhaka is minor. Values of Cl/Br and Cl concentrations reveal that 23 % of wells sampled in Dhaka are influenced by saline connate water in amounts up to 1%. This residual natural salinity compromises the use of electrical conductivity of groundwater as a method for defining pathways of recharge by contaminated surface waters. Concentrations of As, B, Ba, Cd, Cu, F, Ni, NO3, Pb, Sb, Se and U in groundwater samples are less than WHO health-based guideline values for drinking water.","author":[{"dropping-particle":"","family":"Hoque","given":"M. A.","non-dropping-particle":"","parse-names":false,"suffix":""},{"dropping-particle":"","family":"McArthur","given":"J. M.","non-dropping-particle":"","parse-names":false,"suffix":""},{"dropping-particle":"","family":"Sikdar","given":"P. K.","non-dropping-particle":"","parse-names":false,"suffix":""},{"dropping-particle":"","family":"Ball","given":"J. D.","non-dropping-particle":"","parse-names":false,"suffix":""},{"dropping-particle":"","family":"Molla","given":"T. N.","non-dropping-particle":"","parse-names":false,"suffix":""}],"container-title":"Hydrogeology Journal","id":"ITEM-1","issue":"7","issued":{"date-parts":[["2014","10","21"]]},"page":"1549-1560","publisher":"Springer Verlag","title":"Tracing recharge to aquifers beneath an Asian megacity with Cl/Br and stable isotopes: The example of Dhaka, Bangladesh","type":"article-journal","volume":"22"},"uris":["http://www.mendeley.com/documents/?uuid=c76e11a3-1663-3ef4-82bd-de93ea1da21a"]}],"mendeley":{"formattedCitation":"(&lt;i&gt;11&lt;/i&gt;)","plainTextFormattedCitation":"(11)","previouslyFormattedCitation":"&lt;sup&gt;11&lt;/sup&gt;"},"properties":{"noteIndex":0},"schema":"https://github.com/citation-style-language/schema/raw/master/csl-citation.json"}</w:instrText>
            </w:r>
            <w:r>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11</w:t>
            </w:r>
            <w:r w:rsidR="00D11AD8" w:rsidRPr="00D11AD8">
              <w:rPr>
                <w:noProof/>
                <w:color w:val="000000"/>
                <w:sz w:val="22"/>
                <w:szCs w:val="22"/>
              </w:rPr>
              <w:t>)</w:t>
            </w:r>
            <w:r>
              <w:rPr>
                <w:color w:val="000000"/>
                <w:sz w:val="22"/>
                <w:szCs w:val="22"/>
              </w:rPr>
              <w:fldChar w:fldCharType="end"/>
            </w:r>
          </w:p>
        </w:tc>
      </w:tr>
      <w:tr w:rsidR="00545A71" w14:paraId="7371896F"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36B1178A" w14:textId="77777777" w:rsidR="00545A71" w:rsidRDefault="00545A71" w:rsidP="007A7372">
            <w:pPr>
              <w:jc w:val="center"/>
              <w:rPr>
                <w:color w:val="000000"/>
                <w:sz w:val="20"/>
                <w:szCs w:val="20"/>
              </w:rPr>
            </w:pPr>
            <w:r>
              <w:rPr>
                <w:color w:val="000000"/>
                <w:sz w:val="20"/>
                <w:szCs w:val="20"/>
              </w:rPr>
              <w:t xml:space="preserve">Khan et al </w:t>
            </w:r>
          </w:p>
        </w:tc>
        <w:tc>
          <w:tcPr>
            <w:tcW w:w="1669" w:type="dxa"/>
            <w:tcBorders>
              <w:top w:val="nil"/>
              <w:left w:val="nil"/>
              <w:bottom w:val="single" w:sz="4" w:space="0" w:color="auto"/>
              <w:right w:val="single" w:sz="4" w:space="0" w:color="auto"/>
            </w:tcBorders>
            <w:shd w:val="clear" w:color="auto" w:fill="auto"/>
            <w:noWrap/>
            <w:vAlign w:val="center"/>
            <w:hideMark/>
          </w:tcPr>
          <w:p w14:paraId="42E0DC14" w14:textId="77777777" w:rsidR="00545A71" w:rsidRDefault="00545A71" w:rsidP="007A7372">
            <w:pPr>
              <w:jc w:val="center"/>
              <w:rPr>
                <w:color w:val="000000"/>
                <w:sz w:val="20"/>
                <w:szCs w:val="20"/>
              </w:rPr>
            </w:pPr>
            <w:r>
              <w:rPr>
                <w:color w:val="000000"/>
                <w:sz w:val="20"/>
                <w:szCs w:val="20"/>
              </w:rPr>
              <w:t>2019</w:t>
            </w:r>
          </w:p>
        </w:tc>
        <w:tc>
          <w:tcPr>
            <w:tcW w:w="1451" w:type="dxa"/>
            <w:tcBorders>
              <w:top w:val="nil"/>
              <w:left w:val="nil"/>
              <w:bottom w:val="single" w:sz="4" w:space="0" w:color="auto"/>
              <w:right w:val="single" w:sz="4" w:space="0" w:color="auto"/>
            </w:tcBorders>
            <w:shd w:val="clear" w:color="auto" w:fill="auto"/>
            <w:noWrap/>
            <w:vAlign w:val="bottom"/>
            <w:hideMark/>
          </w:tcPr>
          <w:p w14:paraId="4767C807" w14:textId="02B3CA98" w:rsidR="00545A71" w:rsidRPr="00FB1ADB" w:rsidRDefault="00545A71" w:rsidP="007A7372">
            <w:pPr>
              <w:jc w:val="center"/>
              <w:rPr>
                <w:color w:val="000000"/>
                <w:sz w:val="22"/>
                <w:szCs w:val="22"/>
              </w:rPr>
            </w:pPr>
            <w:r>
              <w:rPr>
                <w:color w:val="000000"/>
                <w:sz w:val="22"/>
                <w:szCs w:val="22"/>
              </w:rPr>
              <w:fldChar w:fldCharType="begin" w:fldLock="1"/>
            </w:r>
            <w:r w:rsidR="00D11AD8">
              <w:rPr>
                <w:color w:val="000000"/>
                <w:sz w:val="22"/>
                <w:szCs w:val="22"/>
              </w:rPr>
              <w:instrText>ADDIN CSL_CITATION {"citationItems":[{"id":"ITEM-1","itemData":{"DOI":"10.1029/2019GL084767","ISSN":"19448007","abstract":"Elevated arsenic in Bengal Basin aquifers threatens human health. Most deep (&gt;150 m) groundwater in Pleistocene aquifers is low in arsenic; however higher concentrations have been reported in the southwest border region. Here, we establish that this extensive arsenic contamination at depth is not associated with well failure. A combination of geochemistry and flow modeling constrains the factors that contribute to arsenic contamination at depth in this region. Deep groundwater in the affected area is younger (2.0 ± 0.6 kyr) than deep, low-arsenic groundwater elsewhere (12.0 ± 4.0 kyr) based on radiocarbon. Stratigraphic data indicate pre-Holocene deposition of the contaminated aquifers, but few low-permeability strata. Numerical modeling indicates that this stratigraphic anomaly permits a natural flow system that transports shallow groundwater to depth. Thus, in areas lacking low-permeability layers, arsenic contamination can occur in pre-Holocene aquifers and is probably not an early sign of future deep contamination in regions with interbedded low-permeability strata.","author":[{"dropping-particle":"","family":"Khan","given":"M. R.","non-dropping-particle":"","parse-names":false,"suffix":""},{"dropping-particle":"","family":"Michael","given":"H. A.","non-dropping-particle":"","parse-names":false,"suffix":""},{"dropping-particle":"","family":"Nath","given":"B.","non-dropping-particle":"","parse-names":false,"suffix":""},{"dropping-particle":"","family":"Huhmann","given":"B. L.","non-dropping-particle":"","parse-names":false,"suffix":""},{"dropping-particle":"","family":"Harvey","given":"C. F.","non-dropping-particle":"","parse-names":false,"suffix":""},{"dropping-particle":"","family":"Mukherjee","given":"A.","non-dropping-particle":"","parse-names":false,"suffix":""},{"dropping-particle":"","family":"Choudhury","given":"I.","non-dropping-particle":"","parse-names":false,"suffix":""},{"dropping-particle":"","family":"Chakraborty","given":"M.","non-dropping-particle":"","parse-names":false,"suffix":""},{"dropping-particle":"","family":"Ullah","given":"M. S.","non-dropping-particle":"","parse-names":false,"suffix":""},{"dropping-particle":"","family":"Ahmed","given":"K. M.","non-dropping-particle":"","parse-names":false,"suffix":""},{"dropping-particle":"","family":"Goodbred","given":"S. L.","non-dropping-particle":"","parse-names":false,"suffix":""},{"dropping-particle":"","family":"Schlosser","given":"P.","non-dropping-particle":"","parse-names":false,"suffix":""},{"dropping-particle":"","family":"Bostick","given":"B. C.","non-dropping-particle":"","parse-names":false,"suffix":""},{"dropping-particle":"","family":"Mailloux","given":"B. J.","non-dropping-particle":"","parse-names":false,"suffix":""},{"dropping-particle":"","family":"Ellis","given":"T.","non-dropping-particle":"","parse-names":false,"suffix":""},{"dropping-particle":"","family":"Geen","given":"A.","non-dropping-particle":"van","parse-names":false,"suffix":""}],"container-title":"Geophysical Research Letters","id":"ITEM-1","issue":"22","issued":{"date-parts":[["2019","11","28"]]},"page":"13062-13071","publisher":"Blackwell Publishing Ltd","title":"High-Arsenic Groundwater in the Southwestern Bengal Basin Caused by a Lithologically Controlled Deep Flow System","type":"article-journal","volume":"46"},"uris":["http://www.mendeley.com/documents/?uuid=3f5f8c74-dcc2-3486-8572-3e14868c08e0"]}],"mendeley":{"formattedCitation":"(&lt;i&gt;18&lt;/i&gt;)","plainTextFormattedCitation":"(18)","previouslyFormattedCitation":"&lt;sup&gt;18&lt;/sup&gt;"},"properties":{"noteIndex":0},"schema":"https://github.com/citation-style-language/schema/raw/master/csl-citation.json"}</w:instrText>
            </w:r>
            <w:r>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18</w:t>
            </w:r>
            <w:r w:rsidR="00D11AD8" w:rsidRPr="00D11AD8">
              <w:rPr>
                <w:noProof/>
                <w:color w:val="000000"/>
                <w:sz w:val="22"/>
                <w:szCs w:val="22"/>
              </w:rPr>
              <w:t>)</w:t>
            </w:r>
            <w:r>
              <w:rPr>
                <w:color w:val="000000"/>
                <w:sz w:val="22"/>
                <w:szCs w:val="22"/>
              </w:rPr>
              <w:fldChar w:fldCharType="end"/>
            </w:r>
          </w:p>
        </w:tc>
      </w:tr>
      <w:tr w:rsidR="00545A71" w14:paraId="081B745B"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65B25FCF" w14:textId="77777777" w:rsidR="00545A71" w:rsidRDefault="00545A71" w:rsidP="007A7372">
            <w:pPr>
              <w:jc w:val="center"/>
              <w:rPr>
                <w:color w:val="000000"/>
                <w:sz w:val="20"/>
                <w:szCs w:val="20"/>
              </w:rPr>
            </w:pPr>
            <w:r>
              <w:rPr>
                <w:color w:val="000000"/>
                <w:sz w:val="20"/>
                <w:szCs w:val="20"/>
              </w:rPr>
              <w:t xml:space="preserve">Kumar et al </w:t>
            </w:r>
          </w:p>
        </w:tc>
        <w:tc>
          <w:tcPr>
            <w:tcW w:w="1669" w:type="dxa"/>
            <w:tcBorders>
              <w:top w:val="nil"/>
              <w:left w:val="nil"/>
              <w:bottom w:val="single" w:sz="4" w:space="0" w:color="auto"/>
              <w:right w:val="single" w:sz="4" w:space="0" w:color="auto"/>
            </w:tcBorders>
            <w:shd w:val="clear" w:color="auto" w:fill="auto"/>
            <w:noWrap/>
            <w:vAlign w:val="center"/>
            <w:hideMark/>
          </w:tcPr>
          <w:p w14:paraId="0712650A" w14:textId="77777777" w:rsidR="00545A71" w:rsidRDefault="00545A71" w:rsidP="007A7372">
            <w:pPr>
              <w:jc w:val="center"/>
              <w:rPr>
                <w:color w:val="000000"/>
                <w:sz w:val="20"/>
                <w:szCs w:val="20"/>
              </w:rPr>
            </w:pPr>
            <w:r>
              <w:rPr>
                <w:color w:val="000000"/>
                <w:sz w:val="20"/>
                <w:szCs w:val="20"/>
              </w:rPr>
              <w:t>2010</w:t>
            </w:r>
          </w:p>
        </w:tc>
        <w:tc>
          <w:tcPr>
            <w:tcW w:w="1451" w:type="dxa"/>
            <w:tcBorders>
              <w:top w:val="nil"/>
              <w:left w:val="nil"/>
              <w:bottom w:val="single" w:sz="4" w:space="0" w:color="auto"/>
              <w:right w:val="single" w:sz="4" w:space="0" w:color="auto"/>
            </w:tcBorders>
            <w:shd w:val="clear" w:color="auto" w:fill="auto"/>
            <w:noWrap/>
            <w:vAlign w:val="bottom"/>
            <w:hideMark/>
          </w:tcPr>
          <w:p w14:paraId="67BAE621" w14:textId="647015CC"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{"citationItems":[{"id":"ITEM-1","itemData":{"DOI":"10.1029/2009WR008532","ISSN":"00431397","abstract":"Hydrogen (2H/1H) and oxygen (18O/ 16O) isotopic ratios were measured in precipitation (900 samples) collected from several locations in India during the period 2003-2006 (12 locations in 2003 and 18 locations in 2004-2006). The amount of rainfall along with air temperature and humidity were also measured. The meteoric water line developed for India using isotopic data of precipitation samples, namely, δ2H = 7.93(±0.06) × δ18O + 9.94(±0.51) (n = 272, r2 = 0.98), differs slightly from the global meteoric water line. Regional meteoric water lines were developed for several Indian regions (i.e., northern and southern regions of India, western Himalayas) and found to be different from each other (southern Indian meteoric water line, slope is 7.82, intercept or D excess is 10.23; northern Indian meteoric water line, slope is 8.15, intercept is 9.55) which is attributed to differences in their geographic and meteorological conditions and their associated atmospheric processes (i.e., ambient temperature, humidity, organ, and source of vapor masses). The local meteoric water lines developed for a number of locations show wide variations in the slope and intercept. These variations are due to different vapor sources such as the northeast (NE) monsoon that originates in the Bay of Bengal; the southwest monsoon (SW) that originates in the Arabian Sea; a mixture of NE and SW monsoons; retreat of NE and SW monsoons and western disturbances that originate in the Mediterranean Sea. The altitude effect in the isotopic composition of precipitation estimated for western Himalayan region also varies from month to month. Copyright 2010 by the American Geophysical Union.","author":[{"dropping-particle":"","family":"Kumar","given":"Bhishm","non-dropping-particle":"","parse-names":false,"suffix":""},{"dropping-particle":"","family":"Rai","given":"S. P.","non-dropping-particle":"","parse-names":false,"suffix":""},{"dropping-particle":"","family":"Kumar","given":"U. Saravana","non-dropping-particle":"","parse-names":false,"suffix":""},{"dropping-particle":"","family":"Verma","given":"S. K.","non-dropping-particle":"","parse-names":false,"suffix":""},{"dropping-particle":"","family":"Garg","given":"Pankaj","non-dropping-particle":"","parse-names":false,"suffix":""},{"dropping-particle":"","family":"Kumar","given":"S. V.Vijaya","non-dropping-particle":"","parse-names":false,"suffix":""},{"dropping-particle":"","family":"Jaiswal","given":"Rahul","non-dropping-particle":"","parse-names":false,"suffix":""},{"dropping-particle":"","family":"Purendra","given":"B. K.","non-dropping-particle":"","parse-names":false,"suffix":""},{"dropping-particle":"","family":"Kumar","given":"S. R.","non-dropping-particle":"","parse-names":false,"suffix":""},{"dropping-particle":"","family":"Pande","given":"N. G.","non-dropping-particle":"","parse-names":false,"suffix":""}],"container-title":"Water Resources Research","id":"ITEM-1","issue":"12","issued":{"date-parts":[["2010","12","1"]]},"publisher":"John Wiley &amp; Sons, Ltd","title":"Isotopic characteristics of Indian precipitation","type":"article-journal","volume":"46"},"uris":["http://www.mendeley.com/documents/?uuid=96555e17-a503-376d-a2dc-c166a9d880de"]}],"mendeley":{"formattedCitation":"(&lt;i&gt;19&lt;/i&gt;)","plainTextFormattedCitation":"(19)","previouslyFormattedCitation":"&lt;sup&gt;19&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19</w:t>
            </w:r>
            <w:r w:rsidR="00D11AD8" w:rsidRPr="00D11AD8">
              <w:rPr>
                <w:noProof/>
                <w:color w:val="000000"/>
                <w:sz w:val="22"/>
                <w:szCs w:val="22"/>
              </w:rPr>
              <w:t>)</w:t>
            </w:r>
            <w:r w:rsidRPr="00FB1ADB">
              <w:rPr>
                <w:color w:val="000000"/>
                <w:sz w:val="22"/>
                <w:szCs w:val="22"/>
              </w:rPr>
              <w:fldChar w:fldCharType="end"/>
            </w:r>
          </w:p>
        </w:tc>
      </w:tr>
      <w:tr w:rsidR="00545A71" w14:paraId="6EB6C166"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204B7DE9" w14:textId="77777777" w:rsidR="00545A71" w:rsidRDefault="00545A71" w:rsidP="007A7372">
            <w:pPr>
              <w:jc w:val="center"/>
              <w:rPr>
                <w:color w:val="000000"/>
                <w:sz w:val="20"/>
                <w:szCs w:val="20"/>
              </w:rPr>
            </w:pPr>
            <w:r>
              <w:rPr>
                <w:color w:val="000000"/>
                <w:sz w:val="20"/>
                <w:szCs w:val="20"/>
              </w:rPr>
              <w:t xml:space="preserve">Kumar et al </w:t>
            </w:r>
          </w:p>
        </w:tc>
        <w:tc>
          <w:tcPr>
            <w:tcW w:w="1669" w:type="dxa"/>
            <w:tcBorders>
              <w:top w:val="nil"/>
              <w:left w:val="nil"/>
              <w:bottom w:val="single" w:sz="4" w:space="0" w:color="auto"/>
              <w:right w:val="single" w:sz="4" w:space="0" w:color="auto"/>
            </w:tcBorders>
            <w:shd w:val="clear" w:color="auto" w:fill="auto"/>
            <w:noWrap/>
            <w:vAlign w:val="center"/>
            <w:hideMark/>
          </w:tcPr>
          <w:p w14:paraId="0B2A05A0" w14:textId="77777777" w:rsidR="00545A71" w:rsidRDefault="00545A71" w:rsidP="007A7372">
            <w:pPr>
              <w:jc w:val="center"/>
              <w:rPr>
                <w:color w:val="000000"/>
                <w:sz w:val="20"/>
                <w:szCs w:val="20"/>
              </w:rPr>
            </w:pPr>
            <w:r>
              <w:rPr>
                <w:color w:val="000000"/>
                <w:sz w:val="20"/>
                <w:szCs w:val="20"/>
              </w:rPr>
              <w:t>2019</w:t>
            </w:r>
          </w:p>
        </w:tc>
        <w:tc>
          <w:tcPr>
            <w:tcW w:w="1451" w:type="dxa"/>
            <w:tcBorders>
              <w:top w:val="nil"/>
              <w:left w:val="nil"/>
              <w:bottom w:val="single" w:sz="4" w:space="0" w:color="auto"/>
              <w:right w:val="single" w:sz="4" w:space="0" w:color="auto"/>
            </w:tcBorders>
            <w:shd w:val="clear" w:color="auto" w:fill="auto"/>
            <w:noWrap/>
            <w:vAlign w:val="bottom"/>
            <w:hideMark/>
          </w:tcPr>
          <w:p w14:paraId="66268485" w14:textId="7EE93414"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{"citationItems":[{"id":"ITEM-1","itemData":{"DOI":"10.1016/j.jhydrol.2019.01.044","ISSN":"00221694","abstract":"Knowledge of the spatial distribution of water isotopes in the large river system is useful to comprehend the hydrological processes within the basin. Spatially limited water isotope data in the Ganga river basin (GRB), one of the largest river basins in the world, hinders the understanding of hydrological processes at the basin scale. Therefore to understand the hydrological processes, river water and ground water were collected from the source (Gangotri glacier) to sink (Bay of Bengal) of the river Ganga. The δ 18 O values of river water vary from −14.9‰ to −6.3‰ with a general enrichment in 18 O from source to sink. The δ 18 O values of ground water are similar to river water only in the middle stretch of the river, indicating higher mixing of these two water sources in the middle stretch. Comparison of the monthly averaged (three years) δ 18 O values of river water and rain water suggests that temporal variability in the isotopic composition of river water is higher in the middle stretch of the river compared to lower stretch due to lower discharge in the middle stretch. To understand the spatial variability of δ 18 O values in the GRB, δ 18 O values of river water were modeled using latitude and elevation as primary predictors. The residuals of the model suggest that in the upper stretch snow/glacier melt control the δ 18 O values, in the lower stretch Himalayan tributaries control the isotopic composition of the river water and in the middle stretch evaporation dominates which is also supported by δ 18 O-δD plots of the different water inventories.","author":[{"dropping-particle":"","family":"Kumar","given":"Anurag","non-dropping-particle":"","parse-names":false,"suffix":""},{"dropping-particle":"","family":"Sanyal","given":"Prasanta","non-dropping-particle":"","parse-names":false,"suffix":""},{"dropping-particle":"","family":"Agrawal","given":"Shailesh","non-dropping-particle":"","parse-names":false,"suffix":""}],"container-title":"Journal of Hydrology","id":"ITEM-1","issued":{"date-parts":[["2019","4","1"]]},"page":"225-234","publisher":"Elsevier B.V.","title":"Spatial distribution of δ 18 O values of water in the Ganga river basin: Insight into the hydrological processes","type":"article-journal","volume":"571"},"uris":["http://www.mendeley.com/documents/?uuid=19ed23da-0add-3013-a7fb-3c1fc90266c2"]}],"mendeley":{"formattedCitation":"(&lt;i&gt;20&lt;/i&gt;)","plainTextFormattedCitation":"(20)","previouslyFormattedCitation":"&lt;sup&gt;20&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20</w:t>
            </w:r>
            <w:r w:rsidR="00D11AD8" w:rsidRPr="00D11AD8">
              <w:rPr>
                <w:noProof/>
                <w:color w:val="000000"/>
                <w:sz w:val="22"/>
                <w:szCs w:val="22"/>
              </w:rPr>
              <w:t>)</w:t>
            </w:r>
            <w:r w:rsidRPr="00FB1ADB">
              <w:rPr>
                <w:color w:val="000000"/>
                <w:sz w:val="22"/>
                <w:szCs w:val="22"/>
              </w:rPr>
              <w:fldChar w:fldCharType="end"/>
            </w:r>
          </w:p>
        </w:tc>
      </w:tr>
      <w:tr w:rsidR="00545A71" w14:paraId="3235C721"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74265326" w14:textId="77777777" w:rsidR="00545A71" w:rsidRDefault="00545A71" w:rsidP="007A7372">
            <w:pPr>
              <w:jc w:val="center"/>
              <w:rPr>
                <w:color w:val="000000"/>
                <w:sz w:val="20"/>
                <w:szCs w:val="20"/>
              </w:rPr>
            </w:pPr>
            <w:r>
              <w:rPr>
                <w:color w:val="000000"/>
                <w:sz w:val="20"/>
                <w:szCs w:val="20"/>
              </w:rPr>
              <w:t>Lamb et al</w:t>
            </w:r>
          </w:p>
        </w:tc>
        <w:tc>
          <w:tcPr>
            <w:tcW w:w="1669" w:type="dxa"/>
            <w:tcBorders>
              <w:top w:val="nil"/>
              <w:left w:val="nil"/>
              <w:bottom w:val="single" w:sz="4" w:space="0" w:color="auto"/>
              <w:right w:val="single" w:sz="4" w:space="0" w:color="auto"/>
            </w:tcBorders>
            <w:shd w:val="clear" w:color="auto" w:fill="auto"/>
            <w:noWrap/>
            <w:vAlign w:val="center"/>
            <w:hideMark/>
          </w:tcPr>
          <w:p w14:paraId="7D50C4A0" w14:textId="77777777" w:rsidR="00545A71" w:rsidRDefault="00545A71" w:rsidP="007A7372">
            <w:pPr>
              <w:jc w:val="center"/>
              <w:rPr>
                <w:color w:val="000000"/>
                <w:sz w:val="20"/>
                <w:szCs w:val="20"/>
              </w:rPr>
            </w:pPr>
            <w:r>
              <w:rPr>
                <w:color w:val="000000"/>
                <w:sz w:val="20"/>
                <w:szCs w:val="20"/>
              </w:rPr>
              <w:t>2005</w:t>
            </w:r>
          </w:p>
        </w:tc>
        <w:tc>
          <w:tcPr>
            <w:tcW w:w="1451" w:type="dxa"/>
            <w:tcBorders>
              <w:top w:val="nil"/>
              <w:left w:val="nil"/>
              <w:bottom w:val="single" w:sz="4" w:space="0" w:color="auto"/>
              <w:right w:val="single" w:sz="4" w:space="0" w:color="auto"/>
            </w:tcBorders>
            <w:shd w:val="clear" w:color="auto" w:fill="auto"/>
            <w:noWrap/>
            <w:vAlign w:val="bottom"/>
            <w:hideMark/>
          </w:tcPr>
          <w:p w14:paraId="1E9416A7" w14:textId="00D9D879"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{"citationItems":[{"id":"ITEM-1","itemData":{"DOI":"10.1002/hyp.5974","ISSN":"08856087","abstract":"Nine major rivers have been sampled around the Indian subcontinent to give an overview of the surface water characteristics. Both 18O and deuterium have been measured to determine the origin of the water and the possible evapotranspiration process. The major ions have also been analysed to obtain complementary information. Although some basins have been studied previously (mainly in the north), this is the first attempt at a wider investigation of major Indian rivers. The results are discussed from the perspective of the hydroclimatological, geographical and geological specificity of the river basins. δ 18O values vary from light-isotope-enriched Himalayan rivers to heavy-isotope-enriched peninsular Indian rivers in a northwest-southeast gradient across the subcontinent. There is more evapotranspiration, leading to heavy isotope enrichment, in the peninsular (southern Deccan) rivers compared with the light-isotope-enriched snow- and glacier-melt-derived waters of the Himalayan rivers. The δ18O values of Indian rivers correspond roughly to the δ18O values of the rains falling over the subcontinent. However, the influence of tributaries is dominant over rainfall in rivers like the Narmada and Tapti. The Cauvery and Krishna rivers show maximum evapotranspiration and sodium pollution, as indicated by the δ18O values, deuterium excess and major ion data. Copyright © 2005 John Wiley &amp; Sons, Ltd.","author":[{"dropping-particle":"","family":"Lambs","given":"L.","non-dropping-particle":"","parse-names":false,"suffix":""},{"dropping-particle":"","family":"Balakrishna","given":"K.","non-dropping-particle":"","parse-names":false,"suffix":""},{"dropping-particle":"","family":"Brunet","given":"F.","non-dropping-particle":"","parse-names":false,"suffix":""},{"dropping-particle":"","family":"Probst","given":"J. L.","non-dropping-particle":"","parse-names":false,"suffix":""}],"container-title":"Hydrological Processes","id":"ITEM-1","issue":"17","issued":{"date-parts":[["2005","11","15"]]},"page":"3345-3355","publisher":"John Wiley &amp; Sons, Ltd","title":"Oxygen and hydrogen isotopic composition of major Indian rivers: a first global assessment","type":"article-journal","volume":"19"},"uris":["http://www.mendeley.com/documents/?uuid=c0a9f9f1-1bec-3a72-8a53-c568d3495890"]}],"mendeley":{"formattedCitation":"(&lt;i&gt;21&lt;/i&gt;)","plainTextFormattedCitation":"(21)","previouslyFormattedCitation":"&lt;sup&gt;21&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21</w:t>
            </w:r>
            <w:r w:rsidR="00D11AD8" w:rsidRPr="00D11AD8">
              <w:rPr>
                <w:noProof/>
                <w:color w:val="000000"/>
                <w:sz w:val="22"/>
                <w:szCs w:val="22"/>
              </w:rPr>
              <w:t>)</w:t>
            </w:r>
            <w:r w:rsidRPr="00FB1ADB">
              <w:rPr>
                <w:color w:val="000000"/>
                <w:sz w:val="22"/>
                <w:szCs w:val="22"/>
              </w:rPr>
              <w:fldChar w:fldCharType="end"/>
            </w:r>
          </w:p>
        </w:tc>
      </w:tr>
      <w:tr w:rsidR="00545A71" w14:paraId="780EC9B3"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54251B3F" w14:textId="77777777" w:rsidR="00545A71" w:rsidRDefault="00545A71" w:rsidP="007A7372">
            <w:pPr>
              <w:jc w:val="center"/>
              <w:rPr>
                <w:color w:val="000000"/>
                <w:sz w:val="20"/>
                <w:szCs w:val="20"/>
              </w:rPr>
            </w:pPr>
            <w:r>
              <w:rPr>
                <w:color w:val="000000"/>
                <w:sz w:val="20"/>
                <w:szCs w:val="20"/>
              </w:rPr>
              <w:t>Lex van Geen</w:t>
            </w:r>
          </w:p>
        </w:tc>
        <w:tc>
          <w:tcPr>
            <w:tcW w:w="1669" w:type="dxa"/>
            <w:tcBorders>
              <w:top w:val="nil"/>
              <w:left w:val="nil"/>
              <w:bottom w:val="single" w:sz="4" w:space="0" w:color="auto"/>
              <w:right w:val="single" w:sz="4" w:space="0" w:color="auto"/>
            </w:tcBorders>
            <w:shd w:val="clear" w:color="auto" w:fill="auto"/>
            <w:noWrap/>
            <w:vAlign w:val="center"/>
            <w:hideMark/>
          </w:tcPr>
          <w:p w14:paraId="2E932D0F" w14:textId="77777777" w:rsidR="00545A71" w:rsidRDefault="00545A71" w:rsidP="007A7372">
            <w:pPr>
              <w:jc w:val="center"/>
              <w:rPr>
                <w:color w:val="000000"/>
                <w:sz w:val="20"/>
                <w:szCs w:val="20"/>
              </w:rPr>
            </w:pPr>
            <w:r>
              <w:rPr>
                <w:color w:val="000000"/>
                <w:sz w:val="20"/>
                <w:szCs w:val="20"/>
              </w:rPr>
              <w:t>Unpublished</w:t>
            </w:r>
          </w:p>
        </w:tc>
        <w:tc>
          <w:tcPr>
            <w:tcW w:w="1451" w:type="dxa"/>
            <w:tcBorders>
              <w:top w:val="nil"/>
              <w:left w:val="nil"/>
              <w:bottom w:val="single" w:sz="4" w:space="0" w:color="auto"/>
              <w:right w:val="single" w:sz="4" w:space="0" w:color="auto"/>
            </w:tcBorders>
            <w:shd w:val="clear" w:color="auto" w:fill="auto"/>
            <w:noWrap/>
            <w:vAlign w:val="bottom"/>
            <w:hideMark/>
          </w:tcPr>
          <w:p w14:paraId="5F3464E0" w14:textId="77777777" w:rsidR="00545A71" w:rsidRPr="00FB1ADB" w:rsidRDefault="00545A71" w:rsidP="007A7372">
            <w:pPr>
              <w:jc w:val="center"/>
              <w:rPr>
                <w:color w:val="000000"/>
                <w:sz w:val="22"/>
                <w:szCs w:val="22"/>
              </w:rPr>
            </w:pPr>
            <w:r>
              <w:rPr>
                <w:color w:val="000000"/>
                <w:sz w:val="22"/>
                <w:szCs w:val="22"/>
              </w:rPr>
              <w:t>See Table S5</w:t>
            </w:r>
          </w:p>
        </w:tc>
      </w:tr>
      <w:tr w:rsidR="00545A71" w14:paraId="3A30270B"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6A5CE08B" w14:textId="77777777" w:rsidR="00545A71" w:rsidRDefault="00545A71" w:rsidP="007A7372">
            <w:pPr>
              <w:jc w:val="center"/>
              <w:rPr>
                <w:color w:val="000000"/>
                <w:sz w:val="20"/>
                <w:szCs w:val="20"/>
              </w:rPr>
            </w:pPr>
            <w:r>
              <w:rPr>
                <w:color w:val="000000"/>
                <w:sz w:val="20"/>
                <w:szCs w:val="20"/>
              </w:rPr>
              <w:t xml:space="preserve">Majumder et al </w:t>
            </w:r>
          </w:p>
        </w:tc>
        <w:tc>
          <w:tcPr>
            <w:tcW w:w="1669" w:type="dxa"/>
            <w:tcBorders>
              <w:top w:val="nil"/>
              <w:left w:val="nil"/>
              <w:bottom w:val="single" w:sz="4" w:space="0" w:color="auto"/>
              <w:right w:val="single" w:sz="4" w:space="0" w:color="auto"/>
            </w:tcBorders>
            <w:shd w:val="clear" w:color="auto" w:fill="auto"/>
            <w:noWrap/>
            <w:vAlign w:val="center"/>
            <w:hideMark/>
          </w:tcPr>
          <w:p w14:paraId="081F32E7" w14:textId="77777777" w:rsidR="00545A71" w:rsidRDefault="00545A71" w:rsidP="007A7372">
            <w:pPr>
              <w:jc w:val="center"/>
              <w:rPr>
                <w:color w:val="000000"/>
                <w:sz w:val="20"/>
                <w:szCs w:val="20"/>
              </w:rPr>
            </w:pPr>
            <w:r>
              <w:rPr>
                <w:color w:val="000000"/>
                <w:sz w:val="20"/>
                <w:szCs w:val="20"/>
              </w:rPr>
              <w:t>2011</w:t>
            </w:r>
          </w:p>
        </w:tc>
        <w:tc>
          <w:tcPr>
            <w:tcW w:w="1451" w:type="dxa"/>
            <w:tcBorders>
              <w:top w:val="nil"/>
              <w:left w:val="nil"/>
              <w:bottom w:val="single" w:sz="4" w:space="0" w:color="auto"/>
              <w:right w:val="single" w:sz="4" w:space="0" w:color="auto"/>
            </w:tcBorders>
            <w:shd w:val="clear" w:color="auto" w:fill="auto"/>
            <w:noWrap/>
            <w:vAlign w:val="bottom"/>
            <w:hideMark/>
          </w:tcPr>
          <w:p w14:paraId="2FF08BCE" w14:textId="08505A81"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{"citationItems":[{"id":"ITEM-1","itemData":{"DOI":"10.1007/s12665-011-0959-2","ISSN":"18666280","abstract":"A total number of 328 groundwater samples are analysed to evaluate the groundwater flow systems in Bengal Delta aquifers, Bangladesh using environmental isotope (2H, 18O, 13C, 3H, and 14C) techniques. A well-defined Local Meteoric Water Line (LMWL) δ2H = 7.7 δ18O + 10.7 ‰ is constructed applying linear correlation analyses to the monthly weighted rainfall isotopic compositions (δ18O and δ2H). The δ18O and δ2H concentrations of all groundwater samples in the study area are plotted more or less over the LMWL, which provides compelling evidence that all groundwaters are derived from rainfall and floodwater with a minor localized evaporation effects for the shallow groundwaters. Tritium concentration is observed in 40 samples out of 41 with values varying between 0.3 and 5.0 TU, which represents an evidence of young water recharge to the shallow and intermediate aquifers. A decreasing trend of 14C activity is associated with the heavier δ13C values, which indicates the presence of geochemical reactions affecting the 14C concentration along the groundwater flow system. Both vertical and lateral decrease of 14C activity toward down gradient show the presence of regional groundwater flow commencing from the unconfined aquifers, which discharges along the coastal regions. Finally, shallow, intermediate, and deep groundwater flow dynamics has revealed in the Bengal Delta aquifers, Bangladesh. © 2011 Springer-Verlag.","author":[{"dropping-particle":"","family":"Majumder","given":"Ratan K.","non-dropping-particle":"","parse-names":false,"suffix":""},{"dropping-particle":"","family":"Halim","given":"M. A.","non-dropping-particle":"","parse-names":false,"suffix":""},{"dropping-particle":"","family":"Saha","given":"B. B.","non-dropping-particle":"","parse-names":false,"suffix":""},{"dropping-particle":"","family":"Ikawa","given":"Reo","non-dropping-particle":"","parse-names":false,"suffix":""},{"dropping-particle":"","family":"Nakamura","given":"Toshio","non-dropping-particle":"","parse-names":false,"suffix":""},{"dropping-particle":"","family":"Kagabu","given":"Makoto","non-dropping-particle":"","parse-names":false,"suffix":""},{"dropping-particle":"","family":"Shimada","given":"Jun","non-dropping-particle":"","parse-names":false,"suffix":""}],"container-title":"Environmental Earth Sciences","id":"ITEM-1","issue":"5","issued":{"date-parts":[["2011","11"]]},"page":"1343-1352","title":"Groundwater flow system in Bengal Delta, Bangladesh revealed by environmental isotopes","type":"article-journal","volume":"64"},"uris":["http://www.mendeley.com/documents/?uuid=73da91f3-10cf-34f3-9640-94a425fa3f5a"]}],"mendeley":{"formattedCitation":"(&lt;i&gt;22&lt;/i&gt;)","plainTextFormattedCitation":"(22)","previouslyFormattedCitation":"&lt;sup&gt;22&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22</w:t>
            </w:r>
            <w:r w:rsidR="00D11AD8" w:rsidRPr="00D11AD8">
              <w:rPr>
                <w:noProof/>
                <w:color w:val="000000"/>
                <w:sz w:val="22"/>
                <w:szCs w:val="22"/>
              </w:rPr>
              <w:t>)</w:t>
            </w:r>
            <w:r w:rsidRPr="00FB1ADB">
              <w:rPr>
                <w:color w:val="000000"/>
                <w:sz w:val="22"/>
                <w:szCs w:val="22"/>
              </w:rPr>
              <w:fldChar w:fldCharType="end"/>
            </w:r>
          </w:p>
        </w:tc>
      </w:tr>
      <w:tr w:rsidR="00545A71" w14:paraId="4CBD9A05"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6456963A" w14:textId="77777777" w:rsidR="00545A71" w:rsidRDefault="00545A71" w:rsidP="007A7372">
            <w:pPr>
              <w:jc w:val="center"/>
              <w:rPr>
                <w:color w:val="000000"/>
                <w:sz w:val="20"/>
                <w:szCs w:val="20"/>
              </w:rPr>
            </w:pPr>
            <w:r>
              <w:rPr>
                <w:color w:val="000000"/>
                <w:sz w:val="20"/>
                <w:szCs w:val="20"/>
              </w:rPr>
              <w:t>Majumder et al</w:t>
            </w:r>
          </w:p>
        </w:tc>
        <w:tc>
          <w:tcPr>
            <w:tcW w:w="1669" w:type="dxa"/>
            <w:tcBorders>
              <w:top w:val="nil"/>
              <w:left w:val="nil"/>
              <w:bottom w:val="single" w:sz="4" w:space="0" w:color="auto"/>
              <w:right w:val="single" w:sz="4" w:space="0" w:color="auto"/>
            </w:tcBorders>
            <w:shd w:val="clear" w:color="auto" w:fill="auto"/>
            <w:noWrap/>
            <w:vAlign w:val="center"/>
            <w:hideMark/>
          </w:tcPr>
          <w:p w14:paraId="68CE28FA" w14:textId="77777777" w:rsidR="00545A71" w:rsidRDefault="00545A71" w:rsidP="007A7372">
            <w:pPr>
              <w:jc w:val="center"/>
              <w:rPr>
                <w:color w:val="000000"/>
                <w:sz w:val="20"/>
                <w:szCs w:val="20"/>
              </w:rPr>
            </w:pPr>
            <w:r>
              <w:rPr>
                <w:color w:val="000000"/>
                <w:sz w:val="20"/>
                <w:szCs w:val="20"/>
              </w:rPr>
              <w:t>2013</w:t>
            </w:r>
          </w:p>
        </w:tc>
        <w:tc>
          <w:tcPr>
            <w:tcW w:w="1451" w:type="dxa"/>
            <w:tcBorders>
              <w:top w:val="nil"/>
              <w:left w:val="nil"/>
              <w:bottom w:val="single" w:sz="4" w:space="0" w:color="auto"/>
              <w:right w:val="single" w:sz="4" w:space="0" w:color="auto"/>
            </w:tcBorders>
            <w:shd w:val="clear" w:color="auto" w:fill="auto"/>
            <w:noWrap/>
            <w:vAlign w:val="bottom"/>
            <w:hideMark/>
          </w:tcPr>
          <w:p w14:paraId="4806ECF7" w14:textId="728D0075"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{"citationItems":[{"id":"ITEM-1","itemData":{"DOI":"10.1007/s12517-012-0767-3","ISSN":"18667511","abstract":"The Ganges River water and riverbank shallow groundwater were studied during a single wet season using the hydrochemical and isotopic composition of its dissolved load. The dissolved concentrations of major ions (Cl-, SO42-, NO3-, HCO3-, Ca2+, Na+, Mg2+, and K+), trace elements (barium (Ba) and strontium (Sr)) and stable isotopes (O and D) were determined on samples collected from the Ganges River and its riverbank shallow aquifers. In the present study, the shallow groundwater differs significantly from the Ganges River water; it shows distinct high concentrations of Ca2+, Mg2+, HCO3-, Ba, and Sr due to water-rock interaction and this in particular suggests that the Ganges River may not contribute significantly to the riverbank shallow aquifers during wet season. Besides, the sum of the total cationic charge (∑+, in milliequivalents per liter) in the groundwater shows high values (2.48 to 13.91 meq/L, average 9.12 meq/L), which is much higher than the sum of the cations observed in the Ganges water (1.36 to 3.10 meq/L, average 1.94 meq/L). Finally, the more depleted stable isotopic (δ18O and δ2H) compositions of the Ganges River water are in contrast to those of the riverbank aquifer having enriched stable isotopic values during the wet season and the riverbank groundwater thus has a purely local origin from precipitation. © 2012 Saudi Society for Geosciences.","author":[{"dropping-particle":"","family":"Majumder","given":"R. K.","non-dropping-particle":"","parse-names":false,"suffix":""},{"dropping-particle":"","family":"Halim","given":"M. A.","non-dropping-particle":"","parse-names":false,"suffix":""},{"dropping-particle":"","family":"Shimada","given":"J.","non-dropping-particle":"","parse-names":false,"suffix":""},{"dropping-particle":"","family":"Saha","given":"B. B.","non-dropping-particle":"","parse-names":false,"suffix":""},{"dropping-particle":"","family":"Zahid","given":"A.","non-dropping-particle":"","parse-names":false,"suffix":""},{"dropping-particle":"","family":"Hasan","given":"M. Q.","non-dropping-particle":"","parse-names":false,"suffix":""},{"dropping-particle":"","family":"Islam","given":"M. S.","non-dropping-particle":"","parse-names":false,"suffix":""}],"container-title":"Arabian Journal of Geosciences","id":"ITEM-1","issue":"12","issued":{"date-parts":[["2013","12","14"]]},"page":"4585-4591","publisher":"Springer","title":"Hydrochemistry and isotopic studies to identify Ganges River and riverbank groundwater interaction, southern Bangladesh","type":"article-journal","volume":"6"},"uris":["http://www.mendeley.com/documents/?uuid=99428047-d2ab-39da-9099-63b4503661c7"]}],"mendeley":{"formattedCitation":"(&lt;i&gt;23&lt;/i&gt;)","plainTextFormattedCitation":"(23)","previouslyFormattedCitation":"&lt;sup&gt;23&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23</w:t>
            </w:r>
            <w:r w:rsidR="00D11AD8" w:rsidRPr="00D11AD8">
              <w:rPr>
                <w:noProof/>
                <w:color w:val="000000"/>
                <w:sz w:val="22"/>
                <w:szCs w:val="22"/>
              </w:rPr>
              <w:t>)</w:t>
            </w:r>
            <w:r w:rsidRPr="00FB1ADB">
              <w:rPr>
                <w:color w:val="000000"/>
                <w:sz w:val="22"/>
                <w:szCs w:val="22"/>
              </w:rPr>
              <w:fldChar w:fldCharType="end"/>
            </w:r>
          </w:p>
        </w:tc>
      </w:tr>
      <w:tr w:rsidR="00545A71" w14:paraId="62ED791B"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20CA86F0" w14:textId="77777777" w:rsidR="00545A71" w:rsidRDefault="00545A71" w:rsidP="007A7372">
            <w:pPr>
              <w:jc w:val="center"/>
              <w:rPr>
                <w:color w:val="000000"/>
                <w:sz w:val="20"/>
                <w:szCs w:val="20"/>
              </w:rPr>
            </w:pPr>
            <w:r>
              <w:rPr>
                <w:color w:val="000000"/>
                <w:sz w:val="20"/>
                <w:szCs w:val="20"/>
              </w:rPr>
              <w:t>McArthur et al</w:t>
            </w:r>
          </w:p>
        </w:tc>
        <w:tc>
          <w:tcPr>
            <w:tcW w:w="1669" w:type="dxa"/>
            <w:tcBorders>
              <w:top w:val="nil"/>
              <w:left w:val="nil"/>
              <w:bottom w:val="single" w:sz="4" w:space="0" w:color="auto"/>
              <w:right w:val="single" w:sz="4" w:space="0" w:color="auto"/>
            </w:tcBorders>
            <w:shd w:val="clear" w:color="auto" w:fill="auto"/>
            <w:noWrap/>
            <w:vAlign w:val="center"/>
            <w:hideMark/>
          </w:tcPr>
          <w:p w14:paraId="14A765DB" w14:textId="77777777" w:rsidR="00545A71" w:rsidRDefault="00545A71" w:rsidP="007A7372">
            <w:pPr>
              <w:jc w:val="center"/>
              <w:rPr>
                <w:color w:val="000000"/>
                <w:sz w:val="20"/>
                <w:szCs w:val="20"/>
              </w:rPr>
            </w:pPr>
            <w:r>
              <w:rPr>
                <w:color w:val="000000"/>
                <w:sz w:val="20"/>
                <w:szCs w:val="20"/>
              </w:rPr>
              <w:t>2016</w:t>
            </w:r>
          </w:p>
        </w:tc>
        <w:tc>
          <w:tcPr>
            <w:tcW w:w="1451" w:type="dxa"/>
            <w:tcBorders>
              <w:top w:val="nil"/>
              <w:left w:val="nil"/>
              <w:bottom w:val="single" w:sz="4" w:space="0" w:color="auto"/>
              <w:right w:val="single" w:sz="4" w:space="0" w:color="auto"/>
            </w:tcBorders>
            <w:shd w:val="clear" w:color="auto" w:fill="auto"/>
            <w:noWrap/>
            <w:vAlign w:val="bottom"/>
            <w:hideMark/>
          </w:tcPr>
          <w:p w14:paraId="74FB2CAA" w14:textId="2D663887"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{"citationItems":[{"id":"ITEM-1","itemData":{"DOI":"10.1021/acs.est.5b02477","ISSN":"15205851","abstract":"in groundwaters from 145 wells across central West Bengal, India, those from Pleistocene aquifers at depths &gt;70 m beneath paleo-interfluves contain &lt;10 μg/L As. Pleistocene aquifers beneath deep paleo-channels typically host groundwaters containing 10-100 μg/L As at depths between 120 and 180 m. The depth profiles of As and SO4 and the conservative tracers Cl/Br, δ18O, and δ2H show that the As in Pleistocene groundwater beneath deep paleo-channels is relict and does not arise from migration downward of As-polluted groundwater in overlying aquifers. We postulate that the As was liberated in situ by reduction of minimal iron oxyhydroxides in the gray Pleistocene sands by organic matter infiltrating from riverbeds during late Pleistocene or earliest Holocene times. Mitigation of the widespread As-pollution in shallow aquifers through exploitation of deep Pleistocene aquifers would improve if guided by an understanding of the distribution of buried paleo-channels and paleo-interfluves and the knowledge that As may be present naturally in groundwater at depths &gt;150 m beneath deep paleo-channels.","author":[{"dropping-particle":"","family":"McArthur","given":"J. M.","non-dropping-particle":"","parse-names":false,"suffix":""},{"dropping-particle":"","family":"Ghosal","given":"U.","non-dropping-particle":"","parse-names":false,"suffix":""},{"dropping-particle":"","family":"Sikdar","given":"P. K.","non-dropping-particle":"","parse-names":false,"suffix":""},{"dropping-particle":"","family":"Ball","given":"J. D.","non-dropping-particle":"","parse-names":false,"suffix":""}],"container-title":"Environmental Science and Technology","id":"ITEM-1","issue":"7","issued":{"date-parts":[["2016","4","19"]]},"page":"3469-3476","publisher":"American Chemical Society","title":"Arsenic in Groundwater: The Deep Late Pleistocene Aquifers of the Western Bengal Basin","type":"article-journal","volume":"50"},"uris":["http://www.mendeley.com/documents/?uuid=5ea903ac-54e2-35c3-b3c8-49e025ab35cb"]}],"mendeley":{"formattedCitation":"(&lt;i&gt;24&lt;/i&gt;)","plainTextFormattedCitation":"(24)","previouslyFormattedCitation":"&lt;sup&gt;24&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24</w:t>
            </w:r>
            <w:r w:rsidR="00D11AD8" w:rsidRPr="00D11AD8">
              <w:rPr>
                <w:noProof/>
                <w:color w:val="000000"/>
                <w:sz w:val="22"/>
                <w:szCs w:val="22"/>
              </w:rPr>
              <w:t>)</w:t>
            </w:r>
            <w:r w:rsidRPr="00FB1ADB">
              <w:rPr>
                <w:color w:val="000000"/>
                <w:sz w:val="22"/>
                <w:szCs w:val="22"/>
              </w:rPr>
              <w:fldChar w:fldCharType="end"/>
            </w:r>
          </w:p>
        </w:tc>
      </w:tr>
      <w:tr w:rsidR="00545A71" w14:paraId="52173C3C"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4B4BEAAF" w14:textId="77777777" w:rsidR="00545A71" w:rsidRDefault="00545A71" w:rsidP="007A7372">
            <w:pPr>
              <w:jc w:val="center"/>
              <w:rPr>
                <w:color w:val="000000"/>
                <w:sz w:val="20"/>
                <w:szCs w:val="20"/>
              </w:rPr>
            </w:pPr>
            <w:r>
              <w:rPr>
                <w:color w:val="000000"/>
                <w:sz w:val="20"/>
                <w:szCs w:val="20"/>
              </w:rPr>
              <w:t>McArthur et al</w:t>
            </w:r>
          </w:p>
        </w:tc>
        <w:tc>
          <w:tcPr>
            <w:tcW w:w="1669" w:type="dxa"/>
            <w:tcBorders>
              <w:top w:val="nil"/>
              <w:left w:val="nil"/>
              <w:bottom w:val="single" w:sz="4" w:space="0" w:color="auto"/>
              <w:right w:val="single" w:sz="4" w:space="0" w:color="auto"/>
            </w:tcBorders>
            <w:shd w:val="clear" w:color="auto" w:fill="auto"/>
            <w:noWrap/>
            <w:vAlign w:val="center"/>
            <w:hideMark/>
          </w:tcPr>
          <w:p w14:paraId="3A77084D" w14:textId="77777777" w:rsidR="00545A71" w:rsidRDefault="00545A71" w:rsidP="007A7372">
            <w:pPr>
              <w:jc w:val="center"/>
              <w:rPr>
                <w:color w:val="000000"/>
                <w:sz w:val="20"/>
                <w:szCs w:val="20"/>
              </w:rPr>
            </w:pPr>
            <w:r>
              <w:rPr>
                <w:color w:val="000000"/>
                <w:sz w:val="20"/>
                <w:szCs w:val="20"/>
              </w:rPr>
              <w:t>2018</w:t>
            </w:r>
          </w:p>
        </w:tc>
        <w:tc>
          <w:tcPr>
            <w:tcW w:w="1451" w:type="dxa"/>
            <w:tcBorders>
              <w:top w:val="nil"/>
              <w:left w:val="nil"/>
              <w:bottom w:val="single" w:sz="4" w:space="0" w:color="auto"/>
              <w:right w:val="single" w:sz="4" w:space="0" w:color="auto"/>
            </w:tcBorders>
            <w:shd w:val="clear" w:color="auto" w:fill="auto"/>
            <w:noWrap/>
            <w:vAlign w:val="bottom"/>
            <w:hideMark/>
          </w:tcPr>
          <w:p w14:paraId="03864BD1" w14:textId="63229ED4" w:rsidR="00545A71" w:rsidRPr="00FB1ADB" w:rsidRDefault="00545A71" w:rsidP="007A7372">
            <w:pPr>
              <w:jc w:val="center"/>
              <w:rPr>
                <w:color w:val="000000"/>
                <w:sz w:val="22"/>
                <w:szCs w:val="22"/>
              </w:rPr>
            </w:pPr>
            <w:r>
              <w:rPr>
                <w:color w:val="000000"/>
                <w:sz w:val="22"/>
                <w:szCs w:val="22"/>
              </w:rPr>
              <w:fldChar w:fldCharType="begin" w:fldLock="1"/>
            </w:r>
            <w:r w:rsidR="00D11AD8">
              <w:rPr>
                <w:color w:val="000000"/>
                <w:sz w:val="22"/>
                <w:szCs w:val="22"/>
              </w:rPr>
              <w:instrText>ADDIN CSL_CITATION {"citationItems":[{"id":"ITEM-1","itemData":{"DOI":"10.1021/acs.est.7b04996","ISSN":"15205851","PMID":"29676565","abstract":"Kolkata, the capital city of West Bengal, exploits groundwater for public water-supply. The groundwater has been reported to be widely polluted by arsenic (As). Analysis for As in 280 groundwaters from across Kolkata, failed to detect As concentrations &gt;10 μg/L from natural processes. Arsenic concentrations between 10 and 79 μg/L found in 14 of the 280 groundwaters are remnant from a pollution-plume emanating from a single factory site where Paris Green, an arsenical pesticide, was manufactured between 1965 and 1985. In 45% of groundwaters sampled, concentrations of Mn exceed 0.4 mg/L, a putative health guideline value for drinking water. Sporadic minor hazards are posed by Pb &gt; 10 μg/L introduced into groundwater from well-fittings, from 4% of groundwaters with F concentrations between 0.75 and 1 mg/L, and the 14% of groundwaters containing more than 500 mg/L Na, concentrations that might contribute to excessive daily intake of Na. Compounding hazards from As, F, Mn, Na, and Pb, shows that 64% of public wells and 40% of municipal wells supply groundwater of suspect quality. Groundwaters comply with WHO Guideline Values for drinking water in terms of Cr, Cu, Co, NO2, NO3, Sb, Se, and U. Aesthetic guideline values for Fe, Mn, SO4, and Cl are exceeded for many groundwaters.","author":[{"dropping-particle":"","family":"McArthur","given":"J. M.","non-dropping-particle":"","parse-names":false,"suffix":""},{"dropping-particle":"","family":"Sikdar","given":"P. K.","non-dropping-particle":"","parse-names":false,"suffix":""},{"dropping-particle":"","family":"Leng","given":"M. J.","non-dropping-particle":"","parse-names":false,"suffix":""},{"dropping-particle":"","family":"Ghosal","given":"U.","non-dropping-particle":"","parse-names":false,"suffix":""},{"dropping-particle":"","family":"Sen","given":"I.","non-dropping-particle":"","parse-names":false,"suffix":""}],"container-title":"Environmental Science and Technology","id":"ITEM-1","issue":"9","issued":{"date-parts":[["2018","5","1"]]},"page":"5161-5172","publisher":"American Chemical Society","title":"Groundwater Quality beneath an Asian Megacity on a Delta: Kolkata's (Calcutta's) Disappearing Arsenic and Present Manganese","type":"article-journal","volume":"52"},"uris":["http://www.mendeley.com/documents/?uuid=aab726ec-039c-3981-946a-12e60ff2ba98"]}],"mendeley":{"formattedCitation":"(&lt;i&gt;25&lt;/i&gt;)","plainTextFormattedCitation":"(25)","previouslyFormattedCitation":"&lt;sup&gt;25&lt;/sup&gt;"},"properties":{"noteIndex":0},"schema":"https://github.com/citation-style-language/schema/raw/master/csl-citation.json"}</w:instrText>
            </w:r>
            <w:r>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25</w:t>
            </w:r>
            <w:r w:rsidR="00D11AD8" w:rsidRPr="00D11AD8">
              <w:rPr>
                <w:noProof/>
                <w:color w:val="000000"/>
                <w:sz w:val="22"/>
                <w:szCs w:val="22"/>
              </w:rPr>
              <w:t>)</w:t>
            </w:r>
            <w:r>
              <w:rPr>
                <w:color w:val="000000"/>
                <w:sz w:val="22"/>
                <w:szCs w:val="22"/>
              </w:rPr>
              <w:fldChar w:fldCharType="end"/>
            </w:r>
          </w:p>
        </w:tc>
      </w:tr>
      <w:tr w:rsidR="00545A71" w14:paraId="17BCE492"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606EA32F" w14:textId="77777777" w:rsidR="00545A71" w:rsidRDefault="00545A71" w:rsidP="007A7372">
            <w:pPr>
              <w:jc w:val="center"/>
              <w:rPr>
                <w:color w:val="000000"/>
                <w:sz w:val="20"/>
                <w:szCs w:val="20"/>
              </w:rPr>
            </w:pPr>
            <w:r>
              <w:rPr>
                <w:color w:val="000000"/>
                <w:sz w:val="20"/>
                <w:szCs w:val="20"/>
              </w:rPr>
              <w:t xml:space="preserve">Mihajlov et al </w:t>
            </w:r>
          </w:p>
        </w:tc>
        <w:tc>
          <w:tcPr>
            <w:tcW w:w="1669" w:type="dxa"/>
            <w:tcBorders>
              <w:top w:val="nil"/>
              <w:left w:val="nil"/>
              <w:bottom w:val="single" w:sz="4" w:space="0" w:color="auto"/>
              <w:right w:val="single" w:sz="4" w:space="0" w:color="auto"/>
            </w:tcBorders>
            <w:shd w:val="clear" w:color="auto" w:fill="auto"/>
            <w:noWrap/>
            <w:vAlign w:val="center"/>
            <w:hideMark/>
          </w:tcPr>
          <w:p w14:paraId="0F7736AA" w14:textId="77777777" w:rsidR="00545A71" w:rsidRDefault="00545A71" w:rsidP="007A7372">
            <w:pPr>
              <w:jc w:val="center"/>
              <w:rPr>
                <w:color w:val="000000"/>
                <w:sz w:val="20"/>
                <w:szCs w:val="20"/>
              </w:rPr>
            </w:pPr>
            <w:r>
              <w:rPr>
                <w:color w:val="000000"/>
                <w:sz w:val="20"/>
                <w:szCs w:val="20"/>
              </w:rPr>
              <w:t>2016</w:t>
            </w:r>
          </w:p>
        </w:tc>
        <w:tc>
          <w:tcPr>
            <w:tcW w:w="1451" w:type="dxa"/>
            <w:tcBorders>
              <w:top w:val="nil"/>
              <w:left w:val="nil"/>
              <w:bottom w:val="single" w:sz="4" w:space="0" w:color="auto"/>
              <w:right w:val="single" w:sz="4" w:space="0" w:color="auto"/>
            </w:tcBorders>
            <w:shd w:val="clear" w:color="auto" w:fill="auto"/>
            <w:noWrap/>
            <w:vAlign w:val="bottom"/>
            <w:hideMark/>
          </w:tcPr>
          <w:p w14:paraId="6B78E382" w14:textId="09AFECBB"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{"citationItems":[{"id":"ITEM-1","itemData":{"DOI":"10.1002/2015WR018224","ISSN":"00431397","abstract":"More than 100,000 community wells have been installed in the 150–300 m depth range throughout Bangladesh over the past decade to provide low-arsenic drinking water (&lt;10 µg/L As), but little is known about how aquifers tapped by these wells are recharged. Within a 25 km2 area of Bangladesh east of Dhaka, groundwater from 65 low-As wells in the 35–240 m depth range was sampled for tritium (3H), oxygen and hydrogen isotopes of water (18O/16O and 2H/1H), carbon isotope ratios in dissolved inorganic carbon (DIC, 14C/12C and 13C/12C), noble gases, and a suite of dissolved constituents, including major cations, anions, and trace elements. At shallow depths (&lt;90 m), 24 out of 42 wells contain detectable 3H of up to 6 TU, indicating the presence of groundwater recharged within 60 years. Radiocarbon (14C) ages in DIC range from modern to 10 kyr. In the 90–240 m depth range, however, only five wells shallower than 150 m contain detectable 3H (&lt;0.3 TU) and 14C ages of DIC cluster around 10 kyr. The radiogenic helium (4He) content in groundwater increases linearly across the entire range of 14C ages at a rate of 2.5 × 10−12 ccSTP 4He g−1 yr−1. Within the samples from depths &gt;90 m, systematic relationships between 18O/16O, 2H/1H, 13C/12C, and 14C/12C, and variations in noble gas temperatures, suggest that changes in monsoon intensity and vegetation cover occurred at the onset of the Holocene, when the sampled water was recharged. Thus, the deeper low-As aquifers remain relatively isolated from the shallow, high-As aquifer.","author":[{"dropping-particle":"","family":"Mihajlov","given":"I.","non-dropping-particle":"","parse-names":false,"suffix":""},{"dropping-particle":"","family":"Stute","given":"M.","non-dropping-particle":"","parse-names":false,"suffix":""},{"dropping-particle":"","family":"Schlosser","given":"P.","non-dropping-particle":"","parse-names":false,"suffix":""},{"dropping-particle":"","family":"Mailloux","given":"B. J.","non-dropping-particle":"","parse-names":false,"suffix":""},{"dropping-particle":"","family":"Zheng","given":"Y.","non-dropping-particle":"","parse-names":false,"suffix":""},{"dropping-particle":"","family":"Choudhury","given":"I.","non-dropping-particle":"","parse-names":false,"suffix":""},{"dropping-particle":"","family":"Ahmed","given":"K. M.","non-dropping-particle":"","parse-names":false,"suffix":""},{"dropping-particle":"","family":"Geen","given":"A.","non-dropping-particle":"van","parse-names":false,"suffix":""}],"container-title":"Water Resources Research","id":"ITEM-1","issue":"5","issued":{"date-parts":[["2016","5","1"]]},"page":"3324-3349","publisher":"Blackwell Publishing Ltd","title":"Recharge of low-arsenic aquifers tapped by community wells in Araihazar, Bangladesh, inferred from environmental isotopes","type":"article-journal","volume":"52"},"uris":["http://www.mendeley.com/documents/?uuid=ec3087f1-7c97-397f-87ff-8526031b1d31"]}],"mendeley":{"formattedCitation":"(&lt;i&gt;7&lt;/i&gt;)","plainTextFormattedCitation":"(7)","previouslyFormattedCitation":"&lt;sup&gt;7&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7</w:t>
            </w:r>
            <w:r w:rsidR="00D11AD8" w:rsidRPr="00D11AD8">
              <w:rPr>
                <w:noProof/>
                <w:color w:val="000000"/>
                <w:sz w:val="22"/>
                <w:szCs w:val="22"/>
              </w:rPr>
              <w:t>)</w:t>
            </w:r>
            <w:r w:rsidRPr="00FB1ADB">
              <w:rPr>
                <w:color w:val="000000"/>
                <w:sz w:val="22"/>
                <w:szCs w:val="22"/>
              </w:rPr>
              <w:fldChar w:fldCharType="end"/>
            </w:r>
          </w:p>
        </w:tc>
      </w:tr>
      <w:tr w:rsidR="00545A71" w14:paraId="183D79A6"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44996FB5" w14:textId="77777777" w:rsidR="00545A71" w:rsidRDefault="00545A71" w:rsidP="007A7372">
            <w:pPr>
              <w:jc w:val="center"/>
              <w:rPr>
                <w:color w:val="000000"/>
                <w:sz w:val="20"/>
                <w:szCs w:val="20"/>
              </w:rPr>
            </w:pPr>
            <w:r>
              <w:rPr>
                <w:color w:val="000000"/>
                <w:sz w:val="20"/>
                <w:szCs w:val="20"/>
              </w:rPr>
              <w:t>Mukherjee et al</w:t>
            </w:r>
          </w:p>
        </w:tc>
        <w:tc>
          <w:tcPr>
            <w:tcW w:w="1669" w:type="dxa"/>
            <w:tcBorders>
              <w:top w:val="nil"/>
              <w:left w:val="nil"/>
              <w:bottom w:val="single" w:sz="4" w:space="0" w:color="auto"/>
              <w:right w:val="single" w:sz="4" w:space="0" w:color="auto"/>
            </w:tcBorders>
            <w:shd w:val="clear" w:color="auto" w:fill="auto"/>
            <w:noWrap/>
            <w:vAlign w:val="center"/>
            <w:hideMark/>
          </w:tcPr>
          <w:p w14:paraId="4D5F5536" w14:textId="77777777" w:rsidR="00545A71" w:rsidRDefault="00545A71" w:rsidP="007A7372">
            <w:pPr>
              <w:jc w:val="center"/>
              <w:rPr>
                <w:color w:val="000000"/>
                <w:sz w:val="20"/>
                <w:szCs w:val="20"/>
              </w:rPr>
            </w:pPr>
            <w:r>
              <w:rPr>
                <w:color w:val="000000"/>
                <w:sz w:val="20"/>
                <w:szCs w:val="20"/>
              </w:rPr>
              <w:t>2018</w:t>
            </w:r>
          </w:p>
        </w:tc>
        <w:tc>
          <w:tcPr>
            <w:tcW w:w="1451" w:type="dxa"/>
            <w:tcBorders>
              <w:top w:val="nil"/>
              <w:left w:val="nil"/>
              <w:bottom w:val="single" w:sz="4" w:space="0" w:color="auto"/>
              <w:right w:val="single" w:sz="4" w:space="0" w:color="auto"/>
            </w:tcBorders>
            <w:shd w:val="clear" w:color="auto" w:fill="auto"/>
            <w:noWrap/>
            <w:vAlign w:val="bottom"/>
            <w:hideMark/>
          </w:tcPr>
          <w:p w14:paraId="5D54C604" w14:textId="20A54033" w:rsidR="00545A71" w:rsidRPr="00FB1ADB" w:rsidRDefault="00545A71" w:rsidP="007A7372">
            <w:pPr>
              <w:jc w:val="center"/>
              <w:rPr>
                <w:color w:val="000000"/>
                <w:sz w:val="22"/>
                <w:szCs w:val="22"/>
              </w:rPr>
            </w:pPr>
            <w:r>
              <w:rPr>
                <w:color w:val="000000"/>
                <w:sz w:val="22"/>
                <w:szCs w:val="22"/>
              </w:rPr>
              <w:fldChar w:fldCharType="begin" w:fldLock="1"/>
            </w:r>
            <w:r w:rsidR="00D11AD8">
              <w:rPr>
                <w:color w:val="000000"/>
                <w:sz w:val="22"/>
                <w:szCs w:val="22"/>
              </w:rPr>
              <w:instrText>ADDIN CSL_CITATION {"citationItems":[{"id":"ITEM-1","itemData":{"DOI":"10.1016/j.scitotenv.2018.06.376","ISSN":"18791026","PMID":"30248860","abstract":"Understanding the controls on spatial variability of groundwater arsenic (As) is critical for mitigating As contamination. The objective of this study is to determine controls on previously unexplained differences in groundwater As concentrations, which are high along the east bank and low along the west bank of the River Bhagirathi-Hoogly (B-H), the primary Indian distributary of the River Ganges, on the western margin of the Bengal basin. A total of 54 wells were sampled after the monsoon season at four sites (two each east and west of the B-H) in Murshidabad district, West Bengal, for field parameters, major and minor solutes, and stable isotopes of water. An additional four boreholes were drilled for analyses of sediment texture, mineralogy, total organic and inorganic carbon, and total As and other metal(loid)s. Results show that higher As in east-bank groundwater (median 0.031 mg/L) is associated with generally more anoxic conditions (higher median total Fe and lower median EH and NO3−) relative to west-bank groundwater (median As &lt; 0.001 mg/L), consistent with previous studies. In contrast, concentrations of Mn in the study area are highest in west-bank wells near the B-H. Carbonate and silicate weathering appear to be more important in east- and west-bank groundwater, respectively, which may reflect differences in sediment sources. Ranges of total As are similar in east- and west-bank sediments. Relatively depleted values of δ18O and δ2H in the east-bank aquifer and streams appear to reflect focused recharge through paleochannels, while relatively enriched west-bank values suggest diffuse recharge to upland aquifers. We speculate that water infiltrating through erosional, stratigraphic “windows” carries organic matter capable of mobilizing As in east-bank groundwater. This comprehensive evaluation of groundwater chemistry provides a more detailed understanding of controls on As variability within the basin.","author":[{"dropping-particle":"","family":"Mukherjee","given":"Abhijit","non-dropping-particle":"","parse-names":false,"suffix":""},{"dropping-particle":"","family":"Fryar","given":"Alan E.","non-dropping-particle":"","parse-names":false,"suffix":""},{"dropping-particle":"","family":"Eastridge","given":"Emily M.","non-dropping-particle":"","parse-names":false,"suffix":""},{"dropping-particle":"","family":"Nally","given":"Rachel S.","non-dropping-particle":"","parse-names":false,"suffix":""},{"dropping-particle":"","family":"Chakraborty","given":"Madhumita","non-dropping-particle":"","parse-names":false,"suffix":""},{"dropping-particle":"","family":"Scanlon","given":"Bridget R.","non-dropping-particle":"","parse-names":false,"suffix":""}],"container-title":"Science of the Total Environment","id":"ITEM-1","issued":{"date-parts":[["2018","12","15"]]},"page":"1371-1387","publisher":"Elsevier B.V.","title":"Controls on high and low groundwater arsenic on the opposite banks of the lower reaches of River Ganges, Bengal basin, India","type":"article-journal","volume":"645"},"uris":["http://www.mendeley.com/documents/?uuid=1e054ffa-12b5-3660-aa56-bee2f1c60071"]}],"mendeley":{"formattedCitation":"(&lt;i&gt;26&lt;/i&gt;)","plainTextFormattedCitation":"(26)","previouslyFormattedCitation":"&lt;sup&gt;26&lt;/sup&gt;"},"properties":{"noteIndex":0},"schema":"https://github.com/citation-style-language/schema/raw/master/csl-citation.json"}</w:instrText>
            </w:r>
            <w:r>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26</w:t>
            </w:r>
            <w:r w:rsidR="00D11AD8" w:rsidRPr="00D11AD8">
              <w:rPr>
                <w:noProof/>
                <w:color w:val="000000"/>
                <w:sz w:val="22"/>
                <w:szCs w:val="22"/>
              </w:rPr>
              <w:t>)</w:t>
            </w:r>
            <w:r>
              <w:rPr>
                <w:color w:val="000000"/>
                <w:sz w:val="22"/>
                <w:szCs w:val="22"/>
              </w:rPr>
              <w:fldChar w:fldCharType="end"/>
            </w:r>
          </w:p>
        </w:tc>
      </w:tr>
      <w:tr w:rsidR="00545A71" w14:paraId="5DA754DA"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097081E4" w14:textId="77777777" w:rsidR="00545A71" w:rsidRDefault="00545A71" w:rsidP="007A7372">
            <w:pPr>
              <w:jc w:val="center"/>
              <w:rPr>
                <w:color w:val="000000"/>
                <w:sz w:val="20"/>
                <w:szCs w:val="20"/>
              </w:rPr>
            </w:pPr>
            <w:r>
              <w:rPr>
                <w:color w:val="000000"/>
                <w:sz w:val="20"/>
                <w:szCs w:val="20"/>
              </w:rPr>
              <w:t xml:space="preserve">Mukherjee et al </w:t>
            </w:r>
          </w:p>
        </w:tc>
        <w:tc>
          <w:tcPr>
            <w:tcW w:w="1669" w:type="dxa"/>
            <w:tcBorders>
              <w:top w:val="nil"/>
              <w:left w:val="nil"/>
              <w:bottom w:val="single" w:sz="4" w:space="0" w:color="auto"/>
              <w:right w:val="single" w:sz="4" w:space="0" w:color="auto"/>
            </w:tcBorders>
            <w:shd w:val="clear" w:color="auto" w:fill="auto"/>
            <w:noWrap/>
            <w:vAlign w:val="center"/>
            <w:hideMark/>
          </w:tcPr>
          <w:p w14:paraId="3C33BE3A" w14:textId="77777777" w:rsidR="00545A71" w:rsidRDefault="00545A71" w:rsidP="007A7372">
            <w:pPr>
              <w:jc w:val="center"/>
              <w:rPr>
                <w:color w:val="000000"/>
                <w:sz w:val="20"/>
                <w:szCs w:val="20"/>
              </w:rPr>
            </w:pPr>
            <w:r>
              <w:rPr>
                <w:color w:val="000000"/>
                <w:sz w:val="20"/>
                <w:szCs w:val="20"/>
              </w:rPr>
              <w:t>2008</w:t>
            </w:r>
          </w:p>
        </w:tc>
        <w:tc>
          <w:tcPr>
            <w:tcW w:w="1451" w:type="dxa"/>
            <w:tcBorders>
              <w:top w:val="nil"/>
              <w:left w:val="nil"/>
              <w:bottom w:val="single" w:sz="4" w:space="0" w:color="auto"/>
              <w:right w:val="single" w:sz="4" w:space="0" w:color="auto"/>
            </w:tcBorders>
            <w:shd w:val="clear" w:color="auto" w:fill="auto"/>
            <w:noWrap/>
            <w:vAlign w:val="bottom"/>
            <w:hideMark/>
          </w:tcPr>
          <w:p w14:paraId="28158BF7" w14:textId="6C1D4A10"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 xml:space="preserve">ADDIN CSL_CITATION {"citationItems":[{"id":"ITEM-1","itemData":{"DOI":"10.1007/s10040-007-0208-7","ISSN":"14312174","abstract":"The first documented interpretation of the regional-scale hydrostratigraphy and groundwater flow is presented for a </w:instrText>
            </w:r>
            <w:r w:rsidR="00D11AD8">
              <w:rPr>
                <w:rFonts w:ascii="Cambria Math" w:hAnsi="Cambria Math" w:cs="Cambria Math"/>
                <w:color w:val="000000"/>
                <w:sz w:val="22"/>
                <w:szCs w:val="22"/>
              </w:rPr>
              <w:instrText>∼</w:instrText>
            </w:r>
            <w:r w:rsidR="00D11AD8">
              <w:rPr>
                <w:color w:val="000000"/>
                <w:sz w:val="22"/>
                <w:szCs w:val="22"/>
              </w:rPr>
              <w:instrText>21,000-km2 area of the arsenic-affected districts of West Bengal [Murshidabad, Nadia, North 24 Parganas and South 24 Parganas (including Calcutta)], India. A hydrostratigraphic model demonstrates the presence of a continuous, semi-confined sand aquifer underlain by a thick clay aquitard. The aquifer thickens toward the east and south. In the south, discontinuous clay layers locally divide the near-surface aquifer into several deeper, laterally connected, confined aquifers. Eight 22-layer model scenarios of regional groundwater flow were developed based on the observed topography, seasonal conditions, and inferred hydrostratigraphy. The models suggest the existence of seasonally variable, regional, north-south flow across the basin prior to the onset of extensive pumping in the 1970s. Pumping has severely distorted the flow pattern, inducing high vertical hydraulic gradients across wide cones of depression. Pumping has also increased total recharge (including irrigational return flow), inflow from rivers, and sea water intrusion. Consequently, downward flow of arsenic contaminated shallow groundwater appears to have resulted in contamination of previously safe aquifers by a combination of mechanical mixing and changes in chemical equilibrium. © Springer-Verlag 2007.","author":[{"dropping-particle":"","family":"Mukherjee","given":"Abhijit","non-dropping-particle":"","parse-names":false,"suffix":""},{"dropping-particle":"","family":"Fryar","given":"Alan E.","non-dropping-particle":"","parse-names":false,"suffix":""},{"dropping-particle":"","family":"Howell","given":"Paul D.","non-dropping-particle":"","parse-names":false,"suffix":""}],"container-title":"Hydrogeology Journal","id":"ITEM-1","issue":"7","issued":{"date-parts":[["2007","11"]]},"page":"1397-1418","title":"Regional hydrostratigraphy and groundwater flow modeling in the arsenic-affected areas of the western Bengal basin, West Bengal, India","type":"article-journal","volume":"15"},"uris":["http://www.mendeley.com/documents/?uuid=0fdc04aa-5f71-3f9a-b701-d718e5e40aa6"]}],"mendeley":{"formattedCitation":"(&lt;i&gt;27&lt;/i&gt;)","plainTextFormattedCitation":"(27)","previouslyFormattedCitation":"&lt;sup&gt;27&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27</w:t>
            </w:r>
            <w:r w:rsidR="00D11AD8" w:rsidRPr="00D11AD8">
              <w:rPr>
                <w:noProof/>
                <w:color w:val="000000"/>
                <w:sz w:val="22"/>
                <w:szCs w:val="22"/>
              </w:rPr>
              <w:t>)</w:t>
            </w:r>
            <w:r w:rsidRPr="00FB1ADB">
              <w:rPr>
                <w:color w:val="000000"/>
                <w:sz w:val="22"/>
                <w:szCs w:val="22"/>
              </w:rPr>
              <w:fldChar w:fldCharType="end"/>
            </w:r>
          </w:p>
        </w:tc>
      </w:tr>
      <w:tr w:rsidR="00545A71" w14:paraId="4CC4B8B4"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776F0C07" w14:textId="77777777" w:rsidR="00545A71" w:rsidRDefault="00545A71" w:rsidP="007A7372">
            <w:pPr>
              <w:jc w:val="center"/>
              <w:rPr>
                <w:color w:val="000000"/>
                <w:sz w:val="20"/>
                <w:szCs w:val="20"/>
              </w:rPr>
            </w:pPr>
            <w:r>
              <w:rPr>
                <w:color w:val="000000"/>
                <w:sz w:val="20"/>
                <w:szCs w:val="20"/>
              </w:rPr>
              <w:t xml:space="preserve">Munksgaard et al </w:t>
            </w:r>
          </w:p>
        </w:tc>
        <w:tc>
          <w:tcPr>
            <w:tcW w:w="1669" w:type="dxa"/>
            <w:tcBorders>
              <w:top w:val="nil"/>
              <w:left w:val="nil"/>
              <w:bottom w:val="single" w:sz="4" w:space="0" w:color="auto"/>
              <w:right w:val="single" w:sz="4" w:space="0" w:color="auto"/>
            </w:tcBorders>
            <w:shd w:val="clear" w:color="auto" w:fill="auto"/>
            <w:noWrap/>
            <w:vAlign w:val="center"/>
            <w:hideMark/>
          </w:tcPr>
          <w:p w14:paraId="7A2D6AC4" w14:textId="77777777" w:rsidR="00545A71" w:rsidRDefault="00545A71" w:rsidP="007A7372">
            <w:pPr>
              <w:jc w:val="center"/>
              <w:rPr>
                <w:color w:val="000000"/>
                <w:sz w:val="20"/>
                <w:szCs w:val="20"/>
              </w:rPr>
            </w:pPr>
            <w:r>
              <w:rPr>
                <w:color w:val="000000"/>
                <w:sz w:val="20"/>
                <w:szCs w:val="20"/>
              </w:rPr>
              <w:t>2019</w:t>
            </w:r>
          </w:p>
        </w:tc>
        <w:tc>
          <w:tcPr>
            <w:tcW w:w="1451" w:type="dxa"/>
            <w:tcBorders>
              <w:top w:val="nil"/>
              <w:left w:val="nil"/>
              <w:bottom w:val="single" w:sz="4" w:space="0" w:color="auto"/>
              <w:right w:val="single" w:sz="4" w:space="0" w:color="auto"/>
            </w:tcBorders>
            <w:shd w:val="clear" w:color="auto" w:fill="auto"/>
            <w:noWrap/>
            <w:vAlign w:val="bottom"/>
            <w:hideMark/>
          </w:tcPr>
          <w:p w14:paraId="3B65D5B8" w14:textId="32167436"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{"citationItems":[{"id":"ITEM-1","itemData":{"DOI":"10.1038/s41598-019-50973-9","ISSN":"20452322","PMID":"31595004","abstract":"We present precipitation isotope data (δ2H and δ18O values) from 19 stations across the tropics collected from 2012 to 2017 under the Coordinated Research Project F31004 sponsored by the International Atomic Energy Agency. Rainfall samples were collected daily and analysed for stable isotopic ratios of oxygen and hydrogen by participating laboratories following a common analytical framework. We also calculated daily mean stratiform rainfall area fractions around each station over an area of 5° x 5° longitude/latitude based on TRMM/GPM satellite data. Isotope time series, along with information on rainfall amount and stratiform/convective proportions provide a valuable tool for rainfall characterisation and to improve the ability of isotope-enabled Global Circulation Models to predict variability and availability of inputs to fresh water resources across the tropics.","author":[{"dropping-particle":"","family":"Munksgaard","given":"Niels C.","non-dropping-particle":"","parse-names":false,"suffix":""},{"dropping-particle":"","family":"Kurita","given":"Naoyuki","non-dropping-particle":"","parse-names":false,"suffix":""},{"dropping-particle":"","family":"Sánchez-Murillo","given":"Ricardo","non-dropping-particle":"","parse-names":false,"suffix":""},{"dropping-particle":"","family":"Ahmed","given":"Nasir","non-dropping-particle":"","parse-names":false,"suffix":""},{"dropping-particle":"","family":"Araguas","given":"Luis","non-dropping-particle":"","parse-names":false,"suffix":""},{"dropping-particle":"","family":"Balachew","given":"Dagnachew L.","non-dropping-particle":"","parse-names":false,"suffix":""},{"dropping-particle":"","family":"Bird","given":"Michael I.","non-dropping-particle":"","parse-names":false,"suffix":""},{"dropping-particle":"","family":"Chakraborty","given":"Supriyo","non-dropping-particle":"","parse-names":false,"suffix":""},{"dropping-particle":"","family":"Kien Chinh","given":"Nguyen","non-dropping-particle":"","parse-names":false,"suffix":""},{"dropping-particle":"","family":"Cobb","given":"Kim M.","non-dropping-particle":"","parse-names":false,"suffix":""},{"dropping-particle":"","family":"Ellis","given":"Shelby A.","non-dropping-particle":"","parse-names":false,"suffix":""},{"dropping-particle":"","family":"Esquivel-Hernández","given":"Germain","non-dropping-particle":"","parse-names":false,"suffix":""},{"dropping-particle":"","family":"Ganyaglo","given":"Samuel Y.","non-dropping-particle":"","parse-names":false,"suffix":""},{"dropping-particle":"","family":"Gao","given":"Jing","non-dropping-particle":"","parse-names":false,"suffix":""},{"dropping-particle":"","family":"Gastmans","given":"Didier","non-dropping-particle":"","parse-names":false,"suffix":""},{"dropping-particle":"","family":"Kaseke","given":"Kudzai F.","non-dropping-particle":"","parse-names":false,"suffix":""},{"dropping-particle":"","family":"Kebede","given":"Seifu","non-dropping-particle":"","parse-names":false,"suffix":""},{"dropping-particle":"","family":"Morales","given":"Marcelo R.","non-dropping-particle":"","parse-names":false,"suffix":""},{"dropping-particle":"","family":"Mueller","given":"Moritz","non-dropping-particle":"","parse-names":false,"suffix":""},{"dropping-particle":"","family":"Poh","given":"Seng Chee","non-dropping-particle":"","parse-names":false,"suffix":""},{"dropping-particle":"dos","family":"Santos","given":"Vinícius","non-dropping-particle":"","parse-names":false,"suffix":""},{"dropping-particle":"","family":"Shaoneng","given":"He","non-dropping-particle":"","parse-names":false,"suffix":""},{"dropping-particle":"","family":"Wang","given":"Lixin","non-dropping-particle":"","parse-names":false,"suffix":""},{"dropping-particle":"","family":"Yacobaccio","given":"Hugo","non-dropping-particle":"","parse-names":false,"suffix":""},{"dropping-particle":"","family":"Zwart","given":"Costijn","non-dropping-particle":"","parse-names":false,"suffix":""}],"container-title":"Scientific Reports","id":"ITEM-1","issue":"1","issued":{"date-parts":[["2019","12","1"]]},"publisher":"Nature Publishing Group","title":"Data Descriptor: Daily observations of stable isotope ratios of rainfall in the tropics","type":"article-journal","volume":"9"},"uris":["http://www.mendeley.com/documents/?uuid=7a4c84ba-15bf-3fab-9bbd-5f7bd908ae5f"]}],"mendeley":{"formattedCitation":"(&lt;i&gt;28&lt;/i&gt;)","plainTextFormattedCitation":"(28)","previouslyFormattedCitation":"&lt;sup&gt;28&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28</w:t>
            </w:r>
            <w:r w:rsidR="00D11AD8" w:rsidRPr="00D11AD8">
              <w:rPr>
                <w:noProof/>
                <w:color w:val="000000"/>
                <w:sz w:val="22"/>
                <w:szCs w:val="22"/>
              </w:rPr>
              <w:t>)</w:t>
            </w:r>
            <w:r w:rsidRPr="00FB1ADB">
              <w:rPr>
                <w:color w:val="000000"/>
                <w:sz w:val="22"/>
                <w:szCs w:val="22"/>
              </w:rPr>
              <w:fldChar w:fldCharType="end"/>
            </w:r>
          </w:p>
        </w:tc>
      </w:tr>
      <w:tr w:rsidR="00545A71" w14:paraId="31361440"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31EEA875" w14:textId="77777777" w:rsidR="00545A71" w:rsidRDefault="00545A71" w:rsidP="007A7372">
            <w:pPr>
              <w:jc w:val="center"/>
              <w:rPr>
                <w:color w:val="000000"/>
                <w:sz w:val="20"/>
                <w:szCs w:val="20"/>
              </w:rPr>
            </w:pPr>
            <w:r>
              <w:rPr>
                <w:color w:val="000000"/>
                <w:sz w:val="20"/>
                <w:szCs w:val="20"/>
              </w:rPr>
              <w:t xml:space="preserve">Neumann et al </w:t>
            </w:r>
          </w:p>
        </w:tc>
        <w:tc>
          <w:tcPr>
            <w:tcW w:w="1669" w:type="dxa"/>
            <w:tcBorders>
              <w:top w:val="nil"/>
              <w:left w:val="nil"/>
              <w:bottom w:val="single" w:sz="4" w:space="0" w:color="auto"/>
              <w:right w:val="single" w:sz="4" w:space="0" w:color="auto"/>
            </w:tcBorders>
            <w:shd w:val="clear" w:color="auto" w:fill="auto"/>
            <w:noWrap/>
            <w:vAlign w:val="center"/>
            <w:hideMark/>
          </w:tcPr>
          <w:p w14:paraId="2BC16CE4" w14:textId="77777777" w:rsidR="00545A71" w:rsidRDefault="00545A71" w:rsidP="007A7372">
            <w:pPr>
              <w:jc w:val="center"/>
              <w:rPr>
                <w:color w:val="000000"/>
                <w:sz w:val="20"/>
                <w:szCs w:val="20"/>
              </w:rPr>
            </w:pPr>
            <w:r>
              <w:rPr>
                <w:color w:val="000000"/>
                <w:sz w:val="20"/>
                <w:szCs w:val="20"/>
              </w:rPr>
              <w:t>2009</w:t>
            </w:r>
          </w:p>
        </w:tc>
        <w:tc>
          <w:tcPr>
            <w:tcW w:w="1451" w:type="dxa"/>
            <w:tcBorders>
              <w:top w:val="nil"/>
              <w:left w:val="nil"/>
              <w:bottom w:val="single" w:sz="4" w:space="0" w:color="auto"/>
              <w:right w:val="single" w:sz="4" w:space="0" w:color="auto"/>
            </w:tcBorders>
            <w:shd w:val="clear" w:color="auto" w:fill="auto"/>
            <w:noWrap/>
            <w:vAlign w:val="bottom"/>
            <w:hideMark/>
          </w:tcPr>
          <w:p w14:paraId="367B3F3F" w14:textId="78F12E13"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{"citationItems":[{"id":"ITEM-1","itemData":{"DOI":"10.1038/ngeo685","ISSN":"17520894","abstract":"The origin of dissolved arsenic in the Ganges Delta has puzzled researchers ever since the report of widespread arsenic poisoning two decades ago. Today, microbially mediated oxidation of organic carbon is thought to drive the geochemical transformations that release arsenic from sediments, but the source of the organic carbon that fuels these processes remains controversial. At a typical site in Bangladesh, where groundwater-irrigated rice fields and constructed ponds are the main sources of groundwater recharge, we combine hydrologic and biogeochemical analyses to trace the origin of contaminated groundwater. Incubation experiments indicate that recharge from ponds contains biologically degradable organic carbon, whereas recharge from rice fields contains mainly recalcitrant organic carbon. Chemical and isotopic indicators as well as groundwater simulations suggest that recharge from ponds carries this degradable organic carbon into the shallow aquifer, and that groundwater flow, drawn by irrigation pumping, transports pond water to the depth where dissolved arsenic concentrations are greatest. Results also indicate that arsenic concentrations are low in groundwater originating from rice fields. Furthermore, solute composition in arsenic-contaminated water is consistent with that predicted using geochemical models of pond-water-aquifer-sediment interactions. We therefore suggest that the construction of ponds has influenced aquifer biogeochemistry, and that patterns of arsenic contamination in the shallow aquifer result from variations in the source of water, and the complex three-dimensional patterns of groundwater flow. © 2010 Macmillan Publishers Limited. All rights reserved.","author":[{"dropping-particle":"","family":"Neumann","given":"Rebecca B.","non-dropping-particle":"","parse-names":false,"suffix":""},{"dropping-particle":"","family":"Ashfaque","given":"Khandaker N.","non-dropping-particle":"","parse-names":false,"suffix":""},{"dropping-particle":"","family":"Badruzzaman","given":"A. B.M.","non-dropping-particle":"","parse-names":false,"suffix":""},{"dropping-particle":"","family":"Ashraf Ali","given":"M.","non-dropping-particle":"","parse-names":false,"suffix":""},{"dropping-particle":"","family":"Shoemaker","given":"Julie K.","non-dropping-particle":"","parse-names":false,"suffix":""},{"dropping-particle":"","family":"Harvey","given":"Charles F.","non-dropping-particle":"","parse-names":false,"suffix":""}],"container-title":"Nature Geoscience","id":"ITEM-1","issue":"1","issued":{"date-parts":[["2010","1","15"]]},"page":"46-52","publisher":"Nature Publishing Group","title":"Anthropogenic influences on groundwater arsenic concentrations in Bangladesh","type":"article-journal","volume":"3"},"uris":["http://www.mendeley.com/documents/?uuid=9be04dcb-35d9-3c17-956b-3c5fd52e6eac"]}],"mendeley":{"formattedCitation":"(&lt;i&gt;29&lt;/i&gt;)","plainTextFormattedCitation":"(29)","previouslyFormattedCitation":"&lt;sup&gt;29&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29</w:t>
            </w:r>
            <w:r w:rsidR="00D11AD8" w:rsidRPr="00D11AD8">
              <w:rPr>
                <w:noProof/>
                <w:color w:val="000000"/>
                <w:sz w:val="22"/>
                <w:szCs w:val="22"/>
              </w:rPr>
              <w:t>)</w:t>
            </w:r>
            <w:r w:rsidRPr="00FB1ADB">
              <w:rPr>
                <w:color w:val="000000"/>
                <w:sz w:val="22"/>
                <w:szCs w:val="22"/>
              </w:rPr>
              <w:fldChar w:fldCharType="end"/>
            </w:r>
          </w:p>
        </w:tc>
      </w:tr>
      <w:tr w:rsidR="00545A71" w14:paraId="50978718"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02B3B638" w14:textId="77777777" w:rsidR="00545A71" w:rsidRDefault="00545A71" w:rsidP="007A7372">
            <w:pPr>
              <w:jc w:val="center"/>
              <w:rPr>
                <w:color w:val="000000"/>
                <w:sz w:val="20"/>
                <w:szCs w:val="20"/>
              </w:rPr>
            </w:pPr>
            <w:r>
              <w:rPr>
                <w:color w:val="000000"/>
                <w:sz w:val="20"/>
                <w:szCs w:val="20"/>
              </w:rPr>
              <w:t>Sashidharan M S</w:t>
            </w:r>
          </w:p>
        </w:tc>
        <w:tc>
          <w:tcPr>
            <w:tcW w:w="1669" w:type="dxa"/>
            <w:tcBorders>
              <w:top w:val="nil"/>
              <w:left w:val="nil"/>
              <w:bottom w:val="single" w:sz="4" w:space="0" w:color="auto"/>
              <w:right w:val="single" w:sz="4" w:space="0" w:color="auto"/>
            </w:tcBorders>
            <w:shd w:val="clear" w:color="auto" w:fill="auto"/>
            <w:noWrap/>
            <w:vAlign w:val="center"/>
            <w:hideMark/>
          </w:tcPr>
          <w:p w14:paraId="43622316" w14:textId="77777777" w:rsidR="00545A71" w:rsidRDefault="00545A71" w:rsidP="007A7372">
            <w:pPr>
              <w:jc w:val="center"/>
              <w:rPr>
                <w:color w:val="000000"/>
                <w:sz w:val="20"/>
                <w:szCs w:val="20"/>
              </w:rPr>
            </w:pPr>
            <w:r>
              <w:rPr>
                <w:color w:val="000000"/>
                <w:sz w:val="20"/>
                <w:szCs w:val="20"/>
              </w:rPr>
              <w:t>2013</w:t>
            </w:r>
          </w:p>
        </w:tc>
        <w:tc>
          <w:tcPr>
            <w:tcW w:w="1451" w:type="dxa"/>
            <w:tcBorders>
              <w:top w:val="nil"/>
              <w:left w:val="nil"/>
              <w:bottom w:val="single" w:sz="4" w:space="0" w:color="auto"/>
              <w:right w:val="single" w:sz="4" w:space="0" w:color="auto"/>
            </w:tcBorders>
            <w:shd w:val="clear" w:color="auto" w:fill="auto"/>
            <w:noWrap/>
            <w:vAlign w:val="bottom"/>
            <w:hideMark/>
          </w:tcPr>
          <w:p w14:paraId="26E8EB4C" w14:textId="7D5746E6" w:rsidR="00545A71" w:rsidRPr="00FB1ADB" w:rsidRDefault="00545A71" w:rsidP="007A7372">
            <w:pPr>
              <w:jc w:val="center"/>
              <w:rPr>
                <w:color w:val="000000"/>
                <w:sz w:val="22"/>
                <w:szCs w:val="22"/>
              </w:rPr>
            </w:pPr>
            <w:r>
              <w:rPr>
                <w:color w:val="000000"/>
                <w:sz w:val="22"/>
                <w:szCs w:val="22"/>
              </w:rPr>
              <w:fldChar w:fldCharType="begin" w:fldLock="1"/>
            </w:r>
            <w:r w:rsidR="00D11AD8">
              <w:rPr>
                <w:color w:val="000000"/>
                <w:sz w:val="22"/>
                <w:szCs w:val="22"/>
              </w:rPr>
              <w:instrText>ADDIN CSL_CITATION {"citationItems":[{"id":"ITEM-1","itemData":{"author":[{"dropping-particle":"","family":"Sasidharan","given":"Sankar Manalilkada","non-dropping-particle":"","parse-names":false,"suffix":""}],"id":"ITEM-1","issued":{"date-parts":[["2013"]]},"publisher":"Kansas State University","title":"Geochemical significance of arsenic and manganese toxicity in groundwaters from Murshidabad district, West Bengal, India","type":"thesis"},"uris":["http://www.mendeley.com/documents/?uuid=ec882a11-1319-40fb-a340-334cd7d245a3"]}],"mendeley":{"formattedCitation":"(&lt;i&gt;30&lt;/i&gt;)","plainTextFormattedCitation":"(30)","previouslyFormattedCitation":"&lt;sup&gt;30&lt;/sup&gt;"},"properties":{"noteIndex":0},"schema":"https://github.com/citation-style-language/schema/raw/master/csl-citation.json"}</w:instrText>
            </w:r>
            <w:r>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30</w:t>
            </w:r>
            <w:r w:rsidR="00D11AD8" w:rsidRPr="00D11AD8">
              <w:rPr>
                <w:noProof/>
                <w:color w:val="000000"/>
                <w:sz w:val="22"/>
                <w:szCs w:val="22"/>
              </w:rPr>
              <w:t>)</w:t>
            </w:r>
            <w:r>
              <w:rPr>
                <w:color w:val="000000"/>
                <w:sz w:val="22"/>
                <w:szCs w:val="22"/>
              </w:rPr>
              <w:fldChar w:fldCharType="end"/>
            </w:r>
          </w:p>
        </w:tc>
      </w:tr>
      <w:tr w:rsidR="00545A71" w14:paraId="1ADD896C"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60267E4E" w14:textId="77777777" w:rsidR="00545A71" w:rsidRDefault="00545A71" w:rsidP="007A7372">
            <w:pPr>
              <w:jc w:val="center"/>
              <w:rPr>
                <w:color w:val="000000"/>
                <w:sz w:val="20"/>
                <w:szCs w:val="20"/>
              </w:rPr>
            </w:pPr>
            <w:r>
              <w:rPr>
                <w:color w:val="000000"/>
                <w:sz w:val="20"/>
                <w:szCs w:val="20"/>
              </w:rPr>
              <w:t xml:space="preserve">Sengupta et al </w:t>
            </w:r>
          </w:p>
        </w:tc>
        <w:tc>
          <w:tcPr>
            <w:tcW w:w="1669" w:type="dxa"/>
            <w:tcBorders>
              <w:top w:val="nil"/>
              <w:left w:val="nil"/>
              <w:bottom w:val="single" w:sz="4" w:space="0" w:color="auto"/>
              <w:right w:val="single" w:sz="4" w:space="0" w:color="auto"/>
            </w:tcBorders>
            <w:shd w:val="clear" w:color="auto" w:fill="auto"/>
            <w:noWrap/>
            <w:vAlign w:val="center"/>
            <w:hideMark/>
          </w:tcPr>
          <w:p w14:paraId="3FC86754" w14:textId="77777777" w:rsidR="00545A71" w:rsidRDefault="00545A71" w:rsidP="007A7372">
            <w:pPr>
              <w:jc w:val="center"/>
              <w:rPr>
                <w:color w:val="000000"/>
                <w:sz w:val="20"/>
                <w:szCs w:val="20"/>
              </w:rPr>
            </w:pPr>
            <w:r>
              <w:rPr>
                <w:color w:val="000000"/>
                <w:sz w:val="20"/>
                <w:szCs w:val="20"/>
              </w:rPr>
              <w:t>2006</w:t>
            </w:r>
          </w:p>
        </w:tc>
        <w:tc>
          <w:tcPr>
            <w:tcW w:w="1451" w:type="dxa"/>
            <w:tcBorders>
              <w:top w:val="nil"/>
              <w:left w:val="nil"/>
              <w:bottom w:val="single" w:sz="4" w:space="0" w:color="auto"/>
              <w:right w:val="single" w:sz="4" w:space="0" w:color="auto"/>
            </w:tcBorders>
            <w:shd w:val="clear" w:color="auto" w:fill="auto"/>
            <w:noWrap/>
            <w:vAlign w:val="bottom"/>
            <w:hideMark/>
          </w:tcPr>
          <w:p w14:paraId="0630D810" w14:textId="33AE0315"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 xml:space="preserve">ADDIN CSL_CITATION {"citationItems":[{"id":"ITEM-1","itemData":{"DOI":"10.1016/j.epsl.2006.08.011","ISSN":"0012821X","abstract":"High resolution time series data of hydrogen (δD) and oxygen (δ18O) isotope values of precipitation have been generated for the first time at Kolkata, eastern India where the summer monsoon clouds from Bay of Bengal (BOB) commence their journey over India. Use of a Rayleigh cum two component mixing model and comparison of Kolkata data with the International Atomic Energy Agency (IAEA)-Global Network of Isotopes in Precipitation (GNIP) data base of New Delhi suggest that the precipitation at New Delhi cannot be explained by simple continental effect of a BOB vapour source alone, traveling and raining successively along Kolkata-New Delhi route. It is necessary to invoke an admixture of </w:instrText>
            </w:r>
            <w:r w:rsidR="00D11AD8">
              <w:rPr>
                <w:rFonts w:ascii="Cambria Math" w:hAnsi="Cambria Math" w:cs="Cambria Math"/>
                <w:color w:val="000000"/>
                <w:sz w:val="22"/>
                <w:szCs w:val="22"/>
              </w:rPr>
              <w:instrText>∼</w:instrText>
            </w:r>
            <w:r w:rsidR="00D11AD8">
              <w:rPr>
                <w:color w:val="000000"/>
                <w:sz w:val="22"/>
                <w:szCs w:val="22"/>
              </w:rPr>
              <w:instrText xml:space="preserve"> 20% vapour originating from the Arabian sea with the vapour coming from BOB and finally causing summer monsoon rains at New Delhi. The findings have major implications to the regional water vapour budget over India. © 2006 Elsevier B.V. All rights reserved.","author":[{"dropping-particle":"","family":"Sengupta","given":"Saikat","non-dropping-particle":"","parse-names":false,"suffix":""},{"dropping-particle":"","family":"Sarkar","given":"A.","non-dropping-particle":"","parse-names":false,"suffix":""}],"container-title":"Earth and Planetary Science Letters","id":"ITEM-1","issue":"3-4","issued":{"date-parts":[["2006","10","30"]]},"page":"511-521","publisher":"Elsevier","title":"Stable isotope evidence of dual (Arabian Sea and Bay of Bengal) vapour sources in monsoonal precipitation over north India","type":"article-journal","volume":"250"},"uris":["http://www.mendeley.com/documents/?uuid=55cab1e7-e427-36c3-b9ab-c6daf9de9545"]}],"mendeley":{"formattedCitation":"(&lt;i&gt;31&lt;/i&gt;)","plainTextFormattedCitation":"(31)","previouslyFormattedCitation":"&lt;sup&gt;31&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31</w:t>
            </w:r>
            <w:r w:rsidR="00D11AD8" w:rsidRPr="00D11AD8">
              <w:rPr>
                <w:noProof/>
                <w:color w:val="000000"/>
                <w:sz w:val="22"/>
                <w:szCs w:val="22"/>
              </w:rPr>
              <w:t>)</w:t>
            </w:r>
            <w:r w:rsidRPr="00FB1ADB">
              <w:rPr>
                <w:color w:val="000000"/>
                <w:sz w:val="22"/>
                <w:szCs w:val="22"/>
              </w:rPr>
              <w:fldChar w:fldCharType="end"/>
            </w:r>
          </w:p>
        </w:tc>
      </w:tr>
      <w:tr w:rsidR="00545A71" w14:paraId="3AF45C5E"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tcPr>
          <w:p w14:paraId="3FEDC322" w14:textId="77777777" w:rsidR="00545A71" w:rsidRDefault="00545A71" w:rsidP="007A7372">
            <w:pPr>
              <w:jc w:val="center"/>
              <w:rPr>
                <w:color w:val="000000"/>
                <w:sz w:val="20"/>
                <w:szCs w:val="20"/>
              </w:rPr>
            </w:pPr>
            <w:r>
              <w:rPr>
                <w:color w:val="000000"/>
                <w:sz w:val="20"/>
                <w:szCs w:val="20"/>
              </w:rPr>
              <w:t>Sengupta et al</w:t>
            </w:r>
          </w:p>
        </w:tc>
        <w:tc>
          <w:tcPr>
            <w:tcW w:w="1669" w:type="dxa"/>
            <w:tcBorders>
              <w:top w:val="nil"/>
              <w:left w:val="nil"/>
              <w:bottom w:val="single" w:sz="4" w:space="0" w:color="auto"/>
              <w:right w:val="single" w:sz="4" w:space="0" w:color="auto"/>
            </w:tcBorders>
            <w:shd w:val="clear" w:color="auto" w:fill="auto"/>
            <w:noWrap/>
            <w:vAlign w:val="center"/>
          </w:tcPr>
          <w:p w14:paraId="1F63D375" w14:textId="77777777" w:rsidR="00545A71" w:rsidRDefault="00545A71" w:rsidP="007A7372">
            <w:pPr>
              <w:jc w:val="center"/>
              <w:rPr>
                <w:color w:val="000000"/>
                <w:sz w:val="20"/>
                <w:szCs w:val="20"/>
              </w:rPr>
            </w:pPr>
            <w:r>
              <w:rPr>
                <w:color w:val="000000"/>
                <w:sz w:val="20"/>
                <w:szCs w:val="20"/>
              </w:rPr>
              <w:t>2008</w:t>
            </w:r>
          </w:p>
        </w:tc>
        <w:tc>
          <w:tcPr>
            <w:tcW w:w="1451" w:type="dxa"/>
            <w:tcBorders>
              <w:top w:val="nil"/>
              <w:left w:val="nil"/>
              <w:bottom w:val="single" w:sz="4" w:space="0" w:color="auto"/>
              <w:right w:val="single" w:sz="4" w:space="0" w:color="auto"/>
            </w:tcBorders>
            <w:shd w:val="clear" w:color="auto" w:fill="auto"/>
            <w:noWrap/>
            <w:vAlign w:val="bottom"/>
          </w:tcPr>
          <w:p w14:paraId="53B3FCC1" w14:textId="2B62F9EC"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{"citationItems":[{"id":"ITEM-1","itemData":{"DOI":"10.1021/es702988m","ISSN":"0013936X","PMID":"18754363","abstract":"We report time-series data collected over two years for δ18O, δ2H, and Ca, Mg, K, and Cl, concentrations for 10 ponds in, and upflow of, an As-polluted region of southern West Bengal. We compare the compositions of As-polluted groundwaters from wells with the compositions of waters in ponds upflow, and within the range of influence, of the wells. Conservative tracers (δ18O, δ2H, K), and other tracers (Ca, Mg) that are likely conservative in the waters, show that pondwater and groundwater are distinct and do not overlap in composition. These data show that water from ponds cannot be identified in As-polluted groundwater, so putative DOC in pondwater cannot be mixing into the As-polluted groundwater we have sampled. Separate estimates of the degree of recharge from ponds to groundwater, using calculations based on temporal variations in salt content and isotopic composition in ponds, and salt-balance, show that insignificant amounts of As-polluted groundwater are derived via pond recharge. It follows that pondwater in the study area does not contribute significant mass to arsenic-polluted groundwater and so does not provide organic matter to aquifers in amounts sufficient to drive reduction of iron oxyhydroxides and hence arsenic pollution. © 2008 American Chemical Society.","author":[{"dropping-particle":"","family":"Sengupta","given":"S.","non-dropping-particle":"","parse-names":false,"suffix":""},{"dropping-particle":"","family":"Mcarthur","given":"J. M.","non-dropping-particle":"","parse-names":false,"suffix":""},{"dropping-particle":"","family":"Sarkar","given":"A.","non-dropping-particle":"","parse-names":false,"suffix":""},{"dropping-particle":"","family":"Leng","given":"M. J.","non-dropping-particle":"","parse-names":false,"suffix":""},{"dropping-particle":"","family":"Ravenscroft","given":"P.","non-dropping-particle":"","parse-names":false,"suffix":""},{"dropping-particle":"","family":"Howarth","given":"R. J.","non-dropping-particle":"","parse-names":false,"suffix":""},{"dropping-particle":"","family":"Banerjee","given":"D. M.","non-dropping-particle":"","parse-names":false,"suffix":""}],"container-title":"Environmental Science and Technology","id":"ITEM-1","issue":"14","issued":{"date-parts":[["2008","7","15"]]},"page":"5156-5164","publisher":" American Chemical Society","title":"Do ponds cause arsenic-pollution of groundwater in the Bengal Basin? An answer from West Bengal","type":"article-journal","volume":"42"},"uris":["http://www.mendeley.com/documents/?uuid=b4d85bdf-683a-3709-8195-f156fc7e744f"]}],"mendeley":{"formattedCitation":"(&lt;i&gt;32&lt;/i&gt;)","plainTextFormattedCitation":"(32)","previouslyFormattedCitation":"&lt;sup&gt;32&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32</w:t>
            </w:r>
            <w:r w:rsidR="00D11AD8" w:rsidRPr="00D11AD8">
              <w:rPr>
                <w:noProof/>
                <w:color w:val="000000"/>
                <w:sz w:val="22"/>
                <w:szCs w:val="22"/>
              </w:rPr>
              <w:t>)</w:t>
            </w:r>
            <w:r w:rsidRPr="00FB1ADB">
              <w:rPr>
                <w:color w:val="000000"/>
                <w:sz w:val="22"/>
                <w:szCs w:val="22"/>
              </w:rPr>
              <w:fldChar w:fldCharType="end"/>
            </w:r>
          </w:p>
        </w:tc>
      </w:tr>
      <w:tr w:rsidR="00545A71" w14:paraId="40995331"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4B885D56" w14:textId="77777777" w:rsidR="00545A71" w:rsidRDefault="00545A71" w:rsidP="007A7372">
            <w:pPr>
              <w:jc w:val="center"/>
              <w:rPr>
                <w:color w:val="000000"/>
                <w:sz w:val="20"/>
                <w:szCs w:val="20"/>
              </w:rPr>
            </w:pPr>
            <w:r>
              <w:rPr>
                <w:color w:val="000000"/>
                <w:sz w:val="20"/>
                <w:szCs w:val="20"/>
              </w:rPr>
              <w:t>Stahl et al</w:t>
            </w:r>
          </w:p>
        </w:tc>
        <w:tc>
          <w:tcPr>
            <w:tcW w:w="1669" w:type="dxa"/>
            <w:tcBorders>
              <w:top w:val="nil"/>
              <w:left w:val="nil"/>
              <w:bottom w:val="single" w:sz="4" w:space="0" w:color="auto"/>
              <w:right w:val="single" w:sz="4" w:space="0" w:color="auto"/>
            </w:tcBorders>
            <w:shd w:val="clear" w:color="auto" w:fill="auto"/>
            <w:noWrap/>
            <w:vAlign w:val="center"/>
            <w:hideMark/>
          </w:tcPr>
          <w:p w14:paraId="49718841" w14:textId="77777777" w:rsidR="00545A71" w:rsidRDefault="00545A71" w:rsidP="007A7372">
            <w:pPr>
              <w:jc w:val="center"/>
              <w:rPr>
                <w:color w:val="000000"/>
                <w:sz w:val="20"/>
                <w:szCs w:val="20"/>
              </w:rPr>
            </w:pPr>
            <w:r>
              <w:rPr>
                <w:color w:val="000000"/>
                <w:sz w:val="20"/>
                <w:szCs w:val="20"/>
              </w:rPr>
              <w:t>2014</w:t>
            </w:r>
          </w:p>
        </w:tc>
        <w:tc>
          <w:tcPr>
            <w:tcW w:w="1451" w:type="dxa"/>
            <w:tcBorders>
              <w:top w:val="nil"/>
              <w:left w:val="nil"/>
              <w:bottom w:val="single" w:sz="4" w:space="0" w:color="auto"/>
              <w:right w:val="single" w:sz="4" w:space="0" w:color="auto"/>
            </w:tcBorders>
            <w:shd w:val="clear" w:color="auto" w:fill="auto"/>
            <w:noWrap/>
            <w:vAlign w:val="bottom"/>
            <w:hideMark/>
          </w:tcPr>
          <w:p w14:paraId="2385018D" w14:textId="5F6A48B1" w:rsidR="00545A71" w:rsidRPr="00FB1ADB" w:rsidRDefault="00545A71" w:rsidP="007A7372">
            <w:pPr>
              <w:jc w:val="center"/>
              <w:rPr>
                <w:color w:val="000000"/>
                <w:sz w:val="22"/>
                <w:szCs w:val="22"/>
              </w:rPr>
            </w:pPr>
            <w:r>
              <w:rPr>
                <w:color w:val="000000"/>
                <w:sz w:val="22"/>
                <w:szCs w:val="22"/>
              </w:rPr>
              <w:fldChar w:fldCharType="begin" w:fldLock="1"/>
            </w:r>
            <w:r w:rsidR="00D11AD8">
              <w:rPr>
                <w:color w:val="000000"/>
                <w:sz w:val="22"/>
                <w:szCs w:val="22"/>
              </w:rPr>
              <w:instrText>ADDIN CSL_CITATION {"citationItems":[{"id":"ITEM-1","itemData":{"DOI":"10.1002/2014GL061626","ISSN":"19448007","abstract":"Groundwater recharge affects water budgets and groundwater quality on the deltas and floodplains of South and Southeast Asia. Rain and flooding rivers recharge groundwater during the monsoon; irrigated rice fields and surface water bodies recharge aquifers during the dry season. Groundwater throughout the region is severely contaminated by arsenic, and recent research suggests that quantifying and characterizing recharge is important to understand whether recharge flushes or mobilizes arsenic from aquifers. At a field site in Bangladesh, we found that burrows of terrestrial crabs short-circuit low-permeability surface sediments, providing the primary conduit for recharge. We combine field observations along with a model that couples isotope and water balances to quantify the effect of crab burrows on aquifer recharge. Given the wide distribution of burrowing crabs and the surficial geology, we suggest that crab burrows provide widespread conduits for groundwater recharge.","author":[{"dropping-particle":"","family":"Stahl","given":"Mason O.","non-dropping-particle":"","parse-names":false,"suffix":""},{"dropping-particle":"","family":"Tarek","given":"M. H.","non-dropping-particle":"","parse-names":false,"suffix":""},{"dropping-particle":"","family":"Yeo","given":"Darren C.J.","non-dropping-particle":"","parse-names":false,"suffix":""},{"dropping-particle":"","family":"Badruzzaman","given":"A. B.M.","non-dropping-particle":"","parse-names":false,"suffix":""},{"dropping-particle":"","family":"Harvey","given":"Charles F.","non-dropping-particle":"","parse-names":false,"suffix":""}],"container-title":"Geophysical Research Letters","id":"ITEM-1","issue":"23","issued":{"date-parts":[["2014","12","16"]]},"page":"8342-8347","publisher":"Blackwell Publishing Ltd","title":"Crab burrows as conduits for groundwater-surface water exchange in Bangladesh","type":"article-journal","volume":"41"},"uris":["http://www.mendeley.com/documents/?uuid=e39c67c3-d192-3f00-92b0-5d9a6672b3a5"]}],"mendeley":{"formattedCitation":"(&lt;i&gt;33&lt;/i&gt;)","plainTextFormattedCitation":"(33)","previouslyFormattedCitation":"&lt;sup&gt;33&lt;/sup&gt;"},"properties":{"noteIndex":0},"schema":"https://github.com/citation-style-language/schema/raw/master/csl-citation.json"}</w:instrText>
            </w:r>
            <w:r>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33</w:t>
            </w:r>
            <w:r w:rsidR="00D11AD8" w:rsidRPr="00D11AD8">
              <w:rPr>
                <w:noProof/>
                <w:color w:val="000000"/>
                <w:sz w:val="22"/>
                <w:szCs w:val="22"/>
              </w:rPr>
              <w:t>)</w:t>
            </w:r>
            <w:r>
              <w:rPr>
                <w:color w:val="000000"/>
                <w:sz w:val="22"/>
                <w:szCs w:val="22"/>
              </w:rPr>
              <w:fldChar w:fldCharType="end"/>
            </w:r>
          </w:p>
        </w:tc>
      </w:tr>
      <w:tr w:rsidR="00545A71" w14:paraId="6B1CF4C6" w14:textId="77777777" w:rsidTr="007A7372">
        <w:trPr>
          <w:trHeight w:val="320"/>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551957E4" w14:textId="77777777" w:rsidR="00545A71" w:rsidRDefault="00545A71" w:rsidP="007A7372">
            <w:pPr>
              <w:jc w:val="center"/>
              <w:rPr>
                <w:color w:val="000000"/>
                <w:sz w:val="20"/>
                <w:szCs w:val="20"/>
              </w:rPr>
            </w:pPr>
            <w:r>
              <w:rPr>
                <w:color w:val="000000"/>
                <w:sz w:val="20"/>
                <w:szCs w:val="20"/>
              </w:rPr>
              <w:t>Stuben et al</w:t>
            </w:r>
          </w:p>
        </w:tc>
        <w:tc>
          <w:tcPr>
            <w:tcW w:w="1669" w:type="dxa"/>
            <w:tcBorders>
              <w:top w:val="nil"/>
              <w:left w:val="nil"/>
              <w:bottom w:val="single" w:sz="4" w:space="0" w:color="auto"/>
              <w:right w:val="single" w:sz="4" w:space="0" w:color="auto"/>
            </w:tcBorders>
            <w:shd w:val="clear" w:color="auto" w:fill="auto"/>
            <w:noWrap/>
            <w:vAlign w:val="center"/>
            <w:hideMark/>
          </w:tcPr>
          <w:p w14:paraId="484D9E8B" w14:textId="77777777" w:rsidR="00545A71" w:rsidRDefault="00545A71" w:rsidP="007A7372">
            <w:pPr>
              <w:jc w:val="center"/>
              <w:rPr>
                <w:color w:val="000000"/>
                <w:sz w:val="20"/>
                <w:szCs w:val="20"/>
              </w:rPr>
            </w:pPr>
            <w:r>
              <w:rPr>
                <w:color w:val="000000"/>
                <w:sz w:val="20"/>
                <w:szCs w:val="20"/>
              </w:rPr>
              <w:t>2003</w:t>
            </w:r>
          </w:p>
        </w:tc>
        <w:tc>
          <w:tcPr>
            <w:tcW w:w="1451" w:type="dxa"/>
            <w:tcBorders>
              <w:top w:val="nil"/>
              <w:left w:val="nil"/>
              <w:bottom w:val="single" w:sz="4" w:space="0" w:color="auto"/>
              <w:right w:val="single" w:sz="4" w:space="0" w:color="auto"/>
            </w:tcBorders>
            <w:shd w:val="clear" w:color="auto" w:fill="auto"/>
            <w:noWrap/>
            <w:vAlign w:val="bottom"/>
            <w:hideMark/>
          </w:tcPr>
          <w:p w14:paraId="64C816BB" w14:textId="36F7C778" w:rsidR="00545A71" w:rsidRPr="00FB1ADB" w:rsidRDefault="00545A71" w:rsidP="007A7372">
            <w:pPr>
              <w:jc w:val="center"/>
              <w:rPr>
                <w:color w:val="000000"/>
                <w:sz w:val="22"/>
                <w:szCs w:val="22"/>
              </w:rPr>
            </w:pPr>
            <w:r>
              <w:rPr>
                <w:color w:val="000000"/>
                <w:sz w:val="22"/>
                <w:szCs w:val="22"/>
              </w:rPr>
              <w:fldChar w:fldCharType="begin" w:fldLock="1"/>
            </w:r>
            <w:r w:rsidR="00D11AD8">
              <w:rPr>
                <w:color w:val="000000"/>
                <w:sz w:val="22"/>
                <w:szCs w:val="22"/>
              </w:rPr>
              <w:instrText>ADDIN CSL_CITATION {"citationItems":[{"id":"ITEM-1","itemData":{"DOI":"10.1016/S0883-2927(03)00060-X","ISSN":"08832927","abstract":"The mechanism of As release and source(s) of As has been investigated in a small part of a watershed in the Murshidabad district of West Bengal. Analyses include major ion and trace element concentrations, as well as O, H and S isotope ratios of groundwater, surface water and a thermal spring. The results indicate that all water samples belong to the Ca-HCO3 type, except for the thermal spring which is of the Na-HCO3 type. Shallow and deeper groundwaters have distinct hydrochemical features. High As contents were registered only in the deeper groundwater horizon. Factor analysis and the distribution pattern of major and trace elements indicate that As is present in the aquifer as a scavenged phase by Fe(III) and to a lesser extent by Mn(IV) phases. The release of As into the groundwater occurs gradually in successive stages, corresponding to the actual redox state in the aquifer. The main stage of As release is related to the bacterial reduction of Fe(III) to Fe(II) (i.e. to the simultaneous dissolution of Fe oxyhydroxides). Low redox conditions in highly polluted areas are indicated by low SO4 concentration and high δ34S values. During bacterial SO4 reduction, residual SO4 in groundwater is depleted in the lighter S isotope (32S). However, the cause of the gradual decrease of the redox state in the groundwater is still not well understood. © 2003 Elsevier Science Ltd. All rights reserved.","author":[{"dropping-particle":"","family":"Stüben","given":"Doris","non-dropping-particle":"","parse-names":false,"suffix":""},{"dropping-particle":"","family":"Berner","given":"Zsolt","non-dropping-particle":"","parse-names":false,"suffix":""},{"dropping-particle":"","family":"Chandrasekharam","given":"D.","non-dropping-particle":"","parse-names":false,"suffix":""},{"dropping-particle":"","family":"Karmakar","given":"Julie","non-dropping-particle":"","parse-names":false,"suffix":""}],"container-title":"Applied Geochemistry","id":"ITEM-1","issue":"9","issued":{"date-parts":[["2003","9","1"]]},"page":"1417-1434","publisher":"Elsevier Ltd","title":"Arsenic enrichment in groundwater of West Bengal, India: Geochemical evidence for mobilization of As under reducing conditions","type":"paper-conference","volume":"18"},"uris":["http://www.mendeley.com/documents/?uuid=e49c1503-c196-3002-8e77-c26002aed934"]}],"mendeley":{"formattedCitation":"(&lt;i&gt;34&lt;/i&gt;)","plainTextFormattedCitation":"(34)","previouslyFormattedCitation":"&lt;sup&gt;34&lt;/sup&gt;"},"properties":{"noteIndex":0},"schema":"https://github.com/citation-style-language/schema/raw/master/csl-citation.json"}</w:instrText>
            </w:r>
            <w:r>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34</w:t>
            </w:r>
            <w:r w:rsidR="00D11AD8" w:rsidRPr="00D11AD8">
              <w:rPr>
                <w:noProof/>
                <w:color w:val="000000"/>
                <w:sz w:val="22"/>
                <w:szCs w:val="22"/>
              </w:rPr>
              <w:t>)</w:t>
            </w:r>
            <w:r>
              <w:rPr>
                <w:color w:val="000000"/>
                <w:sz w:val="22"/>
                <w:szCs w:val="22"/>
              </w:rPr>
              <w:fldChar w:fldCharType="end"/>
            </w:r>
          </w:p>
        </w:tc>
      </w:tr>
      <w:tr w:rsidR="00545A71" w14:paraId="3D08B785" w14:textId="77777777" w:rsidTr="007A7372">
        <w:trPr>
          <w:trHeight w:val="67"/>
          <w:jc w:val="center"/>
        </w:trPr>
        <w:tc>
          <w:tcPr>
            <w:tcW w:w="4200" w:type="dxa"/>
            <w:tcBorders>
              <w:top w:val="nil"/>
              <w:left w:val="single" w:sz="4" w:space="0" w:color="auto"/>
              <w:bottom w:val="single" w:sz="4" w:space="0" w:color="auto"/>
              <w:right w:val="single" w:sz="4" w:space="0" w:color="auto"/>
            </w:tcBorders>
            <w:shd w:val="clear" w:color="auto" w:fill="auto"/>
            <w:noWrap/>
            <w:vAlign w:val="center"/>
            <w:hideMark/>
          </w:tcPr>
          <w:p w14:paraId="50E73EE6" w14:textId="77777777" w:rsidR="00545A71" w:rsidRDefault="00545A71" w:rsidP="007A7372">
            <w:pPr>
              <w:jc w:val="center"/>
              <w:rPr>
                <w:color w:val="000000"/>
                <w:sz w:val="20"/>
                <w:szCs w:val="20"/>
              </w:rPr>
            </w:pPr>
            <w:r>
              <w:rPr>
                <w:color w:val="000000"/>
                <w:sz w:val="20"/>
                <w:szCs w:val="20"/>
              </w:rPr>
              <w:t>Stute et al</w:t>
            </w:r>
          </w:p>
        </w:tc>
        <w:tc>
          <w:tcPr>
            <w:tcW w:w="1669" w:type="dxa"/>
            <w:tcBorders>
              <w:top w:val="nil"/>
              <w:left w:val="nil"/>
              <w:bottom w:val="single" w:sz="4" w:space="0" w:color="auto"/>
              <w:right w:val="single" w:sz="4" w:space="0" w:color="auto"/>
            </w:tcBorders>
            <w:shd w:val="clear" w:color="auto" w:fill="auto"/>
            <w:noWrap/>
            <w:vAlign w:val="center"/>
            <w:hideMark/>
          </w:tcPr>
          <w:p w14:paraId="5264D7D8" w14:textId="77777777" w:rsidR="00545A71" w:rsidRDefault="00545A71" w:rsidP="007A7372">
            <w:pPr>
              <w:jc w:val="center"/>
              <w:rPr>
                <w:color w:val="000000"/>
                <w:sz w:val="20"/>
                <w:szCs w:val="20"/>
              </w:rPr>
            </w:pPr>
            <w:r>
              <w:rPr>
                <w:color w:val="000000"/>
                <w:sz w:val="20"/>
                <w:szCs w:val="20"/>
              </w:rPr>
              <w:t>2007</w:t>
            </w:r>
          </w:p>
        </w:tc>
        <w:tc>
          <w:tcPr>
            <w:tcW w:w="1451" w:type="dxa"/>
            <w:tcBorders>
              <w:top w:val="nil"/>
              <w:left w:val="nil"/>
              <w:bottom w:val="single" w:sz="4" w:space="0" w:color="auto"/>
              <w:right w:val="single" w:sz="4" w:space="0" w:color="auto"/>
            </w:tcBorders>
            <w:shd w:val="clear" w:color="auto" w:fill="auto"/>
            <w:noWrap/>
            <w:vAlign w:val="bottom"/>
            <w:hideMark/>
          </w:tcPr>
          <w:p w14:paraId="01B94E97" w14:textId="4F9517B3" w:rsidR="00545A71" w:rsidRPr="00FB1ADB" w:rsidRDefault="00545A71" w:rsidP="007A7372">
            <w:pPr>
              <w:jc w:val="center"/>
              <w:rPr>
                <w:color w:val="000000"/>
                <w:sz w:val="22"/>
                <w:szCs w:val="22"/>
              </w:rPr>
            </w:pPr>
            <w:r w:rsidRPr="00FB1ADB">
              <w:rPr>
                <w:color w:val="000000"/>
                <w:sz w:val="22"/>
                <w:szCs w:val="22"/>
              </w:rPr>
              <w:fldChar w:fldCharType="begin" w:fldLock="1"/>
            </w:r>
            <w:r w:rsidR="00D11AD8">
              <w:rPr>
                <w:color w:val="000000"/>
                <w:sz w:val="22"/>
                <w:szCs w:val="22"/>
              </w:rPr>
              <w:instrText>ADDIN CSL_CITATION {"citationItems":[{"id":"ITEM-1","itemData":{"DOI":"10.1029/2005WR004499","ISSN":"00431397","abstract":"The elevated arsenic (As) content of groundwater from wells across Bangladesh and several other South Asian countries is estimated to slowly poison at least 100 million people. The heterogeneous distribution of dissolved arsenic in the subsurface complicates understanding of its release from the sediment matrix into the groundwater, as well as the design of mitigation strategies. Using the tritium-helium (3H/3He) groundwater dating technique, we show that there is a linear correlation between groundwater age at depths &lt;20 m and dissolved As concentration, with an average slope of 19 μg L-1 yr-1 (monitoring wells only). We propose that either the kinetics of As mobilization or the removal of As by groundwater flushing is the mechanism underlying this relationship. In either case, the spatial variability of As concentrations in the top 20 m of the shallow aquifers can to a large extent be attributed to groundwater age controlled by the hydrogeological heterogeneity in the local groundwater flow system. Copyright 2007 by the American Geophysical Union.","author":[{"dropping-particle":"","family":"Stute","given":"M.","non-dropping-particle":"","parse-names":false,"suffix":""},{"dropping-particle":"","family":"Zheng","given":"Y.","non-dropping-particle":"","parse-names":false,"suffix":""},{"dropping-particle":"","family":"Schlosser","given":"P.","non-dropping-particle":"","parse-names":false,"suffix":""},{"dropping-particle":"","family":"Horneman","given":"A.","non-dropping-particle":"","parse-names":false,"suffix":""},{"dropping-particle":"","family":"Dhar","given":"R. K.","non-dropping-particle":"","parse-names":false,"suffix":""},{"dropping-particle":"","family":"Datta","given":"S.","non-dropping-particle":"","parse-names":false,"suffix":""},{"dropping-particle":"","family":"Hoque","given":"M. A.","non-dropping-particle":"","parse-names":false,"suffix":""},{"dropping-particle":"","family":"Seddique","given":"A. A.","non-dropping-particle":"","parse-names":false,"suffix":""},{"dropping-particle":"","family":"Shamsudduha","given":"M.","non-dropping-particle":"","parse-names":false,"suffix":""},{"dropping-particle":"","family":"Ahmed","given":"K. M.","non-dropping-particle":"","parse-names":false,"suffix":""},{"dropping-particle":"","family":"Geen","given":"A.","non-dropping-particle":"van","parse-names":false,"suffix":""}],"container-title":"Water Resources Research","id":"ITEM-1","issue":"9","issued":{"date-parts":[["2007","9","1"]]},"publisher":"John Wiley &amp; Sons, Ltd","title":"Hydrological control of As concentrations in Bangladesh groundwater","type":"article-journal","volume":"43"},"uris":["http://www.mendeley.com/documents/?uuid=724ab3a6-35a5-3776-addf-9868d52d41fd"]}],"mendeley":{"formattedCitation":"(&lt;i&gt;35&lt;/i&gt;)","plainTextFormattedCitation":"(35)","previouslyFormattedCitation":"&lt;sup&gt;35&lt;/sup&gt;"},"properties":{"noteIndex":0},"schema":"https://github.com/citation-style-language/schema/raw/master/csl-citation.json"}</w:instrText>
            </w:r>
            <w:r w:rsidRPr="00FB1ADB">
              <w:rPr>
                <w:color w:val="000000"/>
                <w:sz w:val="22"/>
                <w:szCs w:val="22"/>
              </w:rPr>
              <w:fldChar w:fldCharType="separate"/>
            </w:r>
            <w:r w:rsidR="00D11AD8" w:rsidRPr="00D11AD8">
              <w:rPr>
                <w:noProof/>
                <w:color w:val="000000"/>
                <w:sz w:val="22"/>
                <w:szCs w:val="22"/>
              </w:rPr>
              <w:t>(</w:t>
            </w:r>
            <w:r w:rsidR="00D11AD8" w:rsidRPr="00D11AD8">
              <w:rPr>
                <w:i/>
                <w:noProof/>
                <w:color w:val="000000"/>
                <w:sz w:val="22"/>
                <w:szCs w:val="22"/>
              </w:rPr>
              <w:t>35</w:t>
            </w:r>
            <w:r w:rsidR="00D11AD8" w:rsidRPr="00D11AD8">
              <w:rPr>
                <w:noProof/>
                <w:color w:val="000000"/>
                <w:sz w:val="22"/>
                <w:szCs w:val="22"/>
              </w:rPr>
              <w:t>)</w:t>
            </w:r>
            <w:r w:rsidRPr="00FB1ADB">
              <w:rPr>
                <w:color w:val="000000"/>
                <w:sz w:val="22"/>
                <w:szCs w:val="22"/>
              </w:rPr>
              <w:fldChar w:fldCharType="end"/>
            </w:r>
          </w:p>
        </w:tc>
      </w:tr>
    </w:tbl>
    <w:p w14:paraId="127539CB" w14:textId="77777777" w:rsidR="00545A71" w:rsidRDefault="00545A71" w:rsidP="00545A71">
      <w:pPr>
        <w:spacing w:after="160"/>
        <w:ind w:firstLine="720"/>
        <w:jc w:val="center"/>
      </w:pPr>
    </w:p>
    <w:p w14:paraId="3636EE5F" w14:textId="77777777" w:rsidR="00545A71" w:rsidRDefault="00545A71" w:rsidP="00545A71">
      <w:pPr>
        <w:spacing w:after="160"/>
        <w:ind w:firstLine="720"/>
      </w:pPr>
    </w:p>
    <w:p w14:paraId="7463933E" w14:textId="77777777" w:rsidR="00545A71" w:rsidRDefault="00545A71" w:rsidP="00545A71">
      <w:pPr>
        <w:spacing w:after="160"/>
        <w:ind w:firstLine="720"/>
      </w:pPr>
      <w:r>
        <w:lastRenderedPageBreak/>
        <w:t>Table S2: Data source, year of sample collection, detection limit and precision of tritium measurements across the Bengal Basin. N: number of measurements. NR: Not reported. TU: Tritium Units.</w:t>
      </w:r>
    </w:p>
    <w:tbl>
      <w:tblPr>
        <w:tblW w:w="10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1645"/>
        <w:gridCol w:w="1680"/>
        <w:gridCol w:w="540"/>
        <w:gridCol w:w="1800"/>
        <w:gridCol w:w="2278"/>
        <w:gridCol w:w="1057"/>
      </w:tblGrid>
      <w:tr w:rsidR="00545A71" w14:paraId="0B3475F2" w14:textId="77777777" w:rsidTr="007A7372">
        <w:trPr>
          <w:trHeight w:val="320"/>
          <w:jc w:val="center"/>
        </w:trPr>
        <w:tc>
          <w:tcPr>
            <w:tcW w:w="1530" w:type="dxa"/>
            <w:shd w:val="clear" w:color="auto" w:fill="auto"/>
            <w:noWrap/>
            <w:vAlign w:val="center"/>
            <w:hideMark/>
          </w:tcPr>
          <w:p w14:paraId="2B149E79" w14:textId="77777777" w:rsidR="00545A71" w:rsidRDefault="00545A71" w:rsidP="007A7372">
            <w:pPr>
              <w:jc w:val="center"/>
              <w:rPr>
                <w:rFonts w:ascii="Calibri" w:hAnsi="Calibri" w:cs="Calibri"/>
                <w:b/>
                <w:bCs/>
                <w:color w:val="000000"/>
                <w:sz w:val="20"/>
                <w:szCs w:val="20"/>
              </w:rPr>
            </w:pPr>
            <w:r>
              <w:rPr>
                <w:rFonts w:ascii="Calibri" w:hAnsi="Calibri" w:cs="Calibri"/>
                <w:b/>
                <w:bCs/>
                <w:color w:val="000000"/>
                <w:sz w:val="20"/>
                <w:szCs w:val="20"/>
              </w:rPr>
              <w:t>Authors</w:t>
            </w:r>
          </w:p>
        </w:tc>
        <w:tc>
          <w:tcPr>
            <w:tcW w:w="1645" w:type="dxa"/>
            <w:shd w:val="clear" w:color="auto" w:fill="auto"/>
            <w:noWrap/>
            <w:vAlign w:val="center"/>
            <w:hideMark/>
          </w:tcPr>
          <w:p w14:paraId="51103FA1" w14:textId="77777777" w:rsidR="00545A71" w:rsidRDefault="00545A71" w:rsidP="007A7372">
            <w:pPr>
              <w:jc w:val="center"/>
              <w:rPr>
                <w:rFonts w:ascii="Calibri" w:hAnsi="Calibri" w:cs="Calibri"/>
                <w:b/>
                <w:bCs/>
                <w:color w:val="000000"/>
                <w:sz w:val="20"/>
                <w:szCs w:val="20"/>
              </w:rPr>
            </w:pPr>
            <w:r>
              <w:rPr>
                <w:rFonts w:ascii="Calibri" w:hAnsi="Calibri" w:cs="Calibri"/>
                <w:b/>
                <w:bCs/>
                <w:color w:val="000000"/>
                <w:sz w:val="20"/>
                <w:szCs w:val="20"/>
              </w:rPr>
              <w:t>Year of publication</w:t>
            </w:r>
          </w:p>
        </w:tc>
        <w:tc>
          <w:tcPr>
            <w:tcW w:w="1680" w:type="dxa"/>
            <w:shd w:val="clear" w:color="auto" w:fill="auto"/>
            <w:noWrap/>
            <w:vAlign w:val="center"/>
            <w:hideMark/>
          </w:tcPr>
          <w:p w14:paraId="7765DBC0" w14:textId="77777777" w:rsidR="00545A71" w:rsidRDefault="00545A71" w:rsidP="007A7372">
            <w:pPr>
              <w:jc w:val="center"/>
              <w:rPr>
                <w:rFonts w:ascii="Calibri" w:hAnsi="Calibri" w:cs="Calibri"/>
                <w:b/>
                <w:bCs/>
                <w:color w:val="000000"/>
                <w:sz w:val="20"/>
                <w:szCs w:val="20"/>
              </w:rPr>
            </w:pPr>
            <w:r>
              <w:rPr>
                <w:rFonts w:ascii="Calibri" w:hAnsi="Calibri" w:cs="Calibri"/>
                <w:b/>
                <w:bCs/>
                <w:color w:val="000000"/>
                <w:sz w:val="20"/>
                <w:szCs w:val="20"/>
              </w:rPr>
              <w:t>Year of collection</w:t>
            </w:r>
          </w:p>
        </w:tc>
        <w:tc>
          <w:tcPr>
            <w:tcW w:w="540" w:type="dxa"/>
            <w:vAlign w:val="center"/>
          </w:tcPr>
          <w:p w14:paraId="19AC53E8" w14:textId="77777777" w:rsidR="00545A71" w:rsidRDefault="00545A71" w:rsidP="007A7372">
            <w:pPr>
              <w:jc w:val="center"/>
              <w:rPr>
                <w:rFonts w:ascii="Calibri" w:hAnsi="Calibri" w:cs="Calibri"/>
                <w:b/>
                <w:bCs/>
                <w:color w:val="000000"/>
                <w:sz w:val="20"/>
                <w:szCs w:val="20"/>
              </w:rPr>
            </w:pPr>
            <w:r>
              <w:rPr>
                <w:rFonts w:ascii="Calibri" w:hAnsi="Calibri" w:cs="Calibri"/>
                <w:b/>
                <w:bCs/>
                <w:color w:val="000000"/>
                <w:sz w:val="20"/>
                <w:szCs w:val="20"/>
              </w:rPr>
              <w:t>N</w:t>
            </w:r>
          </w:p>
        </w:tc>
        <w:tc>
          <w:tcPr>
            <w:tcW w:w="1800" w:type="dxa"/>
            <w:shd w:val="clear" w:color="auto" w:fill="auto"/>
            <w:noWrap/>
            <w:vAlign w:val="center"/>
            <w:hideMark/>
          </w:tcPr>
          <w:p w14:paraId="031BA834" w14:textId="77777777" w:rsidR="00545A71" w:rsidRDefault="00545A71" w:rsidP="007A7372">
            <w:pPr>
              <w:jc w:val="center"/>
              <w:rPr>
                <w:rFonts w:ascii="Calibri" w:hAnsi="Calibri" w:cs="Calibri"/>
                <w:b/>
                <w:bCs/>
                <w:color w:val="000000"/>
                <w:sz w:val="20"/>
                <w:szCs w:val="20"/>
              </w:rPr>
            </w:pPr>
            <w:r>
              <w:rPr>
                <w:rFonts w:ascii="Calibri" w:hAnsi="Calibri" w:cs="Calibri"/>
                <w:b/>
                <w:bCs/>
                <w:color w:val="000000"/>
                <w:sz w:val="20"/>
                <w:szCs w:val="20"/>
              </w:rPr>
              <w:t>Detection limit</w:t>
            </w:r>
          </w:p>
        </w:tc>
        <w:tc>
          <w:tcPr>
            <w:tcW w:w="2278" w:type="dxa"/>
            <w:shd w:val="clear" w:color="auto" w:fill="auto"/>
            <w:noWrap/>
            <w:vAlign w:val="center"/>
            <w:hideMark/>
          </w:tcPr>
          <w:p w14:paraId="571079DA" w14:textId="77777777" w:rsidR="00545A71" w:rsidRDefault="00545A71" w:rsidP="007A7372">
            <w:pPr>
              <w:jc w:val="center"/>
              <w:rPr>
                <w:rFonts w:ascii="Calibri" w:hAnsi="Calibri" w:cs="Calibri"/>
                <w:b/>
                <w:bCs/>
                <w:color w:val="000000"/>
                <w:sz w:val="20"/>
                <w:szCs w:val="20"/>
              </w:rPr>
            </w:pPr>
            <w:r>
              <w:rPr>
                <w:rFonts w:ascii="Calibri" w:hAnsi="Calibri" w:cs="Calibri"/>
                <w:b/>
                <w:bCs/>
                <w:color w:val="000000"/>
                <w:sz w:val="20"/>
                <w:szCs w:val="20"/>
              </w:rPr>
              <w:t>Precision</w:t>
            </w:r>
          </w:p>
        </w:tc>
        <w:tc>
          <w:tcPr>
            <w:tcW w:w="1057" w:type="dxa"/>
            <w:shd w:val="clear" w:color="auto" w:fill="auto"/>
            <w:noWrap/>
            <w:vAlign w:val="center"/>
            <w:hideMark/>
          </w:tcPr>
          <w:p w14:paraId="2E1F8B6C" w14:textId="77777777" w:rsidR="00545A71" w:rsidRDefault="00545A71" w:rsidP="007A7372">
            <w:pPr>
              <w:rPr>
                <w:rFonts w:ascii="Calibri" w:hAnsi="Calibri" w:cs="Calibri"/>
                <w:b/>
                <w:bCs/>
                <w:color w:val="000000"/>
                <w:sz w:val="20"/>
                <w:szCs w:val="20"/>
              </w:rPr>
            </w:pPr>
            <w:r>
              <w:rPr>
                <w:rFonts w:ascii="Calibri" w:hAnsi="Calibri" w:cs="Calibri"/>
                <w:b/>
                <w:bCs/>
                <w:color w:val="000000"/>
                <w:sz w:val="20"/>
                <w:szCs w:val="20"/>
              </w:rPr>
              <w:t>Reference</w:t>
            </w:r>
          </w:p>
        </w:tc>
      </w:tr>
      <w:tr w:rsidR="00545A71" w14:paraId="175AD219" w14:textId="77777777" w:rsidTr="007A7372">
        <w:trPr>
          <w:trHeight w:val="320"/>
          <w:jc w:val="center"/>
        </w:trPr>
        <w:tc>
          <w:tcPr>
            <w:tcW w:w="1530" w:type="dxa"/>
            <w:shd w:val="clear" w:color="auto" w:fill="auto"/>
            <w:noWrap/>
            <w:vAlign w:val="center"/>
            <w:hideMark/>
          </w:tcPr>
          <w:p w14:paraId="769D71DE" w14:textId="77777777" w:rsidR="00545A71" w:rsidRPr="00686AC3" w:rsidRDefault="00545A71" w:rsidP="007A7372">
            <w:pPr>
              <w:jc w:val="center"/>
              <w:rPr>
                <w:color w:val="000000"/>
                <w:sz w:val="16"/>
                <w:szCs w:val="16"/>
              </w:rPr>
            </w:pPr>
            <w:r w:rsidRPr="00686AC3">
              <w:rPr>
                <w:color w:val="000000"/>
                <w:sz w:val="16"/>
                <w:szCs w:val="16"/>
              </w:rPr>
              <w:t xml:space="preserve">Dowling et al </w:t>
            </w:r>
          </w:p>
        </w:tc>
        <w:tc>
          <w:tcPr>
            <w:tcW w:w="1645" w:type="dxa"/>
            <w:shd w:val="clear" w:color="auto" w:fill="auto"/>
            <w:noWrap/>
            <w:vAlign w:val="center"/>
            <w:hideMark/>
          </w:tcPr>
          <w:p w14:paraId="11265141" w14:textId="77777777" w:rsidR="00545A71" w:rsidRPr="00686AC3" w:rsidRDefault="00545A71" w:rsidP="007A7372">
            <w:pPr>
              <w:jc w:val="center"/>
              <w:rPr>
                <w:color w:val="000000"/>
                <w:sz w:val="16"/>
                <w:szCs w:val="16"/>
              </w:rPr>
            </w:pPr>
            <w:r w:rsidRPr="00686AC3">
              <w:rPr>
                <w:color w:val="000000"/>
                <w:sz w:val="16"/>
                <w:szCs w:val="16"/>
              </w:rPr>
              <w:t>2002</w:t>
            </w:r>
          </w:p>
        </w:tc>
        <w:tc>
          <w:tcPr>
            <w:tcW w:w="1680" w:type="dxa"/>
            <w:shd w:val="clear" w:color="auto" w:fill="auto"/>
            <w:noWrap/>
            <w:vAlign w:val="center"/>
            <w:hideMark/>
          </w:tcPr>
          <w:p w14:paraId="0607EAFB" w14:textId="77777777" w:rsidR="00545A71" w:rsidRPr="00686AC3" w:rsidRDefault="00545A71" w:rsidP="007A7372">
            <w:pPr>
              <w:jc w:val="center"/>
              <w:rPr>
                <w:color w:val="000000"/>
                <w:sz w:val="16"/>
                <w:szCs w:val="16"/>
              </w:rPr>
            </w:pPr>
            <w:r w:rsidRPr="00686AC3">
              <w:rPr>
                <w:color w:val="000000"/>
                <w:sz w:val="16"/>
                <w:szCs w:val="16"/>
              </w:rPr>
              <w:t>1999-2000</w:t>
            </w:r>
          </w:p>
        </w:tc>
        <w:tc>
          <w:tcPr>
            <w:tcW w:w="540" w:type="dxa"/>
          </w:tcPr>
          <w:p w14:paraId="78CE53C8" w14:textId="77777777" w:rsidR="00545A71" w:rsidRPr="00686AC3" w:rsidRDefault="00545A71" w:rsidP="007A7372">
            <w:pPr>
              <w:jc w:val="center"/>
              <w:rPr>
                <w:color w:val="000000"/>
                <w:sz w:val="16"/>
                <w:szCs w:val="16"/>
              </w:rPr>
            </w:pPr>
            <w:r w:rsidRPr="00686AC3">
              <w:rPr>
                <w:color w:val="000000"/>
                <w:sz w:val="16"/>
                <w:szCs w:val="16"/>
              </w:rPr>
              <w:t>41</w:t>
            </w:r>
          </w:p>
        </w:tc>
        <w:tc>
          <w:tcPr>
            <w:tcW w:w="1800" w:type="dxa"/>
            <w:shd w:val="clear" w:color="auto" w:fill="auto"/>
            <w:noWrap/>
            <w:vAlign w:val="center"/>
            <w:hideMark/>
          </w:tcPr>
          <w:p w14:paraId="1E710D21" w14:textId="77777777" w:rsidR="00545A71" w:rsidRPr="00686AC3" w:rsidRDefault="00545A71" w:rsidP="007A7372">
            <w:pPr>
              <w:jc w:val="center"/>
              <w:rPr>
                <w:color w:val="000000"/>
                <w:sz w:val="16"/>
                <w:szCs w:val="16"/>
              </w:rPr>
            </w:pPr>
            <w:r w:rsidRPr="00686AC3">
              <w:rPr>
                <w:color w:val="000000"/>
                <w:sz w:val="16"/>
                <w:szCs w:val="16"/>
              </w:rPr>
              <w:t>NR</w:t>
            </w:r>
          </w:p>
        </w:tc>
        <w:tc>
          <w:tcPr>
            <w:tcW w:w="2278" w:type="dxa"/>
            <w:shd w:val="clear" w:color="auto" w:fill="auto"/>
            <w:noWrap/>
            <w:vAlign w:val="center"/>
            <w:hideMark/>
          </w:tcPr>
          <w:p w14:paraId="72116CFF" w14:textId="77777777" w:rsidR="00545A71" w:rsidRPr="00686AC3" w:rsidRDefault="00545A71" w:rsidP="007A7372">
            <w:pPr>
              <w:jc w:val="center"/>
              <w:rPr>
                <w:color w:val="1C1D1E"/>
                <w:sz w:val="16"/>
                <w:szCs w:val="16"/>
              </w:rPr>
            </w:pPr>
            <w:r w:rsidRPr="00686AC3">
              <w:rPr>
                <w:color w:val="1C1D1E"/>
                <w:sz w:val="16"/>
                <w:szCs w:val="16"/>
              </w:rPr>
              <w:t>±0.1 TU or ±5% at 5 TU</w:t>
            </w:r>
          </w:p>
        </w:tc>
        <w:tc>
          <w:tcPr>
            <w:tcW w:w="1057" w:type="dxa"/>
            <w:shd w:val="clear" w:color="auto" w:fill="auto"/>
            <w:noWrap/>
            <w:vAlign w:val="center"/>
            <w:hideMark/>
          </w:tcPr>
          <w:p w14:paraId="218F73D1" w14:textId="73AD7E28" w:rsidR="00545A71" w:rsidRPr="00686AC3" w:rsidRDefault="00545A71" w:rsidP="007A7372">
            <w:pPr>
              <w:jc w:val="center"/>
              <w:rPr>
                <w:color w:val="1C1D1E"/>
                <w:sz w:val="16"/>
                <w:szCs w:val="16"/>
              </w:rPr>
            </w:pPr>
            <w:r w:rsidRPr="00686AC3">
              <w:rPr>
                <w:color w:val="1C1D1E"/>
                <w:sz w:val="16"/>
                <w:szCs w:val="16"/>
              </w:rPr>
              <w:fldChar w:fldCharType="begin" w:fldLock="1"/>
            </w:r>
            <w:r w:rsidR="00D11AD8">
              <w:rPr>
                <w:color w:val="1C1D1E"/>
                <w:sz w:val="16"/>
                <w:szCs w:val="16"/>
              </w:rPr>
              <w:instrText>ADDIN CSL_CITATION {"citationItems":[{"id":"ITEM-1","itemData":{"DOI":"10.1029/2001wr000968","ISSN":"00431397","abstract":"[1] To investigate arsenic mobility in the Bengal Basin groundwater, we sampled water wells and sediments throughout the region. There are strong correlations among high levels of dissolved arsenic and iron, ammonia, and methane, especially in samples from a single site (Laxmipur). No linkage is seen between As and agricultural tracers such as phosphate. The association of As and Fe occurs because arsenic strongly adsorbs onto FeOOH particles in river water. They flocculate with other fine-grained particles at the freshwater/saltwater transition zone. Subsequent bacterially mediated reduction of FeOOH in the clay releases the adsorbed arsenic. Weathering of As-bearing mica plays a significant role in the As budget. The \"correlated\" presence of As, CH4, and NH4 in water supply wells is the result of diffusion out of organic-rich clay into the more permeable zones. Arsenic is mainly released from recent sediments at &lt;50 m depth deposited in the GBR floodplain as sea level rose throughout the Holocene.","author":[{"dropping-particle":"","family":"Dowling","given":"Carolyn B.","non-dropping-particle":"","parse-names":false,"suffix":""},{"dropping-particle":"","family":"Poreda","given":"Robert J.","non-dropping-particle":"","parse-names":false,"suffix":""},{"dropping-particle":"","family":"Basu","given":"Asish R.","non-dropping-particle":"","parse-names":false,"suffix":""},{"dropping-particle":"","family":"Peters","given":"Scott L.","non-dropping-particle":"","parse-names":false,"suffix":""},{"dropping-particle":"","family":"Aggarwal","given":"Pradeep K.","non-dropping-particle":"","parse-names":false,"suffix":""}],"container-title":"Water Resources Research","id":"ITEM-1","issue":"9","issued":{"date-parts":[["2002","9","1"]]},"page":"12-1-12-18","publisher":"American Geophysical Union","title":"Geochemical study of arsenic release mechanisms in the Bengal Basin groundwater","type":"article-journal","volume":"38"},"uris":["http://www.mendeley.com/documents/?uuid=5ca66359-63f7-3708-9d0f-c8ab9c38a49f"]}],"mendeley":{"formattedCitation":"(&lt;i&gt;36&lt;/i&gt;)","plainTextFormattedCitation":"(36)","previouslyFormattedCitation":"&lt;sup&gt;36&lt;/sup&gt;"},"properties":{"noteIndex":0},"schema":"https://github.com/citation-style-language/schema/raw/master/csl-citation.json"}</w:instrText>
            </w:r>
            <w:r w:rsidRPr="00686AC3">
              <w:rPr>
                <w:color w:val="1C1D1E"/>
                <w:sz w:val="16"/>
                <w:szCs w:val="16"/>
              </w:rPr>
              <w:fldChar w:fldCharType="separate"/>
            </w:r>
            <w:r w:rsidR="00D11AD8" w:rsidRPr="00D11AD8">
              <w:rPr>
                <w:noProof/>
                <w:color w:val="1C1D1E"/>
                <w:sz w:val="16"/>
                <w:szCs w:val="16"/>
              </w:rPr>
              <w:t>(</w:t>
            </w:r>
            <w:r w:rsidR="00D11AD8" w:rsidRPr="00D11AD8">
              <w:rPr>
                <w:i/>
                <w:noProof/>
                <w:color w:val="1C1D1E"/>
                <w:sz w:val="16"/>
                <w:szCs w:val="16"/>
              </w:rPr>
              <w:t>36</w:t>
            </w:r>
            <w:r w:rsidR="00D11AD8" w:rsidRPr="00D11AD8">
              <w:rPr>
                <w:noProof/>
                <w:color w:val="1C1D1E"/>
                <w:sz w:val="16"/>
                <w:szCs w:val="16"/>
              </w:rPr>
              <w:t>)</w:t>
            </w:r>
            <w:r w:rsidRPr="00686AC3">
              <w:rPr>
                <w:color w:val="1C1D1E"/>
                <w:sz w:val="16"/>
                <w:szCs w:val="16"/>
              </w:rPr>
              <w:fldChar w:fldCharType="end"/>
            </w:r>
          </w:p>
        </w:tc>
      </w:tr>
      <w:tr w:rsidR="00545A71" w14:paraId="3D706E45" w14:textId="77777777" w:rsidTr="007A7372">
        <w:trPr>
          <w:trHeight w:val="320"/>
          <w:jc w:val="center"/>
        </w:trPr>
        <w:tc>
          <w:tcPr>
            <w:tcW w:w="1530" w:type="dxa"/>
            <w:shd w:val="clear" w:color="auto" w:fill="auto"/>
            <w:noWrap/>
            <w:vAlign w:val="center"/>
            <w:hideMark/>
          </w:tcPr>
          <w:p w14:paraId="123AD344" w14:textId="77777777" w:rsidR="00545A71" w:rsidRPr="00686AC3" w:rsidRDefault="00545A71" w:rsidP="007A7372">
            <w:pPr>
              <w:jc w:val="center"/>
              <w:rPr>
                <w:color w:val="000000"/>
                <w:sz w:val="16"/>
                <w:szCs w:val="16"/>
              </w:rPr>
            </w:pPr>
            <w:r w:rsidRPr="00686AC3">
              <w:rPr>
                <w:color w:val="000000"/>
                <w:sz w:val="16"/>
                <w:szCs w:val="16"/>
              </w:rPr>
              <w:t xml:space="preserve">Klump et al </w:t>
            </w:r>
          </w:p>
        </w:tc>
        <w:tc>
          <w:tcPr>
            <w:tcW w:w="1645" w:type="dxa"/>
            <w:shd w:val="clear" w:color="auto" w:fill="auto"/>
            <w:noWrap/>
            <w:vAlign w:val="center"/>
            <w:hideMark/>
          </w:tcPr>
          <w:p w14:paraId="75C7846F" w14:textId="77777777" w:rsidR="00545A71" w:rsidRPr="00686AC3" w:rsidRDefault="00545A71" w:rsidP="007A7372">
            <w:pPr>
              <w:jc w:val="center"/>
              <w:rPr>
                <w:color w:val="000000"/>
                <w:sz w:val="16"/>
                <w:szCs w:val="16"/>
              </w:rPr>
            </w:pPr>
            <w:r w:rsidRPr="00686AC3">
              <w:rPr>
                <w:color w:val="000000"/>
                <w:sz w:val="16"/>
                <w:szCs w:val="16"/>
              </w:rPr>
              <w:t>2006</w:t>
            </w:r>
          </w:p>
        </w:tc>
        <w:tc>
          <w:tcPr>
            <w:tcW w:w="1680" w:type="dxa"/>
            <w:shd w:val="clear" w:color="auto" w:fill="auto"/>
            <w:noWrap/>
            <w:vAlign w:val="center"/>
            <w:hideMark/>
          </w:tcPr>
          <w:p w14:paraId="02308107" w14:textId="77777777" w:rsidR="00545A71" w:rsidRPr="00686AC3" w:rsidRDefault="00545A71" w:rsidP="007A7372">
            <w:pPr>
              <w:jc w:val="center"/>
              <w:rPr>
                <w:color w:val="000000"/>
                <w:sz w:val="16"/>
                <w:szCs w:val="16"/>
              </w:rPr>
            </w:pPr>
            <w:r w:rsidRPr="00686AC3">
              <w:rPr>
                <w:color w:val="000000"/>
                <w:sz w:val="16"/>
                <w:szCs w:val="16"/>
              </w:rPr>
              <w:t>2004</w:t>
            </w:r>
          </w:p>
        </w:tc>
        <w:tc>
          <w:tcPr>
            <w:tcW w:w="540" w:type="dxa"/>
          </w:tcPr>
          <w:p w14:paraId="19D28FD6" w14:textId="77777777" w:rsidR="00545A71" w:rsidRPr="00686AC3" w:rsidRDefault="00545A71" w:rsidP="007A7372">
            <w:pPr>
              <w:jc w:val="center"/>
              <w:rPr>
                <w:color w:val="000000"/>
                <w:sz w:val="16"/>
                <w:szCs w:val="16"/>
              </w:rPr>
            </w:pPr>
            <w:r w:rsidRPr="00686AC3">
              <w:rPr>
                <w:color w:val="000000"/>
                <w:sz w:val="16"/>
                <w:szCs w:val="16"/>
              </w:rPr>
              <w:t>13</w:t>
            </w:r>
          </w:p>
        </w:tc>
        <w:tc>
          <w:tcPr>
            <w:tcW w:w="1800" w:type="dxa"/>
            <w:shd w:val="clear" w:color="auto" w:fill="auto"/>
            <w:noWrap/>
            <w:vAlign w:val="center"/>
            <w:hideMark/>
          </w:tcPr>
          <w:p w14:paraId="3DE4B141" w14:textId="77777777" w:rsidR="00545A71" w:rsidRPr="00686AC3" w:rsidRDefault="00545A71" w:rsidP="007A7372">
            <w:pPr>
              <w:jc w:val="center"/>
              <w:rPr>
                <w:color w:val="000000"/>
                <w:sz w:val="16"/>
                <w:szCs w:val="16"/>
              </w:rPr>
            </w:pPr>
            <w:r w:rsidRPr="00686AC3">
              <w:rPr>
                <w:color w:val="000000"/>
                <w:sz w:val="16"/>
                <w:szCs w:val="16"/>
              </w:rPr>
              <w:t>NR</w:t>
            </w:r>
          </w:p>
        </w:tc>
        <w:tc>
          <w:tcPr>
            <w:tcW w:w="2278" w:type="dxa"/>
            <w:shd w:val="clear" w:color="auto" w:fill="auto"/>
            <w:noWrap/>
            <w:vAlign w:val="center"/>
            <w:hideMark/>
          </w:tcPr>
          <w:p w14:paraId="0970D10D" w14:textId="77777777" w:rsidR="00545A71" w:rsidRPr="00686AC3" w:rsidRDefault="00545A71" w:rsidP="007A7372">
            <w:pPr>
              <w:jc w:val="center"/>
              <w:rPr>
                <w:color w:val="000000"/>
                <w:sz w:val="16"/>
                <w:szCs w:val="16"/>
              </w:rPr>
            </w:pPr>
            <w:r w:rsidRPr="00686AC3">
              <w:rPr>
                <w:color w:val="000000"/>
                <w:sz w:val="16"/>
                <w:szCs w:val="16"/>
              </w:rPr>
              <w:t>0.005 TU</w:t>
            </w:r>
          </w:p>
        </w:tc>
        <w:tc>
          <w:tcPr>
            <w:tcW w:w="1057" w:type="dxa"/>
            <w:shd w:val="clear" w:color="auto" w:fill="auto"/>
            <w:noWrap/>
            <w:vAlign w:val="center"/>
            <w:hideMark/>
          </w:tcPr>
          <w:p w14:paraId="4810894F" w14:textId="21676E62" w:rsidR="00545A71" w:rsidRPr="00686AC3" w:rsidRDefault="00545A71" w:rsidP="007A7372">
            <w:pPr>
              <w:jc w:val="center"/>
              <w:rPr>
                <w:color w:val="000000"/>
                <w:sz w:val="16"/>
                <w:szCs w:val="16"/>
              </w:rPr>
            </w:pPr>
            <w:r w:rsidRPr="00686AC3">
              <w:rPr>
                <w:color w:val="000000"/>
                <w:sz w:val="16"/>
                <w:szCs w:val="16"/>
              </w:rPr>
              <w:fldChar w:fldCharType="begin" w:fldLock="1"/>
            </w:r>
            <w:r w:rsidR="00D11AD8">
              <w:rPr>
                <w:color w:val="000000"/>
                <w:sz w:val="16"/>
                <w:szCs w:val="16"/>
              </w:rPr>
              <w:instrText>ADDIN CSL_CITATION {"citationItems":[{"id":"ITEM-1","itemData":{"DOI":"10.1021/es051284w","ISSN":"0013936X","PMID":"16433358","abstract":"The contamination of groundwater by geogenic arsenic is the cause of major health problems in south and southeast Asia. Various hypotheses proposing that As is mobilized by the reduction of iron (oxy)hydroxides are now under discussion. One important and controversial question concerns the possibility that As contamination might be related to the extraction of groundwater for irrigation purposes. If As were mobilized by the inflow of re-infiltrating irrigation water rich in labile organic carbon. As-contaminated groundwater would have been recharged after the introduction of groundwater irrigation 20-40 years ago. We used environmental tracer data and conceptual groundwater flow and transport modeling to study the effects of groundwater pumping and to assess the role of re-infiltrated irrigation water in the mobilization of As. Both the tracer data and the model results suggest that pumping induces convergent groundwater flow to the depth of extraction and causes shallow, young groundwater to mix with deep, old groundwater. The As concentrations are greatest at a depth of 30 m where these two groundwater bodies come into contact and mix. There, within the mixing zone, groundwater age significantly exceeds 30 years, indicating that recharge of most of the contaminated water occurred before groundwater irrigation became established in Bangladesh. Hence, at least at our study site, the results call into question the validity of the hypothesis that re-infiltrated irrigation water is the direct cause of As mobilization; however, the tracer data suggest that, at our site, hydraulic changes due to groundwater extraction for irrigation might be related to the mobilization of As. © 2006 American Chemical Society.","author":[{"dropping-particle":"","family":"Klump","given":"Stephan","non-dropping-particle":"","parse-names":false,"suffix":""},{"dropping-particle":"","family":"Kipfer","given":"Rolf","non-dropping-particle":"","parse-names":false,"suffix":""},{"dropping-particle":"","family":"Cirpka","given":"Olaf A.","non-dropping-particle":"","parse-names":false,"suffix":""},{"dropping-particle":"","family":"Harvey","given":"Charles F.","non-dropping-particle":"","parse-names":false,"suffix":""},{"dropping-particle":"","family":"Brennwald","given":"Matthias S.","non-dropping-particle":"","parse-names":false,"suffix":""},{"dropping-particle":"","family":"Ashfaque","given":"Khandaker N.","non-dropping-particle":"","parse-names":false,"suffix":""},{"dropping-particle":"","family":"Badruzzaman","given":"Abu Borhan M.","non-dropping-particle":"","parse-names":false,"suffix":""},{"dropping-particle":"","family":"Hug","given":"Stephan J.","non-dropping-particle":"","parse-names":false,"suffix":""},{"dropping-particle":"","family":"Imboden","given":"Dieter M.","non-dropping-particle":"","parse-names":false,"suffix":""}],"container-title":"Environmental Science and Technology","id":"ITEM-1","issue":"1","issued":{"date-parts":[["2006","1","1"]]},"page":"243-250","title":"Groundwater dynamics and arsenic mobilization in Bangladesh assessed using noble gases and tritium","type":"article-journal","volume":"40"},"uris":["http://www.mendeley.com/documents/?uuid=666db0a0-4078-33b8-853d-bec53bccb1c0"]}],"mendeley":{"formattedCitation":"(&lt;i&gt;37&lt;/i&gt;)","plainTextFormattedCitation":"(37)","previouslyFormattedCitation":"&lt;sup&gt;37&lt;/sup&gt;"},"properties":{"noteIndex":0},"schema":"https://github.com/citation-style-language/schema/raw/master/csl-citation.json"}</w:instrText>
            </w:r>
            <w:r w:rsidRPr="00686AC3">
              <w:rPr>
                <w:color w:val="000000"/>
                <w:sz w:val="16"/>
                <w:szCs w:val="16"/>
              </w:rPr>
              <w:fldChar w:fldCharType="separate"/>
            </w:r>
            <w:r w:rsidR="00D11AD8" w:rsidRPr="00D11AD8">
              <w:rPr>
                <w:noProof/>
                <w:color w:val="000000"/>
                <w:sz w:val="16"/>
                <w:szCs w:val="16"/>
              </w:rPr>
              <w:t>(</w:t>
            </w:r>
            <w:r w:rsidR="00D11AD8" w:rsidRPr="00D11AD8">
              <w:rPr>
                <w:i/>
                <w:noProof/>
                <w:color w:val="000000"/>
                <w:sz w:val="16"/>
                <w:szCs w:val="16"/>
              </w:rPr>
              <w:t>37</w:t>
            </w:r>
            <w:r w:rsidR="00D11AD8" w:rsidRPr="00D11AD8">
              <w:rPr>
                <w:noProof/>
                <w:color w:val="000000"/>
                <w:sz w:val="16"/>
                <w:szCs w:val="16"/>
              </w:rPr>
              <w:t>)</w:t>
            </w:r>
            <w:r w:rsidRPr="00686AC3">
              <w:rPr>
                <w:color w:val="000000"/>
                <w:sz w:val="16"/>
                <w:szCs w:val="16"/>
              </w:rPr>
              <w:fldChar w:fldCharType="end"/>
            </w:r>
          </w:p>
        </w:tc>
      </w:tr>
      <w:tr w:rsidR="00545A71" w14:paraId="41971845" w14:textId="77777777" w:rsidTr="007A7372">
        <w:trPr>
          <w:trHeight w:val="320"/>
          <w:jc w:val="center"/>
        </w:trPr>
        <w:tc>
          <w:tcPr>
            <w:tcW w:w="1530" w:type="dxa"/>
            <w:shd w:val="clear" w:color="auto" w:fill="auto"/>
            <w:noWrap/>
            <w:vAlign w:val="center"/>
            <w:hideMark/>
          </w:tcPr>
          <w:p w14:paraId="1D432D5A" w14:textId="77777777" w:rsidR="00545A71" w:rsidRPr="00686AC3" w:rsidRDefault="00545A71" w:rsidP="007A7372">
            <w:pPr>
              <w:jc w:val="center"/>
              <w:rPr>
                <w:color w:val="000000"/>
                <w:sz w:val="16"/>
                <w:szCs w:val="16"/>
              </w:rPr>
            </w:pPr>
            <w:r w:rsidRPr="00686AC3">
              <w:rPr>
                <w:color w:val="000000"/>
                <w:sz w:val="16"/>
                <w:szCs w:val="16"/>
              </w:rPr>
              <w:t xml:space="preserve">Stute et al </w:t>
            </w:r>
          </w:p>
        </w:tc>
        <w:tc>
          <w:tcPr>
            <w:tcW w:w="1645" w:type="dxa"/>
            <w:shd w:val="clear" w:color="auto" w:fill="auto"/>
            <w:noWrap/>
            <w:vAlign w:val="center"/>
            <w:hideMark/>
          </w:tcPr>
          <w:p w14:paraId="352F98D5" w14:textId="77777777" w:rsidR="00545A71" w:rsidRPr="00686AC3" w:rsidRDefault="00545A71" w:rsidP="007A7372">
            <w:pPr>
              <w:jc w:val="center"/>
              <w:rPr>
                <w:color w:val="000000"/>
                <w:sz w:val="16"/>
                <w:szCs w:val="16"/>
              </w:rPr>
            </w:pPr>
            <w:r w:rsidRPr="00686AC3">
              <w:rPr>
                <w:color w:val="000000"/>
                <w:sz w:val="16"/>
                <w:szCs w:val="16"/>
              </w:rPr>
              <w:t>2007</w:t>
            </w:r>
          </w:p>
        </w:tc>
        <w:tc>
          <w:tcPr>
            <w:tcW w:w="1680" w:type="dxa"/>
            <w:shd w:val="clear" w:color="auto" w:fill="auto"/>
            <w:noWrap/>
            <w:vAlign w:val="center"/>
            <w:hideMark/>
          </w:tcPr>
          <w:p w14:paraId="7E06F3A0" w14:textId="77777777" w:rsidR="00545A71" w:rsidRPr="00686AC3" w:rsidRDefault="00545A71" w:rsidP="007A7372">
            <w:pPr>
              <w:jc w:val="center"/>
              <w:rPr>
                <w:color w:val="000000"/>
                <w:sz w:val="16"/>
                <w:szCs w:val="16"/>
              </w:rPr>
            </w:pPr>
            <w:r w:rsidRPr="00686AC3">
              <w:rPr>
                <w:color w:val="000000"/>
                <w:sz w:val="16"/>
                <w:szCs w:val="16"/>
              </w:rPr>
              <w:t>2000-2001</w:t>
            </w:r>
          </w:p>
        </w:tc>
        <w:tc>
          <w:tcPr>
            <w:tcW w:w="540" w:type="dxa"/>
          </w:tcPr>
          <w:p w14:paraId="6BBD2F91" w14:textId="77777777" w:rsidR="00545A71" w:rsidRPr="00686AC3" w:rsidRDefault="00545A71" w:rsidP="007A7372">
            <w:pPr>
              <w:jc w:val="center"/>
              <w:rPr>
                <w:color w:val="000000"/>
                <w:sz w:val="16"/>
                <w:szCs w:val="16"/>
              </w:rPr>
            </w:pPr>
            <w:r w:rsidRPr="00686AC3">
              <w:rPr>
                <w:color w:val="000000"/>
                <w:sz w:val="16"/>
                <w:szCs w:val="16"/>
              </w:rPr>
              <w:t>21</w:t>
            </w:r>
          </w:p>
        </w:tc>
        <w:tc>
          <w:tcPr>
            <w:tcW w:w="1800" w:type="dxa"/>
            <w:shd w:val="clear" w:color="auto" w:fill="auto"/>
            <w:noWrap/>
            <w:vAlign w:val="center"/>
            <w:hideMark/>
          </w:tcPr>
          <w:p w14:paraId="53D6C3FD" w14:textId="77777777" w:rsidR="00545A71" w:rsidRPr="00686AC3" w:rsidRDefault="00545A71" w:rsidP="007A7372">
            <w:pPr>
              <w:jc w:val="center"/>
              <w:rPr>
                <w:color w:val="000000"/>
                <w:sz w:val="16"/>
                <w:szCs w:val="16"/>
              </w:rPr>
            </w:pPr>
            <w:r w:rsidRPr="00686AC3">
              <w:rPr>
                <w:color w:val="000000"/>
                <w:sz w:val="16"/>
                <w:szCs w:val="16"/>
              </w:rPr>
              <w:t>0.05 TU</w:t>
            </w:r>
          </w:p>
        </w:tc>
        <w:tc>
          <w:tcPr>
            <w:tcW w:w="2278" w:type="dxa"/>
            <w:shd w:val="clear" w:color="auto" w:fill="auto"/>
            <w:noWrap/>
            <w:vAlign w:val="center"/>
            <w:hideMark/>
          </w:tcPr>
          <w:p w14:paraId="7129938E" w14:textId="77777777" w:rsidR="00545A71" w:rsidRPr="00686AC3" w:rsidRDefault="00545A71" w:rsidP="007A7372">
            <w:pPr>
              <w:jc w:val="center"/>
              <w:rPr>
                <w:color w:val="000000"/>
                <w:sz w:val="16"/>
                <w:szCs w:val="16"/>
              </w:rPr>
            </w:pPr>
            <w:r w:rsidRPr="00686AC3">
              <w:rPr>
                <w:color w:val="000000"/>
                <w:sz w:val="16"/>
                <w:szCs w:val="16"/>
              </w:rPr>
              <w:t>±0.1 to 1.0 TU</w:t>
            </w:r>
          </w:p>
        </w:tc>
        <w:tc>
          <w:tcPr>
            <w:tcW w:w="1057" w:type="dxa"/>
            <w:shd w:val="clear" w:color="auto" w:fill="auto"/>
            <w:noWrap/>
            <w:vAlign w:val="center"/>
            <w:hideMark/>
          </w:tcPr>
          <w:p w14:paraId="630E95D6" w14:textId="00D6CC6E" w:rsidR="00545A71" w:rsidRPr="00686AC3" w:rsidRDefault="00545A71" w:rsidP="007A7372">
            <w:pPr>
              <w:jc w:val="center"/>
              <w:rPr>
                <w:color w:val="000000"/>
                <w:sz w:val="16"/>
                <w:szCs w:val="16"/>
              </w:rPr>
            </w:pPr>
            <w:r w:rsidRPr="00686AC3">
              <w:rPr>
                <w:color w:val="000000"/>
                <w:sz w:val="16"/>
                <w:szCs w:val="16"/>
              </w:rPr>
              <w:fldChar w:fldCharType="begin" w:fldLock="1"/>
            </w:r>
            <w:r w:rsidR="00D11AD8">
              <w:rPr>
                <w:color w:val="000000"/>
                <w:sz w:val="16"/>
                <w:szCs w:val="16"/>
              </w:rPr>
              <w:instrText>ADDIN CSL_CITATION {"citationItems":[{"id":"ITEM-1","itemData":{"DOI":"10.1029/2005WR004499","ISSN":"00431397","abstract":"The elevated arsenic (As) content of groundwater from wells across Bangladesh and several other South Asian countries is estimated to slowly poison at least 100 million people. The heterogeneous distribution of dissolved arsenic in the subsurface complicates understanding of its release from the sediment matrix into the groundwater, as well as the design of mitigation strategies. Using the tritium-helium (3H/3He) groundwater dating technique, we show that there is a linear correlation between groundwater age at depths &lt;20 m and dissolved As concentration, with an average slope of 19 μg L-1 yr-1 (monitoring wells only). We propose that either the kinetics of As mobilization or the removal of As by groundwater flushing is the mechanism underlying this relationship. In either case, the spatial variability of As concentrations in the top 20 m of the shallow aquifers can to a large extent be attributed to groundwater age controlled by the hydrogeological heterogeneity in the local groundwater flow system. Copyright 2007 by the American Geophysical Union.","author":[{"dropping-particle":"","family":"Stute","given":"M.","non-dropping-particle":"","parse-names":false,"suffix":""},{"dropping-particle":"","family":"Zheng","given":"Y.","non-dropping-particle":"","parse-names":false,"suffix":""},{"dropping-particle":"","family":"Schlosser","given":"P.","non-dropping-particle":"","parse-names":false,"suffix":""},{"dropping-particle":"","family":"Horneman","given":"A.","non-dropping-particle":"","parse-names":false,"suffix":""},{"dropping-particle":"","family":"Dhar","given":"R. K.","non-dropping-particle":"","parse-names":false,"suffix":""},{"dropping-particle":"","family":"Datta","given":"S.","non-dropping-particle":"","parse-names":false,"suffix":""},{"dropping-particle":"","family":"Hoque","given":"M. A.","non-dropping-particle":"","parse-names":false,"suffix":""},{"dropping-particle":"","family":"Seddique","given":"A. A.","non-dropping-particle":"","parse-names":false,"suffix":""},{"dropping-particle":"","family":"Shamsudduha","given":"M.","non-dropping-particle":"","parse-names":false,"suffix":""},{"dropping-particle":"","family":"Ahmed","given":"K. M.","non-dropping-particle":"","parse-names":false,"suffix":""},{"dropping-particle":"","family":"Geen","given":"A.","non-dropping-particle":"van","parse-names":false,"suffix":""}],"container-title":"Water Resources Research","id":"ITEM-1","issue":"9","issued":{"date-parts":[["2007","9","1"]]},"publisher":"John Wiley &amp; Sons, Ltd","title":"Hydrological control of As concentrations in Bangladesh groundwater","type":"article-journal","volume":"43"},"uris":["http://www.mendeley.com/documents/?uuid=724ab3a6-35a5-3776-addf-9868d52d41fd"]}],"mendeley":{"formattedCitation":"(&lt;i&gt;35&lt;/i&gt;)","plainTextFormattedCitation":"(35)","previouslyFormattedCitation":"&lt;sup&gt;35&lt;/sup&gt;"},"properties":{"noteIndex":0},"schema":"https://github.com/citation-style-language/schema/raw/master/csl-citation.json"}</w:instrText>
            </w:r>
            <w:r w:rsidRPr="00686AC3">
              <w:rPr>
                <w:color w:val="000000"/>
                <w:sz w:val="16"/>
                <w:szCs w:val="16"/>
              </w:rPr>
              <w:fldChar w:fldCharType="separate"/>
            </w:r>
            <w:r w:rsidR="00D11AD8" w:rsidRPr="00D11AD8">
              <w:rPr>
                <w:noProof/>
                <w:color w:val="000000"/>
                <w:sz w:val="16"/>
                <w:szCs w:val="16"/>
              </w:rPr>
              <w:t>(</w:t>
            </w:r>
            <w:r w:rsidR="00D11AD8" w:rsidRPr="00D11AD8">
              <w:rPr>
                <w:i/>
                <w:noProof/>
                <w:color w:val="000000"/>
                <w:sz w:val="16"/>
                <w:szCs w:val="16"/>
              </w:rPr>
              <w:t>35</w:t>
            </w:r>
            <w:r w:rsidR="00D11AD8" w:rsidRPr="00D11AD8">
              <w:rPr>
                <w:noProof/>
                <w:color w:val="000000"/>
                <w:sz w:val="16"/>
                <w:szCs w:val="16"/>
              </w:rPr>
              <w:t>)</w:t>
            </w:r>
            <w:r w:rsidRPr="00686AC3">
              <w:rPr>
                <w:color w:val="000000"/>
                <w:sz w:val="16"/>
                <w:szCs w:val="16"/>
              </w:rPr>
              <w:fldChar w:fldCharType="end"/>
            </w:r>
          </w:p>
        </w:tc>
      </w:tr>
      <w:tr w:rsidR="00545A71" w14:paraId="675CBECB" w14:textId="77777777" w:rsidTr="007A7372">
        <w:trPr>
          <w:trHeight w:val="320"/>
          <w:jc w:val="center"/>
        </w:trPr>
        <w:tc>
          <w:tcPr>
            <w:tcW w:w="1530" w:type="dxa"/>
            <w:shd w:val="clear" w:color="auto" w:fill="auto"/>
            <w:noWrap/>
            <w:vAlign w:val="center"/>
            <w:hideMark/>
          </w:tcPr>
          <w:p w14:paraId="5C8AEDA0" w14:textId="77777777" w:rsidR="00545A71" w:rsidRPr="00686AC3" w:rsidRDefault="00545A71" w:rsidP="007A7372">
            <w:pPr>
              <w:jc w:val="center"/>
              <w:rPr>
                <w:color w:val="000000"/>
                <w:sz w:val="16"/>
                <w:szCs w:val="16"/>
              </w:rPr>
            </w:pPr>
            <w:r w:rsidRPr="00686AC3">
              <w:rPr>
                <w:color w:val="000000"/>
                <w:sz w:val="16"/>
                <w:szCs w:val="16"/>
              </w:rPr>
              <w:t xml:space="preserve">Sikdar and Sahu </w:t>
            </w:r>
          </w:p>
        </w:tc>
        <w:tc>
          <w:tcPr>
            <w:tcW w:w="1645" w:type="dxa"/>
            <w:shd w:val="clear" w:color="auto" w:fill="auto"/>
            <w:noWrap/>
            <w:vAlign w:val="center"/>
            <w:hideMark/>
          </w:tcPr>
          <w:p w14:paraId="58CAF5CE" w14:textId="77777777" w:rsidR="00545A71" w:rsidRPr="00686AC3" w:rsidRDefault="00545A71" w:rsidP="007A7372">
            <w:pPr>
              <w:jc w:val="center"/>
              <w:rPr>
                <w:color w:val="000000"/>
                <w:sz w:val="16"/>
                <w:szCs w:val="16"/>
              </w:rPr>
            </w:pPr>
            <w:r w:rsidRPr="00686AC3">
              <w:rPr>
                <w:color w:val="000000"/>
                <w:sz w:val="16"/>
                <w:szCs w:val="16"/>
              </w:rPr>
              <w:t>2009</w:t>
            </w:r>
          </w:p>
        </w:tc>
        <w:tc>
          <w:tcPr>
            <w:tcW w:w="1680" w:type="dxa"/>
            <w:shd w:val="clear" w:color="auto" w:fill="auto"/>
            <w:noWrap/>
            <w:vAlign w:val="center"/>
            <w:hideMark/>
          </w:tcPr>
          <w:p w14:paraId="7D44C223" w14:textId="77777777" w:rsidR="00545A71" w:rsidRPr="00686AC3" w:rsidRDefault="00545A71" w:rsidP="007A7372">
            <w:pPr>
              <w:jc w:val="center"/>
              <w:rPr>
                <w:color w:val="000000"/>
                <w:sz w:val="16"/>
                <w:szCs w:val="16"/>
              </w:rPr>
            </w:pPr>
            <w:r w:rsidRPr="00686AC3">
              <w:rPr>
                <w:color w:val="000000"/>
                <w:sz w:val="16"/>
                <w:szCs w:val="16"/>
              </w:rPr>
              <w:t>2006</w:t>
            </w:r>
          </w:p>
        </w:tc>
        <w:tc>
          <w:tcPr>
            <w:tcW w:w="540" w:type="dxa"/>
          </w:tcPr>
          <w:p w14:paraId="51D8C4E8" w14:textId="77777777" w:rsidR="00545A71" w:rsidRPr="00686AC3" w:rsidRDefault="00545A71" w:rsidP="007A7372">
            <w:pPr>
              <w:jc w:val="center"/>
              <w:rPr>
                <w:color w:val="000000"/>
                <w:sz w:val="16"/>
                <w:szCs w:val="16"/>
              </w:rPr>
            </w:pPr>
            <w:r w:rsidRPr="00686AC3">
              <w:rPr>
                <w:color w:val="000000"/>
                <w:sz w:val="16"/>
                <w:szCs w:val="16"/>
              </w:rPr>
              <w:t>12</w:t>
            </w:r>
          </w:p>
        </w:tc>
        <w:tc>
          <w:tcPr>
            <w:tcW w:w="1800" w:type="dxa"/>
            <w:shd w:val="clear" w:color="auto" w:fill="auto"/>
            <w:noWrap/>
            <w:vAlign w:val="center"/>
            <w:hideMark/>
          </w:tcPr>
          <w:p w14:paraId="0406CC6E" w14:textId="77777777" w:rsidR="00545A71" w:rsidRPr="00686AC3" w:rsidRDefault="00545A71" w:rsidP="007A7372">
            <w:pPr>
              <w:jc w:val="center"/>
              <w:rPr>
                <w:color w:val="000000"/>
                <w:sz w:val="16"/>
                <w:szCs w:val="16"/>
              </w:rPr>
            </w:pPr>
            <w:r w:rsidRPr="00686AC3">
              <w:rPr>
                <w:color w:val="000000"/>
                <w:sz w:val="16"/>
                <w:szCs w:val="16"/>
              </w:rPr>
              <w:t>NR</w:t>
            </w:r>
          </w:p>
        </w:tc>
        <w:tc>
          <w:tcPr>
            <w:tcW w:w="2278" w:type="dxa"/>
            <w:shd w:val="clear" w:color="auto" w:fill="auto"/>
            <w:noWrap/>
            <w:vAlign w:val="center"/>
            <w:hideMark/>
          </w:tcPr>
          <w:p w14:paraId="13DD4AC4" w14:textId="77777777" w:rsidR="00545A71" w:rsidRPr="00686AC3" w:rsidRDefault="00545A71" w:rsidP="007A7372">
            <w:pPr>
              <w:jc w:val="center"/>
              <w:rPr>
                <w:sz w:val="16"/>
                <w:szCs w:val="16"/>
              </w:rPr>
            </w:pPr>
            <w:r w:rsidRPr="00686AC3">
              <w:rPr>
                <w:color w:val="000000"/>
                <w:sz w:val="16"/>
                <w:szCs w:val="16"/>
              </w:rPr>
              <w:t>NR</w:t>
            </w:r>
          </w:p>
        </w:tc>
        <w:tc>
          <w:tcPr>
            <w:tcW w:w="1057" w:type="dxa"/>
            <w:shd w:val="clear" w:color="auto" w:fill="auto"/>
            <w:noWrap/>
            <w:vAlign w:val="center"/>
            <w:hideMark/>
          </w:tcPr>
          <w:p w14:paraId="2B89FA86" w14:textId="25CBEF49" w:rsidR="00545A71" w:rsidRPr="00686AC3" w:rsidRDefault="00545A71" w:rsidP="007A7372">
            <w:pPr>
              <w:jc w:val="center"/>
              <w:rPr>
                <w:sz w:val="16"/>
                <w:szCs w:val="16"/>
              </w:rPr>
            </w:pPr>
            <w:r w:rsidRPr="00686AC3">
              <w:rPr>
                <w:sz w:val="16"/>
                <w:szCs w:val="16"/>
              </w:rPr>
              <w:fldChar w:fldCharType="begin" w:fldLock="1"/>
            </w:r>
            <w:r w:rsidR="00D11AD8">
              <w:rPr>
                <w:sz w:val="16"/>
                <w:szCs w:val="16"/>
              </w:rPr>
              <w:instrText>ADDIN CSL_CITATION {"citationItems":[{"id":"ITEM-1","itemData":{"DOI":"10.5194/hess-13-1313-2009","ISSN":"1607-7938","abstract":"&lt;p&gt;Abstract. This paper attempts to utilize hydrogeology and isotope composition of groundwater to understand the present hydrological processes prevalent in a freshwater wetland, source of wetland groundwater, surface water/groundwater interaction and mixing of groundwater of various depth zones in the aquifer. This study considers East Calcutta Wetlands (ECW) – a freshwater peri-urban inland wetland ecosystem located at the lower part of the deltaic alluvial plain of South Bengal Basin and east of Kolkata city. This wetland is well known over the world for its resource recovery systems, developed by local people through ages, using wastewater of the city. Geological investigations reveal that the sub-surface geology is completely blanketed by the Quaternary sediments comprising a succession of silty clay, sand of various grades and sand mixed with occasional gravels and thin intercalations of silty clay. At few places the top silty clay layer is absent due to scouring action of past channels. In these areas sand is present throughout the geological column and the areas are vulnerable to groundwater pollution. Groundwater mainly flows from east to west and is being over-extracted to the tune of 65×103 m3/day. δ18O and δD values of shallow and deep groundwater are similar indicating resemblance in hydrostratigraphy and climate of the recharge areas. Groundwater originates mainly from monsoonal rain with some evaporation prior to or during infiltration and partly from bottom of ponds, canals and infiltration of groundwater withdrawn for irrigation. Relatively high tritium content of the shallow groundwater indicates local recharge, while the deep groundwater with very low tritium is recharged mainly from distant areas. At places the deep aquifer has relatively high tritium, indicating mixing of groundwater of shallow and deep aquifers. Metals such as copper, lead, arsenic, cadmium, aluminium, nickel and chromium are also present in groundwater of various depths. Therefore, aquifers of wetland and surrounding urban areas which are heavily dependent on groundwater are vulnerable to pollution. In the area south of ECW isotope data indicates no interaction between shallow and deep aquifer and hence this area may be a better location to treat sewage water than within ECW. To reduce the threat of pollution in ECW's aquifer, surface water-groundwater interaction should be minimized by regulating tubewell operation time, introducing treated surface water supply …","author":[{"dropping-particle":"","family":"Sikdar","given":"P. K.","non-dropping-particle":"","parse-names":false,"suffix":""},{"dropping-particle":"","family":"Sahu","given":"P.","non-dropping-particle":"","parse-names":false,"suffix":""}],"container-title":"Hydrology and Earth System Sciences","id":"ITEM-1","issue":"7","issued":{"date-parts":[["2009","7","28"]]},"page":"1313-1323","publisher":"Copernicus GmbH","title":"Understanding wetland sub-surface hydrology using geologic and isotopic signatures","type":"article-journal","volume":"13"},"uris":["http://www.mendeley.com/documents/?uuid=bdc78f59-cf31-395b-b9fc-56e1f85caff9"]}],"mendeley":{"formattedCitation":"(&lt;i&gt;38&lt;/i&gt;)","plainTextFormattedCitation":"(38)","previouslyFormattedCitation":"&lt;sup&gt;38&lt;/sup&gt;"},"properties":{"noteIndex":0},"schema":"https://github.com/citation-style-language/schema/raw/master/csl-citation.json"}</w:instrText>
            </w:r>
            <w:r w:rsidRPr="00686AC3">
              <w:rPr>
                <w:sz w:val="16"/>
                <w:szCs w:val="16"/>
              </w:rPr>
              <w:fldChar w:fldCharType="separate"/>
            </w:r>
            <w:r w:rsidR="00D11AD8" w:rsidRPr="00D11AD8">
              <w:rPr>
                <w:noProof/>
                <w:sz w:val="16"/>
                <w:szCs w:val="16"/>
              </w:rPr>
              <w:t>(</w:t>
            </w:r>
            <w:r w:rsidR="00D11AD8" w:rsidRPr="00D11AD8">
              <w:rPr>
                <w:i/>
                <w:noProof/>
                <w:sz w:val="16"/>
                <w:szCs w:val="16"/>
              </w:rPr>
              <w:t>38</w:t>
            </w:r>
            <w:r w:rsidR="00D11AD8" w:rsidRPr="00D11AD8">
              <w:rPr>
                <w:noProof/>
                <w:sz w:val="16"/>
                <w:szCs w:val="16"/>
              </w:rPr>
              <w:t>)</w:t>
            </w:r>
            <w:r w:rsidRPr="00686AC3">
              <w:rPr>
                <w:sz w:val="16"/>
                <w:szCs w:val="16"/>
              </w:rPr>
              <w:fldChar w:fldCharType="end"/>
            </w:r>
          </w:p>
        </w:tc>
      </w:tr>
      <w:tr w:rsidR="00545A71" w14:paraId="221990F0" w14:textId="77777777" w:rsidTr="007A7372">
        <w:trPr>
          <w:trHeight w:val="320"/>
          <w:jc w:val="center"/>
        </w:trPr>
        <w:tc>
          <w:tcPr>
            <w:tcW w:w="1530" w:type="dxa"/>
            <w:shd w:val="clear" w:color="auto" w:fill="auto"/>
            <w:noWrap/>
            <w:vAlign w:val="center"/>
          </w:tcPr>
          <w:p w14:paraId="6C1062F6" w14:textId="77777777" w:rsidR="00545A71" w:rsidRPr="00686AC3" w:rsidRDefault="00545A71" w:rsidP="007A7372">
            <w:pPr>
              <w:jc w:val="center"/>
              <w:rPr>
                <w:color w:val="000000"/>
                <w:sz w:val="16"/>
                <w:szCs w:val="16"/>
              </w:rPr>
            </w:pPr>
            <w:r w:rsidRPr="00686AC3">
              <w:rPr>
                <w:color w:val="000000"/>
                <w:sz w:val="16"/>
                <w:szCs w:val="16"/>
              </w:rPr>
              <w:t>BAEC</w:t>
            </w:r>
          </w:p>
        </w:tc>
        <w:tc>
          <w:tcPr>
            <w:tcW w:w="1645" w:type="dxa"/>
            <w:shd w:val="clear" w:color="auto" w:fill="auto"/>
            <w:noWrap/>
            <w:vAlign w:val="center"/>
          </w:tcPr>
          <w:p w14:paraId="4BB162D0" w14:textId="77777777" w:rsidR="00545A71" w:rsidRPr="00686AC3" w:rsidRDefault="00545A71" w:rsidP="007A7372">
            <w:pPr>
              <w:jc w:val="center"/>
              <w:rPr>
                <w:color w:val="000000"/>
                <w:sz w:val="16"/>
                <w:szCs w:val="16"/>
              </w:rPr>
            </w:pPr>
            <w:r w:rsidRPr="00686AC3">
              <w:rPr>
                <w:color w:val="000000"/>
                <w:sz w:val="16"/>
                <w:szCs w:val="16"/>
              </w:rPr>
              <w:t>2010</w:t>
            </w:r>
          </w:p>
        </w:tc>
        <w:tc>
          <w:tcPr>
            <w:tcW w:w="1680" w:type="dxa"/>
            <w:shd w:val="clear" w:color="auto" w:fill="auto"/>
            <w:noWrap/>
            <w:vAlign w:val="center"/>
          </w:tcPr>
          <w:p w14:paraId="6F28B1AE" w14:textId="77777777" w:rsidR="00545A71" w:rsidRPr="00686AC3" w:rsidRDefault="00545A71" w:rsidP="007A7372">
            <w:pPr>
              <w:jc w:val="center"/>
              <w:rPr>
                <w:color w:val="000000"/>
                <w:sz w:val="16"/>
                <w:szCs w:val="16"/>
              </w:rPr>
            </w:pPr>
          </w:p>
        </w:tc>
        <w:tc>
          <w:tcPr>
            <w:tcW w:w="540" w:type="dxa"/>
          </w:tcPr>
          <w:p w14:paraId="0735648A" w14:textId="77777777" w:rsidR="00545A71" w:rsidRPr="00686AC3" w:rsidRDefault="00545A71" w:rsidP="007A7372">
            <w:pPr>
              <w:jc w:val="center"/>
              <w:rPr>
                <w:color w:val="000000"/>
                <w:sz w:val="16"/>
                <w:szCs w:val="16"/>
              </w:rPr>
            </w:pPr>
            <w:r w:rsidRPr="00686AC3">
              <w:rPr>
                <w:color w:val="000000"/>
                <w:sz w:val="16"/>
                <w:szCs w:val="16"/>
              </w:rPr>
              <w:t>18</w:t>
            </w:r>
          </w:p>
        </w:tc>
        <w:tc>
          <w:tcPr>
            <w:tcW w:w="1800" w:type="dxa"/>
            <w:shd w:val="clear" w:color="auto" w:fill="auto"/>
            <w:noWrap/>
            <w:vAlign w:val="center"/>
          </w:tcPr>
          <w:p w14:paraId="265EAD38" w14:textId="77777777" w:rsidR="00545A71" w:rsidRPr="00686AC3" w:rsidRDefault="00545A71" w:rsidP="007A7372">
            <w:pPr>
              <w:jc w:val="center"/>
              <w:rPr>
                <w:color w:val="000000"/>
                <w:sz w:val="16"/>
                <w:szCs w:val="16"/>
              </w:rPr>
            </w:pPr>
            <w:r w:rsidRPr="00686AC3">
              <w:rPr>
                <w:color w:val="000000"/>
                <w:sz w:val="16"/>
                <w:szCs w:val="16"/>
              </w:rPr>
              <w:t>NR</w:t>
            </w:r>
          </w:p>
        </w:tc>
        <w:tc>
          <w:tcPr>
            <w:tcW w:w="2278" w:type="dxa"/>
            <w:shd w:val="clear" w:color="auto" w:fill="auto"/>
            <w:noWrap/>
            <w:vAlign w:val="center"/>
          </w:tcPr>
          <w:p w14:paraId="192801D5" w14:textId="77777777" w:rsidR="00545A71" w:rsidRPr="00686AC3" w:rsidRDefault="00545A71" w:rsidP="007A7372">
            <w:pPr>
              <w:jc w:val="center"/>
              <w:rPr>
                <w:color w:val="000000"/>
                <w:sz w:val="16"/>
                <w:szCs w:val="16"/>
              </w:rPr>
            </w:pPr>
            <w:r w:rsidRPr="00686AC3">
              <w:rPr>
                <w:color w:val="000000"/>
                <w:sz w:val="16"/>
                <w:szCs w:val="16"/>
              </w:rPr>
              <w:t>NR</w:t>
            </w:r>
          </w:p>
        </w:tc>
        <w:tc>
          <w:tcPr>
            <w:tcW w:w="1057" w:type="dxa"/>
            <w:shd w:val="clear" w:color="auto" w:fill="auto"/>
            <w:noWrap/>
            <w:vAlign w:val="center"/>
          </w:tcPr>
          <w:p w14:paraId="2EDAFC9B" w14:textId="5B2E6379" w:rsidR="00545A71" w:rsidRPr="00686AC3" w:rsidRDefault="00545A71" w:rsidP="007A7372">
            <w:pPr>
              <w:jc w:val="center"/>
              <w:rPr>
                <w:sz w:val="16"/>
                <w:szCs w:val="16"/>
              </w:rPr>
            </w:pPr>
            <w:r w:rsidRPr="00686AC3">
              <w:rPr>
                <w:sz w:val="16"/>
                <w:szCs w:val="16"/>
              </w:rPr>
              <w:fldChar w:fldCharType="begin" w:fldLock="1"/>
            </w:r>
            <w:r w:rsidR="00D11AD8">
              <w:rPr>
                <w:sz w:val="16"/>
                <w:szCs w:val="16"/>
              </w:rPr>
              <w:instrText>ADDIN CSL_CITATION {"citationItems":[{"id":"ITEM-1","itemData":{"DOI":"10.1002/hyp.13267","ISSN":"10991085","abstract":"In the Bengal Basin of Bangladesh and West Bengal (India), where arsenic (As) and salinity adversely affect groundwater in shallow aquifers (&lt;150 m deep), consumers increasingly turn to “the deep aquifer” as a source of low-As and low-salinity water. We show that “the deep aquifer,” which has traditionally been regarded as a single entity, can be divided into at least eight deep aquifer units each with distinctive chemical, isotopic, hydraulic, and piezometric characteristics. Except in the rapidly subsiding Sylhet Basin, the deep aquifers are largely As-safe (&lt;50 μg/L and mostly &lt;10 μg/L) but differ in terms of iron (Fe), manganese (Mn), salinity, stable isotopic composition, groundwater age, and in their piezometric response to pumping. We use isotopic data to identify recharge from five periods, of which two are quantitatively dominant: (a) from the Last Glacial Maximum, isotopically heavy water (δ18O &gt;−3.5‰) with low As, Cl, and Fe concentrations occupies hydraulically trapped positions in the South-Central, Southeast, Southwest, and Madhupur aquifer units and (b) terminal Pleistocene to Early Holocene recharge of isotopically lighter water (δ18O &lt;−3.5‰) that has high Fe and slightly elevated Cl concentrations and was recharged along palaeochannels that facilitated deep circulation up to the mid-Holocene. Piezometric responses to development change in style towards the coast. In the north, water levels at all depths tend to be coincident and transition through a seasonally divergent pattern to become parallel in the south with a near constant downward gradient. The delineation of the deep aquifer units provides a practical framework for the assessment and management of groundwater resources for water supply.","author":[{"dropping-particle":"","family":"Ravenscroft","given":"Peter","non-dropping-particle":"","parse-names":false,"suffix":""},{"dropping-particle":"","family":"McArthur","given":"John M.","non-dropping-particle":"","parse-names":false,"suffix":""},{"dropping-particle":"","family":"Rahman","given":"Muhammad Saifur","non-dropping-particle":"","parse-names":false,"suffix":""}],"container-title":"Hydrological Processes","id":"ITEM-1","issue":"24","issued":{"date-parts":[["2018","11","30"]]},"page":"3615-3632","publisher":"John Wiley and Sons Ltd","title":"Identifying multiple deep aquifers in the Bengal Basin: Implications for resource management","type":"article-journal","volume":"32"},"uris":["http://www.mendeley.com/documents/?uuid=1d88d2d5-ecf2-3e5c-833b-5d992bbe2125"]}],"mendeley":{"formattedCitation":"(&lt;i&gt;10&lt;/i&gt;)","plainTextFormattedCitation":"(10)","previouslyFormattedCitation":"&lt;sup&gt;10&lt;/sup&gt;"},"properties":{"noteIndex":0},"schema":"https://github.com/citation-style-language/schema/raw/master/csl-citation.json"}</w:instrText>
            </w:r>
            <w:r w:rsidRPr="00686AC3">
              <w:rPr>
                <w:sz w:val="16"/>
                <w:szCs w:val="16"/>
              </w:rPr>
              <w:fldChar w:fldCharType="separate"/>
            </w:r>
            <w:r w:rsidR="00D11AD8" w:rsidRPr="00D11AD8">
              <w:rPr>
                <w:noProof/>
                <w:sz w:val="16"/>
                <w:szCs w:val="16"/>
              </w:rPr>
              <w:t>(</w:t>
            </w:r>
            <w:r w:rsidR="00D11AD8" w:rsidRPr="00D11AD8">
              <w:rPr>
                <w:i/>
                <w:noProof/>
                <w:sz w:val="16"/>
                <w:szCs w:val="16"/>
              </w:rPr>
              <w:t>10</w:t>
            </w:r>
            <w:r w:rsidR="00D11AD8" w:rsidRPr="00D11AD8">
              <w:rPr>
                <w:noProof/>
                <w:sz w:val="16"/>
                <w:szCs w:val="16"/>
              </w:rPr>
              <w:t>)</w:t>
            </w:r>
            <w:r w:rsidRPr="00686AC3">
              <w:rPr>
                <w:sz w:val="16"/>
                <w:szCs w:val="16"/>
              </w:rPr>
              <w:fldChar w:fldCharType="end"/>
            </w:r>
            <w:r w:rsidRPr="00686AC3">
              <w:rPr>
                <w:color w:val="000000"/>
                <w:sz w:val="16"/>
                <w:szCs w:val="16"/>
              </w:rPr>
              <w:t xml:space="preserve"> </w:t>
            </w:r>
          </w:p>
        </w:tc>
      </w:tr>
      <w:tr w:rsidR="00545A71" w14:paraId="74D4535C" w14:textId="77777777" w:rsidTr="007A7372">
        <w:trPr>
          <w:trHeight w:val="320"/>
          <w:jc w:val="center"/>
        </w:trPr>
        <w:tc>
          <w:tcPr>
            <w:tcW w:w="1530" w:type="dxa"/>
            <w:shd w:val="clear" w:color="auto" w:fill="auto"/>
            <w:noWrap/>
            <w:vAlign w:val="center"/>
            <w:hideMark/>
          </w:tcPr>
          <w:p w14:paraId="49DA1DBB" w14:textId="77777777" w:rsidR="00545A71" w:rsidRPr="00686AC3" w:rsidRDefault="00545A71" w:rsidP="007A7372">
            <w:pPr>
              <w:jc w:val="center"/>
              <w:rPr>
                <w:color w:val="000000"/>
                <w:sz w:val="16"/>
                <w:szCs w:val="16"/>
              </w:rPr>
            </w:pPr>
            <w:r w:rsidRPr="00686AC3">
              <w:rPr>
                <w:color w:val="000000"/>
                <w:sz w:val="16"/>
                <w:szCs w:val="16"/>
              </w:rPr>
              <w:t>McArthur et al</w:t>
            </w:r>
          </w:p>
        </w:tc>
        <w:tc>
          <w:tcPr>
            <w:tcW w:w="1645" w:type="dxa"/>
            <w:shd w:val="clear" w:color="auto" w:fill="auto"/>
            <w:noWrap/>
            <w:vAlign w:val="center"/>
            <w:hideMark/>
          </w:tcPr>
          <w:p w14:paraId="4FB360E8" w14:textId="77777777" w:rsidR="00545A71" w:rsidRPr="00686AC3" w:rsidRDefault="00545A71" w:rsidP="007A7372">
            <w:pPr>
              <w:jc w:val="center"/>
              <w:rPr>
                <w:color w:val="000000"/>
                <w:sz w:val="16"/>
                <w:szCs w:val="16"/>
              </w:rPr>
            </w:pPr>
            <w:r w:rsidRPr="00686AC3">
              <w:rPr>
                <w:color w:val="000000"/>
                <w:sz w:val="16"/>
                <w:szCs w:val="16"/>
              </w:rPr>
              <w:t>2010</w:t>
            </w:r>
          </w:p>
        </w:tc>
        <w:tc>
          <w:tcPr>
            <w:tcW w:w="1680" w:type="dxa"/>
            <w:shd w:val="clear" w:color="auto" w:fill="auto"/>
            <w:noWrap/>
            <w:vAlign w:val="center"/>
            <w:hideMark/>
          </w:tcPr>
          <w:p w14:paraId="2F99732F" w14:textId="77777777" w:rsidR="00545A71" w:rsidRPr="00686AC3" w:rsidRDefault="00545A71" w:rsidP="007A7372">
            <w:pPr>
              <w:jc w:val="center"/>
              <w:rPr>
                <w:color w:val="000000"/>
                <w:sz w:val="16"/>
                <w:szCs w:val="16"/>
              </w:rPr>
            </w:pPr>
            <w:r w:rsidRPr="00686AC3">
              <w:rPr>
                <w:color w:val="000000"/>
                <w:sz w:val="16"/>
                <w:szCs w:val="16"/>
              </w:rPr>
              <w:t>2003-2010</w:t>
            </w:r>
          </w:p>
        </w:tc>
        <w:tc>
          <w:tcPr>
            <w:tcW w:w="540" w:type="dxa"/>
          </w:tcPr>
          <w:p w14:paraId="2CE48FD1" w14:textId="77777777" w:rsidR="00545A71" w:rsidRPr="00686AC3" w:rsidRDefault="00545A71" w:rsidP="007A7372">
            <w:pPr>
              <w:jc w:val="center"/>
              <w:rPr>
                <w:color w:val="000000"/>
                <w:sz w:val="16"/>
                <w:szCs w:val="16"/>
              </w:rPr>
            </w:pPr>
            <w:r w:rsidRPr="00686AC3">
              <w:rPr>
                <w:color w:val="000000"/>
                <w:sz w:val="16"/>
                <w:szCs w:val="16"/>
              </w:rPr>
              <w:t>15</w:t>
            </w:r>
          </w:p>
        </w:tc>
        <w:tc>
          <w:tcPr>
            <w:tcW w:w="1800" w:type="dxa"/>
            <w:shd w:val="clear" w:color="auto" w:fill="auto"/>
            <w:noWrap/>
            <w:vAlign w:val="center"/>
            <w:hideMark/>
          </w:tcPr>
          <w:p w14:paraId="576E122D" w14:textId="77777777" w:rsidR="00545A71" w:rsidRPr="00686AC3" w:rsidRDefault="00545A71" w:rsidP="007A7372">
            <w:pPr>
              <w:jc w:val="center"/>
              <w:rPr>
                <w:color w:val="000000"/>
                <w:sz w:val="16"/>
                <w:szCs w:val="16"/>
              </w:rPr>
            </w:pPr>
            <w:r w:rsidRPr="00686AC3">
              <w:rPr>
                <w:color w:val="000000"/>
                <w:sz w:val="16"/>
                <w:szCs w:val="16"/>
              </w:rPr>
              <w:t>NR</w:t>
            </w:r>
          </w:p>
        </w:tc>
        <w:tc>
          <w:tcPr>
            <w:tcW w:w="2278" w:type="dxa"/>
            <w:shd w:val="clear" w:color="auto" w:fill="auto"/>
            <w:noWrap/>
            <w:vAlign w:val="center"/>
            <w:hideMark/>
          </w:tcPr>
          <w:p w14:paraId="34BC2C9A" w14:textId="77777777" w:rsidR="00545A71" w:rsidRPr="00686AC3" w:rsidRDefault="00545A71" w:rsidP="007A7372">
            <w:pPr>
              <w:jc w:val="center"/>
              <w:rPr>
                <w:sz w:val="16"/>
                <w:szCs w:val="16"/>
              </w:rPr>
            </w:pPr>
            <w:r w:rsidRPr="00686AC3">
              <w:rPr>
                <w:color w:val="000000"/>
                <w:sz w:val="16"/>
                <w:szCs w:val="16"/>
              </w:rPr>
              <w:t>NR</w:t>
            </w:r>
          </w:p>
        </w:tc>
        <w:tc>
          <w:tcPr>
            <w:tcW w:w="1057" w:type="dxa"/>
            <w:shd w:val="clear" w:color="auto" w:fill="auto"/>
            <w:noWrap/>
            <w:vAlign w:val="center"/>
            <w:hideMark/>
          </w:tcPr>
          <w:p w14:paraId="3207EB22" w14:textId="34DF0108" w:rsidR="00545A71" w:rsidRPr="00686AC3" w:rsidRDefault="00545A71" w:rsidP="007A7372">
            <w:pPr>
              <w:jc w:val="center"/>
              <w:rPr>
                <w:sz w:val="16"/>
                <w:szCs w:val="16"/>
              </w:rPr>
            </w:pPr>
            <w:r w:rsidRPr="00686AC3">
              <w:rPr>
                <w:sz w:val="16"/>
                <w:szCs w:val="16"/>
              </w:rPr>
              <w:fldChar w:fldCharType="begin" w:fldLock="1"/>
            </w:r>
            <w:r w:rsidR="00D11AD8">
              <w:rPr>
                <w:sz w:val="16"/>
                <w:szCs w:val="16"/>
              </w:rPr>
              <w:instrText>ADDIN CSL_CITATION {"citationItems":[{"id":"ITEM-1","itemData":{"DOI":"10.1016/j.watres.2010.05.010","ISSN":"00431354","PMID":"20542311","abstract":"From 2002 to 2010 inclusive we monitored concentrations of arsenic (As) and major ions (Ca, Mg, Sr, Na, K, Fe, Mn, Cl, and SO4) in groundwater from 14 domestic wells and three piezometer nests in a shallow aquifer (&lt;60 m depth), and 3 wells in a deep aquifer (&gt;70 m depth), in southern West Bengal, India. In the deep aquifer, concentrations of As did not change over time despite increases in the concentration of Fe in two wells. The shallow aquifer occurs in two sedimentological settings: palaeo-channel and palaeo-interfluve. At the top of the shallow aquifer of the palaeo-channel, decreases in all constituent concentrations with time, and an 3H/3He age of 1.4 years, proves that the aquifer is beginning to be flushed of pollutants. In As-polluted groundwater (&gt;50 μg/L As) tapped from deeper grey sands of the shallow, palaeo-channel, aquifer, concentrations of As were mostly stable over time, but both increases and decreases occurred with time in response to downward migration of the chemically-stratified water column. In groundwater tapped from Pleistocene brown sands, the concentration of As remained either low and stable (&lt;2 μg/L As), or increased at rates up to 34 μg/L per year. The increases were caused by the flow of As-rich groundwater either downward into brown sand at the base of palaeo-channels, or laterally into a confined, unpolluted, palaeo-interfluvial, aquifer of brown sand that lies regionally beneath a palaeosol.Under the present pumping regime, the prognosis for As-pollution in the shallow aquifer is complex. Wells in brown sand may become polluted over timescales of as little as 2 years, whilst some wells tapping As-polluted groundwater from grey sand will become fit for potable use (&lt;50 μg/L) within a few decades. The evidence of flushing, and of declining As in some of the groundwater from palaeo-channels, which are conduits for recharge of the confined, As-free, palaeo-interfluve aquifer, and probably also the deeper aquifer, offers hopes that the spread of As-pollution will be limited. © 2010.","author":[{"dropping-particle":"","family":"McArthur","given":"J. M.","non-dropping-particle":"","parse-names":false,"suffix":""},{"dropping-particle":"","family":"Banerjee","given":"D. M.","non-dropping-particle":"","parse-names":false,"suffix":""},{"dropping-particle":"","family":"Sengupta","given":"S.","non-dropping-particle":"","parse-names":false,"suffix":""},{"dropping-particle":"","family":"Ravenscroft","given":"P.","non-dropping-particle":"","parse-names":false,"suffix":""},{"dropping-particle":"","family":"Klump","given":"S.","non-dropping-particle":"","parse-names":false,"suffix":""},{"dropping-particle":"","family":"Sarkar","given":"A.","non-dropping-particle":"","parse-names":false,"suffix":""},{"dropping-particle":"","family":"Disch","given":"B.","non-dropping-particle":"","parse-names":false,"suffix":""},{"dropping-particle":"","family":"Kipfer","given":"R.","non-dropping-particle":"","parse-names":false,"suffix":""}],"container-title":"Water Research","id":"ITEM-1","issue":"14","issued":{"date-parts":[["2010","7","1"]]},"page":"4171-4185","publisher":"Elsevier Ltd","title":"Migration of As, and 3H/3He ages, in groundwater from West Bengal: Implications for monitoring","type":"article-journal","volume":"44"},"uris":["http://www.mendeley.com/documents/?uuid=23c21f4a-8d4e-38e0-bf7c-b80728903fd7"]}],"mendeley":{"formattedCitation":"(&lt;i&gt;39&lt;/i&gt;)","plainTextFormattedCitation":"(39)","previouslyFormattedCitation":"&lt;sup&gt;39&lt;/sup&gt;"},"properties":{"noteIndex":0},"schema":"https://github.com/citation-style-language/schema/raw/master/csl-citation.json"}</w:instrText>
            </w:r>
            <w:r w:rsidRPr="00686AC3">
              <w:rPr>
                <w:sz w:val="16"/>
                <w:szCs w:val="16"/>
              </w:rPr>
              <w:fldChar w:fldCharType="separate"/>
            </w:r>
            <w:r w:rsidR="00D11AD8" w:rsidRPr="00D11AD8">
              <w:rPr>
                <w:noProof/>
                <w:sz w:val="16"/>
                <w:szCs w:val="16"/>
              </w:rPr>
              <w:t>(</w:t>
            </w:r>
            <w:r w:rsidR="00D11AD8" w:rsidRPr="00D11AD8">
              <w:rPr>
                <w:i/>
                <w:noProof/>
                <w:sz w:val="16"/>
                <w:szCs w:val="16"/>
              </w:rPr>
              <w:t>39</w:t>
            </w:r>
            <w:r w:rsidR="00D11AD8" w:rsidRPr="00D11AD8">
              <w:rPr>
                <w:noProof/>
                <w:sz w:val="16"/>
                <w:szCs w:val="16"/>
              </w:rPr>
              <w:t>)</w:t>
            </w:r>
            <w:r w:rsidRPr="00686AC3">
              <w:rPr>
                <w:sz w:val="16"/>
                <w:szCs w:val="16"/>
              </w:rPr>
              <w:fldChar w:fldCharType="end"/>
            </w:r>
          </w:p>
        </w:tc>
      </w:tr>
      <w:tr w:rsidR="00545A71" w14:paraId="72B6F488" w14:textId="77777777" w:rsidTr="007A7372">
        <w:trPr>
          <w:trHeight w:val="320"/>
          <w:jc w:val="center"/>
        </w:trPr>
        <w:tc>
          <w:tcPr>
            <w:tcW w:w="1530" w:type="dxa"/>
            <w:shd w:val="clear" w:color="auto" w:fill="auto"/>
            <w:noWrap/>
            <w:vAlign w:val="center"/>
            <w:hideMark/>
          </w:tcPr>
          <w:p w14:paraId="108EF2BA" w14:textId="77777777" w:rsidR="00545A71" w:rsidRPr="00686AC3" w:rsidRDefault="00545A71" w:rsidP="007A7372">
            <w:pPr>
              <w:jc w:val="center"/>
              <w:rPr>
                <w:color w:val="000000"/>
                <w:sz w:val="16"/>
                <w:szCs w:val="16"/>
              </w:rPr>
            </w:pPr>
            <w:r w:rsidRPr="00686AC3">
              <w:rPr>
                <w:color w:val="000000"/>
                <w:sz w:val="16"/>
                <w:szCs w:val="16"/>
              </w:rPr>
              <w:t>Majumder et al</w:t>
            </w:r>
          </w:p>
        </w:tc>
        <w:tc>
          <w:tcPr>
            <w:tcW w:w="1645" w:type="dxa"/>
            <w:shd w:val="clear" w:color="auto" w:fill="auto"/>
            <w:noWrap/>
            <w:vAlign w:val="center"/>
            <w:hideMark/>
          </w:tcPr>
          <w:p w14:paraId="57027840" w14:textId="77777777" w:rsidR="00545A71" w:rsidRPr="00686AC3" w:rsidRDefault="00545A71" w:rsidP="007A7372">
            <w:pPr>
              <w:jc w:val="center"/>
              <w:rPr>
                <w:color w:val="000000"/>
                <w:sz w:val="16"/>
                <w:szCs w:val="16"/>
              </w:rPr>
            </w:pPr>
            <w:r w:rsidRPr="00686AC3">
              <w:rPr>
                <w:color w:val="000000"/>
                <w:sz w:val="16"/>
                <w:szCs w:val="16"/>
              </w:rPr>
              <w:t>2011</w:t>
            </w:r>
          </w:p>
        </w:tc>
        <w:tc>
          <w:tcPr>
            <w:tcW w:w="1680" w:type="dxa"/>
            <w:shd w:val="clear" w:color="auto" w:fill="auto"/>
            <w:noWrap/>
            <w:vAlign w:val="center"/>
            <w:hideMark/>
          </w:tcPr>
          <w:p w14:paraId="14CC0F50" w14:textId="77777777" w:rsidR="00545A71" w:rsidRPr="00686AC3" w:rsidRDefault="00545A71" w:rsidP="007A7372">
            <w:pPr>
              <w:jc w:val="center"/>
              <w:rPr>
                <w:color w:val="000000"/>
                <w:sz w:val="16"/>
                <w:szCs w:val="16"/>
              </w:rPr>
            </w:pPr>
            <w:r w:rsidRPr="00686AC3">
              <w:rPr>
                <w:color w:val="000000"/>
                <w:sz w:val="16"/>
                <w:szCs w:val="16"/>
              </w:rPr>
              <w:t>2006-2008</w:t>
            </w:r>
          </w:p>
        </w:tc>
        <w:tc>
          <w:tcPr>
            <w:tcW w:w="540" w:type="dxa"/>
          </w:tcPr>
          <w:p w14:paraId="73741E4A" w14:textId="77777777" w:rsidR="00545A71" w:rsidRPr="00686AC3" w:rsidRDefault="00545A71" w:rsidP="007A7372">
            <w:pPr>
              <w:jc w:val="center"/>
              <w:rPr>
                <w:color w:val="000000"/>
                <w:sz w:val="16"/>
                <w:szCs w:val="16"/>
              </w:rPr>
            </w:pPr>
            <w:r w:rsidRPr="00686AC3">
              <w:rPr>
                <w:color w:val="000000"/>
                <w:sz w:val="16"/>
                <w:szCs w:val="16"/>
              </w:rPr>
              <w:t>36</w:t>
            </w:r>
          </w:p>
        </w:tc>
        <w:tc>
          <w:tcPr>
            <w:tcW w:w="1800" w:type="dxa"/>
            <w:shd w:val="clear" w:color="auto" w:fill="auto"/>
            <w:noWrap/>
            <w:vAlign w:val="center"/>
            <w:hideMark/>
          </w:tcPr>
          <w:p w14:paraId="48BAFFDB" w14:textId="77777777" w:rsidR="00545A71" w:rsidRPr="00686AC3" w:rsidRDefault="00545A71" w:rsidP="007A7372">
            <w:pPr>
              <w:jc w:val="center"/>
              <w:rPr>
                <w:color w:val="000000"/>
                <w:sz w:val="16"/>
                <w:szCs w:val="16"/>
              </w:rPr>
            </w:pPr>
            <w:r w:rsidRPr="00686AC3">
              <w:rPr>
                <w:color w:val="000000"/>
                <w:sz w:val="16"/>
                <w:szCs w:val="16"/>
              </w:rPr>
              <w:t>NR</w:t>
            </w:r>
          </w:p>
        </w:tc>
        <w:tc>
          <w:tcPr>
            <w:tcW w:w="2278" w:type="dxa"/>
            <w:shd w:val="clear" w:color="auto" w:fill="auto"/>
            <w:noWrap/>
            <w:vAlign w:val="center"/>
            <w:hideMark/>
          </w:tcPr>
          <w:p w14:paraId="48F661E1" w14:textId="77777777" w:rsidR="00545A71" w:rsidRPr="00686AC3" w:rsidRDefault="00545A71" w:rsidP="007A7372">
            <w:pPr>
              <w:jc w:val="center"/>
              <w:rPr>
                <w:sz w:val="16"/>
                <w:szCs w:val="16"/>
              </w:rPr>
            </w:pPr>
            <w:r w:rsidRPr="00686AC3">
              <w:rPr>
                <w:color w:val="000000"/>
                <w:sz w:val="16"/>
                <w:szCs w:val="16"/>
              </w:rPr>
              <w:t>NR</w:t>
            </w:r>
          </w:p>
        </w:tc>
        <w:tc>
          <w:tcPr>
            <w:tcW w:w="1057" w:type="dxa"/>
            <w:shd w:val="clear" w:color="auto" w:fill="auto"/>
            <w:noWrap/>
            <w:vAlign w:val="center"/>
            <w:hideMark/>
          </w:tcPr>
          <w:p w14:paraId="2F15CF1A" w14:textId="519ECFBA" w:rsidR="00545A71" w:rsidRPr="00686AC3" w:rsidRDefault="00545A71" w:rsidP="007A7372">
            <w:pPr>
              <w:jc w:val="center"/>
              <w:rPr>
                <w:sz w:val="16"/>
                <w:szCs w:val="16"/>
              </w:rPr>
            </w:pPr>
            <w:r w:rsidRPr="00686AC3">
              <w:rPr>
                <w:sz w:val="16"/>
                <w:szCs w:val="16"/>
              </w:rPr>
              <w:fldChar w:fldCharType="begin" w:fldLock="1"/>
            </w:r>
            <w:r w:rsidR="00D11AD8">
              <w:rPr>
                <w:sz w:val="16"/>
                <w:szCs w:val="16"/>
              </w:rPr>
              <w:instrText>ADDIN CSL_CITATION {"citationItems":[{"id":"ITEM-1","itemData":{"DOI":"10.1007/s12665-011-0959-2","ISSN":"18666280","abstract":"A total number of 328 groundwater samples are analysed to evaluate the groundwater flow systems in Bengal Delta aquifers, Bangladesh using environmental isotope (2H, 18O, 13C, 3H, and 14C) techniques. A well-defined Local Meteoric Water Line (LMWL) δ2H = 7.7 δ18O + 10.7 ‰ is constructed applying linear correlation analyses to the monthly weighted rainfall isotopic compositions (δ18O and δ2H). The δ18O and δ2H concentrations of all groundwater samples in the study area are plotted more or less over the LMWL, which provides compelling evidence that all groundwaters are derived from rainfall and floodwater with a minor localized evaporation effects for the shallow groundwaters. Tritium concentration is observed in 40 samples out of 41 with values varying between 0.3 and 5.0 TU, which represents an evidence of young water recharge to the shallow and intermediate aquifers. A decreasing trend of 14C activity is associated with the heavier δ13C values, which indicates the presence of geochemical reactions affecting the 14C concentration along the groundwater flow system. Both vertical and lateral decrease of 14C activity toward down gradient show the presence of regional groundwater flow commencing from the unconfined aquifers, which discharges along the coastal regions. Finally, shallow, intermediate, and deep groundwater flow dynamics has revealed in the Bengal Delta aquifers, Bangladesh. © 2011 Springer-Verlag.","author":[{"dropping-particle":"","family":"Majumder","given":"Ratan K.","non-dropping-particle":"","parse-names":false,"suffix":""},{"dropping-particle":"","family":"Halim","given":"M. A.","non-dropping-particle":"","parse-names":false,"suffix":""},{"dropping-particle":"","family":"Saha","given":"B. B.","non-dropping-particle":"","parse-names":false,"suffix":""},{"dropping-particle":"","family":"Ikawa","given":"Reo","non-dropping-particle":"","parse-names":false,"suffix":""},{"dropping-particle":"","family":"Nakamura","given":"Toshio","non-dropping-particle":"","parse-names":false,"suffix":""},{"dropping-particle":"","family":"Kagabu","given":"Makoto","non-dropping-particle":"","parse-names":false,"suffix":""},{"dropping-particle":"","family":"Shimada","given":"Jun","non-dropping-particle":"","parse-names":false,"suffix":""}],"container-title":"Environmental Earth Sciences","id":"ITEM-1","issue":"5","issued":{"date-parts":[["2011","11"]]},"page":"1343-1352","title":"Groundwater flow system in Bengal Delta, Bangladesh revealed by environmental isotopes","type":"article-journal","volume":"64"},"uris":["http://www.mendeley.com/documents/?uuid=73da91f3-10cf-34f3-9640-94a425fa3f5a"]}],"mendeley":{"formattedCitation":"(&lt;i&gt;22&lt;/i&gt;)","plainTextFormattedCitation":"(22)","previouslyFormattedCitation":"&lt;sup&gt;22&lt;/sup&gt;"},"properties":{"noteIndex":0},"schema":"https://github.com/citation-style-language/schema/raw/master/csl-citation.json"}</w:instrText>
            </w:r>
            <w:r w:rsidRPr="00686AC3">
              <w:rPr>
                <w:sz w:val="16"/>
                <w:szCs w:val="16"/>
              </w:rPr>
              <w:fldChar w:fldCharType="separate"/>
            </w:r>
            <w:r w:rsidR="00D11AD8" w:rsidRPr="00D11AD8">
              <w:rPr>
                <w:noProof/>
                <w:sz w:val="16"/>
                <w:szCs w:val="16"/>
              </w:rPr>
              <w:t>(</w:t>
            </w:r>
            <w:r w:rsidR="00D11AD8" w:rsidRPr="00D11AD8">
              <w:rPr>
                <w:i/>
                <w:noProof/>
                <w:sz w:val="16"/>
                <w:szCs w:val="16"/>
              </w:rPr>
              <w:t>22</w:t>
            </w:r>
            <w:r w:rsidR="00D11AD8" w:rsidRPr="00D11AD8">
              <w:rPr>
                <w:noProof/>
                <w:sz w:val="16"/>
                <w:szCs w:val="16"/>
              </w:rPr>
              <w:t>)</w:t>
            </w:r>
            <w:r w:rsidRPr="00686AC3">
              <w:rPr>
                <w:sz w:val="16"/>
                <w:szCs w:val="16"/>
              </w:rPr>
              <w:fldChar w:fldCharType="end"/>
            </w:r>
          </w:p>
        </w:tc>
      </w:tr>
      <w:tr w:rsidR="00545A71" w14:paraId="63A1E99C" w14:textId="77777777" w:rsidTr="007A7372">
        <w:trPr>
          <w:trHeight w:val="320"/>
          <w:jc w:val="center"/>
        </w:trPr>
        <w:tc>
          <w:tcPr>
            <w:tcW w:w="1530" w:type="dxa"/>
            <w:shd w:val="clear" w:color="auto" w:fill="auto"/>
            <w:noWrap/>
            <w:vAlign w:val="center"/>
            <w:hideMark/>
          </w:tcPr>
          <w:p w14:paraId="6FCFE84F" w14:textId="77777777" w:rsidR="00545A71" w:rsidRPr="00686AC3" w:rsidRDefault="00545A71" w:rsidP="007A7372">
            <w:pPr>
              <w:jc w:val="center"/>
              <w:rPr>
                <w:color w:val="000000"/>
                <w:sz w:val="16"/>
                <w:szCs w:val="16"/>
              </w:rPr>
            </w:pPr>
            <w:r w:rsidRPr="00686AC3">
              <w:rPr>
                <w:color w:val="000000"/>
                <w:sz w:val="16"/>
                <w:szCs w:val="16"/>
              </w:rPr>
              <w:t>Hossain et al</w:t>
            </w:r>
          </w:p>
        </w:tc>
        <w:tc>
          <w:tcPr>
            <w:tcW w:w="1645" w:type="dxa"/>
            <w:shd w:val="clear" w:color="auto" w:fill="auto"/>
            <w:noWrap/>
            <w:vAlign w:val="center"/>
            <w:hideMark/>
          </w:tcPr>
          <w:p w14:paraId="161015EA" w14:textId="77777777" w:rsidR="00545A71" w:rsidRPr="00686AC3" w:rsidRDefault="00545A71" w:rsidP="007A7372">
            <w:pPr>
              <w:jc w:val="center"/>
              <w:rPr>
                <w:color w:val="000000"/>
                <w:sz w:val="16"/>
                <w:szCs w:val="16"/>
              </w:rPr>
            </w:pPr>
            <w:r w:rsidRPr="00686AC3">
              <w:rPr>
                <w:color w:val="000000"/>
                <w:sz w:val="16"/>
                <w:szCs w:val="16"/>
              </w:rPr>
              <w:t>2014</w:t>
            </w:r>
          </w:p>
        </w:tc>
        <w:tc>
          <w:tcPr>
            <w:tcW w:w="1680" w:type="dxa"/>
            <w:shd w:val="clear" w:color="auto" w:fill="auto"/>
            <w:noWrap/>
            <w:vAlign w:val="center"/>
            <w:hideMark/>
          </w:tcPr>
          <w:p w14:paraId="02256530" w14:textId="77777777" w:rsidR="00545A71" w:rsidRPr="00686AC3" w:rsidRDefault="00545A71" w:rsidP="007A7372">
            <w:pPr>
              <w:jc w:val="center"/>
              <w:rPr>
                <w:color w:val="000000"/>
                <w:sz w:val="16"/>
                <w:szCs w:val="16"/>
              </w:rPr>
            </w:pPr>
          </w:p>
        </w:tc>
        <w:tc>
          <w:tcPr>
            <w:tcW w:w="540" w:type="dxa"/>
          </w:tcPr>
          <w:p w14:paraId="6FA7983C" w14:textId="77777777" w:rsidR="00545A71" w:rsidRPr="00686AC3" w:rsidRDefault="00545A71" w:rsidP="007A7372">
            <w:pPr>
              <w:jc w:val="center"/>
              <w:rPr>
                <w:color w:val="000000"/>
                <w:sz w:val="16"/>
                <w:szCs w:val="16"/>
              </w:rPr>
            </w:pPr>
            <w:r w:rsidRPr="00686AC3">
              <w:rPr>
                <w:color w:val="000000"/>
                <w:sz w:val="16"/>
                <w:szCs w:val="16"/>
              </w:rPr>
              <w:t>14</w:t>
            </w:r>
          </w:p>
        </w:tc>
        <w:tc>
          <w:tcPr>
            <w:tcW w:w="1800" w:type="dxa"/>
            <w:shd w:val="clear" w:color="auto" w:fill="auto"/>
            <w:noWrap/>
            <w:vAlign w:val="center"/>
            <w:hideMark/>
          </w:tcPr>
          <w:p w14:paraId="0B881FAD" w14:textId="77777777" w:rsidR="00545A71" w:rsidRPr="00686AC3" w:rsidRDefault="00545A71" w:rsidP="007A7372">
            <w:pPr>
              <w:jc w:val="center"/>
              <w:rPr>
                <w:sz w:val="16"/>
                <w:szCs w:val="16"/>
              </w:rPr>
            </w:pPr>
            <w:r w:rsidRPr="00686AC3">
              <w:rPr>
                <w:color w:val="000000"/>
                <w:sz w:val="16"/>
                <w:szCs w:val="16"/>
              </w:rPr>
              <w:t>NR</w:t>
            </w:r>
          </w:p>
        </w:tc>
        <w:tc>
          <w:tcPr>
            <w:tcW w:w="2278" w:type="dxa"/>
            <w:shd w:val="clear" w:color="auto" w:fill="auto"/>
            <w:noWrap/>
            <w:vAlign w:val="center"/>
            <w:hideMark/>
          </w:tcPr>
          <w:p w14:paraId="0033ED38" w14:textId="77777777" w:rsidR="00545A71" w:rsidRPr="00686AC3" w:rsidRDefault="00545A71" w:rsidP="007A7372">
            <w:pPr>
              <w:jc w:val="center"/>
              <w:rPr>
                <w:sz w:val="16"/>
                <w:szCs w:val="16"/>
              </w:rPr>
            </w:pPr>
            <w:r w:rsidRPr="00686AC3">
              <w:rPr>
                <w:color w:val="000000"/>
                <w:sz w:val="16"/>
                <w:szCs w:val="16"/>
              </w:rPr>
              <w:t>NR</w:t>
            </w:r>
          </w:p>
        </w:tc>
        <w:tc>
          <w:tcPr>
            <w:tcW w:w="1057" w:type="dxa"/>
            <w:shd w:val="clear" w:color="auto" w:fill="auto"/>
            <w:noWrap/>
            <w:vAlign w:val="center"/>
            <w:hideMark/>
          </w:tcPr>
          <w:p w14:paraId="632027C0" w14:textId="1213E0DB" w:rsidR="00545A71" w:rsidRPr="00686AC3" w:rsidRDefault="00545A71" w:rsidP="007A7372">
            <w:pPr>
              <w:jc w:val="center"/>
              <w:rPr>
                <w:sz w:val="16"/>
                <w:szCs w:val="16"/>
              </w:rPr>
            </w:pPr>
            <w:r w:rsidRPr="00686AC3">
              <w:rPr>
                <w:sz w:val="16"/>
                <w:szCs w:val="16"/>
              </w:rPr>
              <w:fldChar w:fldCharType="begin" w:fldLock="1"/>
            </w:r>
            <w:r w:rsidR="00D11AD8">
              <w:rPr>
                <w:sz w:val="16"/>
                <w:szCs w:val="16"/>
              </w:rPr>
              <w:instrText>ADDIN CSL_CITATION {"citationItems":[{"id":"ITEM-1","itemData":{"DOI":"10.3329/jbas.v38i2.21338","ISSN":"0378-8121","abstract":"Groundwater of Chapai Nawabganj town has been studied using hydrogeological, hydrochemical and environmental isotope (?18O, ?2H, ?13C, 3H and 14C) data. Aquifer underneath the study area is divided into unconfined to semi-confined Holocene alluvial floodplain aquifer and confined Plio-Pleistocene Dupi Tila sandstone aquifer. Chemical composition of groundwater is characterized by high concentrations of Mg2+, Na+, Ca2+, HCO3-, FeTotal, and low concentrations of Mn2+, NO3 - and PO4 3-. Groundwater samples are mainly Mg-Ca-HCO3 and Na-Mg-Ca-HCO3 types and Na-Mg-Ca-Cl-HCO3 type of water is also found at some places. Based on Cl- and SO42- concentrations groundwater is normal chloride and normal sulphate water, respectively. In terms of SAR and EC values water is excellent for irrigation purpose. The isotopic composition also suggests some segregation of groundwater from the different aquifers and indicates different ages of recharge. DOI: http://dx.doi.org/10.3329/jbas.v38i2.21338 Journal of Bangladesh Academy of Sciences, Vol. 38, No. 2, 131-142, 2014","author":[{"dropping-particle":"","family":"Hossain","given":"Zakir","non-dropping-particle":"","parse-names":false,"suffix":""},{"dropping-particle":"","family":"Bashar","given":"Khairul","non-dropping-particle":"","parse-names":false,"suffix":""},{"dropping-particle":"","family":"Majumder","given":"Ratan Kumar","non-dropping-particle":"","parse-names":false,"suffix":""},{"dropping-particle":"","family":"Islam","given":"Mazeda","non-dropping-particle":"","parse-names":false,"suffix":""},{"dropping-particle":"","family":"Sarker","given":"Mizanur Rahman","non-dropping-particle":"","parse-names":false,"suffix":""}],"container-title":"Journal of Bangladesh Academy of Sciences","id":"ITEM-1","issue":"2","issued":{"date-parts":[["2014","12","28"]]},"page":"131-142","publisher":"Bangladesh Journals Online (JOL)","title":"Hydrogeological investigations of Chapai Nawabganj town of Nawabganj district, North-West Bangladesh using isotope and other techniques","type":"article-journal","volume":"38"},"uris":["http://www.mendeley.com/documents/?uuid=88a205c7-f6c7-3c1a-bb90-580664e99609"]}],"mendeley":{"formattedCitation":"(&lt;i&gt;40&lt;/i&gt;)","plainTextFormattedCitation":"(40)","previouslyFormattedCitation":"&lt;sup&gt;40&lt;/sup&gt;"},"properties":{"noteIndex":0},"schema":"https://github.com/citation-style-language/schema/raw/master/csl-citation.json"}</w:instrText>
            </w:r>
            <w:r w:rsidRPr="00686AC3">
              <w:rPr>
                <w:sz w:val="16"/>
                <w:szCs w:val="16"/>
              </w:rPr>
              <w:fldChar w:fldCharType="separate"/>
            </w:r>
            <w:r w:rsidR="00D11AD8" w:rsidRPr="00D11AD8">
              <w:rPr>
                <w:noProof/>
                <w:sz w:val="16"/>
                <w:szCs w:val="16"/>
              </w:rPr>
              <w:t>(</w:t>
            </w:r>
            <w:r w:rsidR="00D11AD8" w:rsidRPr="00D11AD8">
              <w:rPr>
                <w:i/>
                <w:noProof/>
                <w:sz w:val="16"/>
                <w:szCs w:val="16"/>
              </w:rPr>
              <w:t>40</w:t>
            </w:r>
            <w:r w:rsidR="00D11AD8" w:rsidRPr="00D11AD8">
              <w:rPr>
                <w:noProof/>
                <w:sz w:val="16"/>
                <w:szCs w:val="16"/>
              </w:rPr>
              <w:t>)</w:t>
            </w:r>
            <w:r w:rsidRPr="00686AC3">
              <w:rPr>
                <w:sz w:val="16"/>
                <w:szCs w:val="16"/>
              </w:rPr>
              <w:fldChar w:fldCharType="end"/>
            </w:r>
          </w:p>
        </w:tc>
      </w:tr>
      <w:tr w:rsidR="00545A71" w14:paraId="1078ACAC" w14:textId="77777777" w:rsidTr="007A7372">
        <w:trPr>
          <w:trHeight w:val="320"/>
          <w:jc w:val="center"/>
        </w:trPr>
        <w:tc>
          <w:tcPr>
            <w:tcW w:w="1530" w:type="dxa"/>
            <w:shd w:val="clear" w:color="auto" w:fill="auto"/>
            <w:noWrap/>
            <w:vAlign w:val="center"/>
            <w:hideMark/>
          </w:tcPr>
          <w:p w14:paraId="558BED5F" w14:textId="77777777" w:rsidR="00545A71" w:rsidRPr="00686AC3" w:rsidRDefault="00545A71" w:rsidP="007A7372">
            <w:pPr>
              <w:jc w:val="center"/>
              <w:rPr>
                <w:color w:val="000000"/>
                <w:sz w:val="16"/>
                <w:szCs w:val="16"/>
              </w:rPr>
            </w:pPr>
            <w:r w:rsidRPr="00686AC3">
              <w:rPr>
                <w:color w:val="000000"/>
                <w:sz w:val="16"/>
                <w:szCs w:val="16"/>
              </w:rPr>
              <w:t xml:space="preserve">Mihajalov et al </w:t>
            </w:r>
          </w:p>
        </w:tc>
        <w:tc>
          <w:tcPr>
            <w:tcW w:w="1645" w:type="dxa"/>
            <w:shd w:val="clear" w:color="auto" w:fill="auto"/>
            <w:noWrap/>
            <w:vAlign w:val="center"/>
            <w:hideMark/>
          </w:tcPr>
          <w:p w14:paraId="741E3E55" w14:textId="77777777" w:rsidR="00545A71" w:rsidRPr="00686AC3" w:rsidRDefault="00545A71" w:rsidP="007A7372">
            <w:pPr>
              <w:jc w:val="center"/>
              <w:rPr>
                <w:color w:val="000000"/>
                <w:sz w:val="16"/>
                <w:szCs w:val="16"/>
              </w:rPr>
            </w:pPr>
            <w:r w:rsidRPr="00686AC3">
              <w:rPr>
                <w:color w:val="000000"/>
                <w:sz w:val="16"/>
                <w:szCs w:val="16"/>
              </w:rPr>
              <w:t>2016</w:t>
            </w:r>
          </w:p>
        </w:tc>
        <w:tc>
          <w:tcPr>
            <w:tcW w:w="1680" w:type="dxa"/>
            <w:shd w:val="clear" w:color="auto" w:fill="auto"/>
            <w:noWrap/>
            <w:vAlign w:val="center"/>
            <w:hideMark/>
          </w:tcPr>
          <w:p w14:paraId="474A4780" w14:textId="77777777" w:rsidR="00545A71" w:rsidRPr="00686AC3" w:rsidRDefault="00545A71" w:rsidP="007A7372">
            <w:pPr>
              <w:jc w:val="center"/>
              <w:rPr>
                <w:color w:val="000000"/>
                <w:sz w:val="16"/>
                <w:szCs w:val="16"/>
              </w:rPr>
            </w:pPr>
            <w:r w:rsidRPr="00686AC3">
              <w:rPr>
                <w:color w:val="000000"/>
                <w:sz w:val="16"/>
                <w:szCs w:val="16"/>
              </w:rPr>
              <w:t>2003-2004, 2008</w:t>
            </w:r>
          </w:p>
        </w:tc>
        <w:tc>
          <w:tcPr>
            <w:tcW w:w="540" w:type="dxa"/>
          </w:tcPr>
          <w:p w14:paraId="07A5E6D3" w14:textId="77777777" w:rsidR="00545A71" w:rsidRPr="00686AC3" w:rsidRDefault="00545A71" w:rsidP="007A7372">
            <w:pPr>
              <w:jc w:val="center"/>
              <w:rPr>
                <w:color w:val="000000"/>
                <w:sz w:val="16"/>
                <w:szCs w:val="16"/>
              </w:rPr>
            </w:pPr>
            <w:r w:rsidRPr="00686AC3">
              <w:rPr>
                <w:color w:val="000000"/>
                <w:sz w:val="16"/>
                <w:szCs w:val="16"/>
              </w:rPr>
              <w:t>76</w:t>
            </w:r>
          </w:p>
        </w:tc>
        <w:tc>
          <w:tcPr>
            <w:tcW w:w="1800" w:type="dxa"/>
            <w:shd w:val="clear" w:color="auto" w:fill="auto"/>
            <w:noWrap/>
            <w:vAlign w:val="center"/>
            <w:hideMark/>
          </w:tcPr>
          <w:p w14:paraId="0294E0A8" w14:textId="77777777" w:rsidR="00545A71" w:rsidRPr="00686AC3" w:rsidRDefault="00545A71" w:rsidP="007A7372">
            <w:pPr>
              <w:jc w:val="center"/>
              <w:rPr>
                <w:color w:val="000000"/>
                <w:sz w:val="16"/>
                <w:szCs w:val="16"/>
              </w:rPr>
            </w:pPr>
            <w:r w:rsidRPr="00686AC3">
              <w:rPr>
                <w:color w:val="000000"/>
                <w:sz w:val="16"/>
                <w:szCs w:val="16"/>
              </w:rPr>
              <w:t>0.05-0.1 TU</w:t>
            </w:r>
          </w:p>
        </w:tc>
        <w:tc>
          <w:tcPr>
            <w:tcW w:w="2278" w:type="dxa"/>
            <w:shd w:val="clear" w:color="auto" w:fill="auto"/>
            <w:noWrap/>
            <w:vAlign w:val="center"/>
            <w:hideMark/>
          </w:tcPr>
          <w:p w14:paraId="247B42C2" w14:textId="77777777" w:rsidR="00545A71" w:rsidRPr="00686AC3" w:rsidRDefault="00545A71" w:rsidP="007A7372">
            <w:pPr>
              <w:jc w:val="center"/>
              <w:rPr>
                <w:color w:val="000000"/>
                <w:sz w:val="16"/>
                <w:szCs w:val="16"/>
              </w:rPr>
            </w:pPr>
            <w:r w:rsidRPr="00686AC3">
              <w:rPr>
                <w:rFonts w:ascii="Calibri" w:hAnsi="Calibri" w:cs="Calibri"/>
                <w:color w:val="000000"/>
                <w:sz w:val="16"/>
                <w:szCs w:val="16"/>
              </w:rPr>
              <w:t>﻿</w:t>
            </w:r>
            <w:r w:rsidRPr="00686AC3">
              <w:rPr>
                <w:color w:val="000000"/>
                <w:sz w:val="16"/>
                <w:szCs w:val="16"/>
              </w:rPr>
              <w:t xml:space="preserve">0.02–0.16 TU </w:t>
            </w:r>
          </w:p>
        </w:tc>
        <w:tc>
          <w:tcPr>
            <w:tcW w:w="1057" w:type="dxa"/>
            <w:shd w:val="clear" w:color="auto" w:fill="auto"/>
            <w:noWrap/>
            <w:vAlign w:val="center"/>
            <w:hideMark/>
          </w:tcPr>
          <w:p w14:paraId="27BCC906" w14:textId="615E8511" w:rsidR="00545A71" w:rsidRPr="00686AC3" w:rsidRDefault="00545A71" w:rsidP="007A7372">
            <w:pPr>
              <w:jc w:val="center"/>
              <w:rPr>
                <w:color w:val="000000"/>
                <w:sz w:val="16"/>
                <w:szCs w:val="16"/>
              </w:rPr>
            </w:pPr>
            <w:r w:rsidRPr="00686AC3">
              <w:rPr>
                <w:color w:val="000000"/>
                <w:sz w:val="16"/>
                <w:szCs w:val="16"/>
              </w:rPr>
              <w:fldChar w:fldCharType="begin" w:fldLock="1"/>
            </w:r>
            <w:r w:rsidR="00D11AD8">
              <w:rPr>
                <w:color w:val="000000"/>
                <w:sz w:val="16"/>
                <w:szCs w:val="16"/>
              </w:rPr>
              <w:instrText>ADDIN CSL_CITATION {"citationItems":[{"id":"ITEM-1","itemData":{"DOI":"10.1002/2015WR018224","ISSN":"00431397","abstract":"More than 100,000 community wells have been installed in the 150–300 m depth range throughout Bangladesh over the past decade to provide low-arsenic drinking water (&lt;10 µg/L As), but little is known about how aquifers tapped by these wells are recharged. Within a 25 km2 area of Bangladesh east of Dhaka, groundwater from 65 low-As wells in the 35–240 m depth range was sampled for tritium (3H), oxygen and hydrogen isotopes of water (18O/16O and 2H/1H), carbon isotope ratios in dissolved inorganic carbon (DIC, 14C/12C and 13C/12C), noble gases, and a suite of dissolved constituents, including major cations, anions, and trace elements. At shallow depths (&lt;90 m), 24 out of 42 wells contain detectable 3H of up to 6 TU, indicating the presence of groundwater recharged within 60 years. Radiocarbon (14C) ages in DIC range from modern to 10 kyr. In the 90–240 m depth range, however, only five wells shallower than 150 m contain detectable 3H (&lt;0.3 TU) and 14C ages of DIC cluster around 10 kyr. The radiogenic helium (4He) content in groundwater increases linearly across the entire range of 14C ages at a rate of 2.5 × 10−12 ccSTP 4He g−1 yr−1. Within the samples from depths &gt;90 m, systematic relationships between 18O/16O, 2H/1H, 13C/12C, and 14C/12C, and variations in noble gas temperatures, suggest that changes in monsoon intensity and vegetation cover occurred at the onset of the Holocene, when the sampled water was recharged. Thus, the deeper low-As aquifers remain relatively isolated from the shallow, high-As aquifer.","author":[{"dropping-particle":"","family":"Mihajlov","given":"I.","non-dropping-particle":"","parse-names":false,"suffix":""},{"dropping-particle":"","family":"Stute","given":"M.","non-dropping-particle":"","parse-names":false,"suffix":""},{"dropping-particle":"","family":"Schlosser","given":"P.","non-dropping-particle":"","parse-names":false,"suffix":""},{"dropping-particle":"","family":"Mailloux","given":"B. J.","non-dropping-particle":"","parse-names":false,"suffix":""},{"dropping-particle":"","family":"Zheng","given":"Y.","non-dropping-particle":"","parse-names":false,"suffix":""},{"dropping-particle":"","family":"Choudhury","given":"I.","non-dropping-particle":"","parse-names":false,"suffix":""},{"dropping-particle":"","family":"Ahmed","given":"K. M.","non-dropping-particle":"","parse-names":false,"suffix":""},{"dropping-particle":"","family":"Geen","given":"A.","non-dropping-particle":"van","parse-names":false,"suffix":""}],"container-title":"Water Resources Research","id":"ITEM-1","issue":"5","issued":{"date-parts":[["2016","5","1"]]},"page":"3324-3349","publisher":"Blackwell Publishing Ltd","title":"Recharge of low-arsenic aquifers tapped by community wells in Araihazar, Bangladesh, inferred from environmental isotopes","type":"article-journal","volume":"52"},"uris":["http://www.mendeley.com/documents/?uuid=ec3087f1-7c97-397f-87ff-8526031b1d31"]}],"mendeley":{"formattedCitation":"(&lt;i&gt;7&lt;/i&gt;)","plainTextFormattedCitation":"(7)","previouslyFormattedCitation":"&lt;sup&gt;7&lt;/sup&gt;"},"properties":{"noteIndex":0},"schema":"https://github.com/citation-style-language/schema/raw/master/csl-citation.json"}</w:instrText>
            </w:r>
            <w:r w:rsidRPr="00686AC3">
              <w:rPr>
                <w:color w:val="000000"/>
                <w:sz w:val="16"/>
                <w:szCs w:val="16"/>
              </w:rPr>
              <w:fldChar w:fldCharType="separate"/>
            </w:r>
            <w:r w:rsidR="00D11AD8" w:rsidRPr="00D11AD8">
              <w:rPr>
                <w:noProof/>
                <w:color w:val="000000"/>
                <w:sz w:val="16"/>
                <w:szCs w:val="16"/>
              </w:rPr>
              <w:t>(</w:t>
            </w:r>
            <w:r w:rsidR="00D11AD8" w:rsidRPr="00D11AD8">
              <w:rPr>
                <w:i/>
                <w:noProof/>
                <w:color w:val="000000"/>
                <w:sz w:val="16"/>
                <w:szCs w:val="16"/>
              </w:rPr>
              <w:t>7</w:t>
            </w:r>
            <w:r w:rsidR="00D11AD8" w:rsidRPr="00D11AD8">
              <w:rPr>
                <w:noProof/>
                <w:color w:val="000000"/>
                <w:sz w:val="16"/>
                <w:szCs w:val="16"/>
              </w:rPr>
              <w:t>)</w:t>
            </w:r>
            <w:r w:rsidRPr="00686AC3">
              <w:rPr>
                <w:color w:val="000000"/>
                <w:sz w:val="16"/>
                <w:szCs w:val="16"/>
              </w:rPr>
              <w:fldChar w:fldCharType="end"/>
            </w:r>
          </w:p>
        </w:tc>
      </w:tr>
      <w:tr w:rsidR="00545A71" w14:paraId="2E171705" w14:textId="77777777" w:rsidTr="007A7372">
        <w:trPr>
          <w:trHeight w:val="320"/>
          <w:jc w:val="center"/>
        </w:trPr>
        <w:tc>
          <w:tcPr>
            <w:tcW w:w="1530" w:type="dxa"/>
            <w:shd w:val="clear" w:color="auto" w:fill="auto"/>
            <w:noWrap/>
            <w:vAlign w:val="center"/>
            <w:hideMark/>
          </w:tcPr>
          <w:p w14:paraId="0084EC86" w14:textId="77777777" w:rsidR="00545A71" w:rsidRPr="00686AC3" w:rsidRDefault="00545A71" w:rsidP="007A7372">
            <w:pPr>
              <w:jc w:val="center"/>
              <w:rPr>
                <w:color w:val="000000"/>
                <w:sz w:val="16"/>
                <w:szCs w:val="16"/>
              </w:rPr>
            </w:pPr>
            <w:r w:rsidRPr="00686AC3">
              <w:rPr>
                <w:color w:val="000000"/>
                <w:sz w:val="16"/>
                <w:szCs w:val="16"/>
              </w:rPr>
              <w:t xml:space="preserve">Khan et al </w:t>
            </w:r>
          </w:p>
        </w:tc>
        <w:tc>
          <w:tcPr>
            <w:tcW w:w="1645" w:type="dxa"/>
            <w:shd w:val="clear" w:color="auto" w:fill="auto"/>
            <w:noWrap/>
            <w:vAlign w:val="center"/>
            <w:hideMark/>
          </w:tcPr>
          <w:p w14:paraId="06728057" w14:textId="77777777" w:rsidR="00545A71" w:rsidRPr="00686AC3" w:rsidRDefault="00545A71" w:rsidP="007A7372">
            <w:pPr>
              <w:jc w:val="center"/>
              <w:rPr>
                <w:color w:val="000000"/>
                <w:sz w:val="16"/>
                <w:szCs w:val="16"/>
              </w:rPr>
            </w:pPr>
            <w:r w:rsidRPr="00686AC3">
              <w:rPr>
                <w:color w:val="000000"/>
                <w:sz w:val="16"/>
                <w:szCs w:val="16"/>
              </w:rPr>
              <w:t>2019</w:t>
            </w:r>
          </w:p>
        </w:tc>
        <w:tc>
          <w:tcPr>
            <w:tcW w:w="1680" w:type="dxa"/>
            <w:shd w:val="clear" w:color="auto" w:fill="auto"/>
            <w:noWrap/>
            <w:vAlign w:val="center"/>
            <w:hideMark/>
          </w:tcPr>
          <w:p w14:paraId="71B22ACC" w14:textId="77777777" w:rsidR="00545A71" w:rsidRPr="00686AC3" w:rsidRDefault="00545A71" w:rsidP="007A7372">
            <w:pPr>
              <w:jc w:val="center"/>
              <w:rPr>
                <w:color w:val="000000"/>
                <w:sz w:val="16"/>
                <w:szCs w:val="16"/>
              </w:rPr>
            </w:pPr>
            <w:r w:rsidRPr="00686AC3">
              <w:rPr>
                <w:color w:val="000000"/>
                <w:sz w:val="16"/>
                <w:szCs w:val="16"/>
              </w:rPr>
              <w:t>2015-2016</w:t>
            </w:r>
          </w:p>
        </w:tc>
        <w:tc>
          <w:tcPr>
            <w:tcW w:w="540" w:type="dxa"/>
          </w:tcPr>
          <w:p w14:paraId="5B20CB5A" w14:textId="77777777" w:rsidR="00545A71" w:rsidRPr="00686AC3" w:rsidRDefault="00545A71" w:rsidP="007A7372">
            <w:pPr>
              <w:jc w:val="center"/>
              <w:rPr>
                <w:color w:val="000000"/>
                <w:sz w:val="16"/>
                <w:szCs w:val="16"/>
              </w:rPr>
            </w:pPr>
            <w:r w:rsidRPr="00686AC3">
              <w:rPr>
                <w:color w:val="000000"/>
                <w:sz w:val="16"/>
                <w:szCs w:val="16"/>
              </w:rPr>
              <w:t>14</w:t>
            </w:r>
          </w:p>
        </w:tc>
        <w:tc>
          <w:tcPr>
            <w:tcW w:w="1800" w:type="dxa"/>
            <w:shd w:val="clear" w:color="auto" w:fill="auto"/>
            <w:noWrap/>
            <w:vAlign w:val="center"/>
            <w:hideMark/>
          </w:tcPr>
          <w:p w14:paraId="14262439" w14:textId="77777777" w:rsidR="00545A71" w:rsidRPr="00686AC3" w:rsidRDefault="00545A71" w:rsidP="007A7372">
            <w:pPr>
              <w:jc w:val="center"/>
              <w:rPr>
                <w:color w:val="000000"/>
                <w:sz w:val="16"/>
                <w:szCs w:val="16"/>
              </w:rPr>
            </w:pPr>
            <w:r w:rsidRPr="00686AC3">
              <w:rPr>
                <w:color w:val="000000"/>
                <w:sz w:val="16"/>
                <w:szCs w:val="16"/>
              </w:rPr>
              <w:t>0.01 TU</w:t>
            </w:r>
          </w:p>
        </w:tc>
        <w:tc>
          <w:tcPr>
            <w:tcW w:w="2278" w:type="dxa"/>
            <w:shd w:val="clear" w:color="auto" w:fill="auto"/>
            <w:noWrap/>
            <w:vAlign w:val="center"/>
            <w:hideMark/>
          </w:tcPr>
          <w:p w14:paraId="16486119" w14:textId="77777777" w:rsidR="00545A71" w:rsidRPr="00686AC3" w:rsidRDefault="00545A71" w:rsidP="007A7372">
            <w:pPr>
              <w:jc w:val="center"/>
              <w:rPr>
                <w:color w:val="000000"/>
                <w:sz w:val="16"/>
                <w:szCs w:val="16"/>
              </w:rPr>
            </w:pPr>
            <w:r w:rsidRPr="00686AC3">
              <w:rPr>
                <w:color w:val="000000"/>
                <w:sz w:val="16"/>
                <w:szCs w:val="16"/>
              </w:rPr>
              <w:t>0.01 TU</w:t>
            </w:r>
          </w:p>
        </w:tc>
        <w:tc>
          <w:tcPr>
            <w:tcW w:w="1057" w:type="dxa"/>
            <w:shd w:val="clear" w:color="auto" w:fill="auto"/>
            <w:noWrap/>
            <w:vAlign w:val="center"/>
            <w:hideMark/>
          </w:tcPr>
          <w:p w14:paraId="71C1AD02" w14:textId="15D39434" w:rsidR="00545A71" w:rsidRPr="00686AC3" w:rsidRDefault="00545A71" w:rsidP="007A7372">
            <w:pPr>
              <w:jc w:val="center"/>
              <w:rPr>
                <w:color w:val="000000"/>
                <w:sz w:val="16"/>
                <w:szCs w:val="16"/>
              </w:rPr>
            </w:pPr>
            <w:r w:rsidRPr="00686AC3">
              <w:rPr>
                <w:color w:val="000000"/>
                <w:sz w:val="16"/>
                <w:szCs w:val="16"/>
              </w:rPr>
              <w:fldChar w:fldCharType="begin" w:fldLock="1"/>
            </w:r>
            <w:r w:rsidR="00D11AD8">
              <w:rPr>
                <w:color w:val="000000"/>
                <w:sz w:val="16"/>
                <w:szCs w:val="16"/>
              </w:rPr>
              <w:instrText>ADDIN CSL_CITATION {"citationItems":[{"id":"ITEM-1","itemData":{"DOI":"10.1029/2019GL084767","ISSN":"19448007","abstract":"Elevated arsenic in Bengal Basin aquifers threatens human health. Most deep (&gt;150 m) groundwater in Pleistocene aquifers is low in arsenic; however higher concentrations have been reported in the southwest border region. Here, we establish that this extensive arsenic contamination at depth is not associated with well failure. A combination of geochemistry and flow modeling constrains the factors that contribute to arsenic contamination at depth in this region. Deep groundwater in the affected area is younger (2.0 ± 0.6 kyr) than deep, low-arsenic groundwater elsewhere (12.0 ± 4.0 kyr) based on radiocarbon. Stratigraphic data indicate pre-Holocene deposition of the contaminated aquifers, but few low-permeability strata. Numerical modeling indicates that this stratigraphic anomaly permits a natural flow system that transports shallow groundwater to depth. Thus, in areas lacking low-permeability layers, arsenic contamination can occur in pre-Holocene aquifers and is probably not an early sign of future deep contamination in regions with interbedded low-permeability strata.","author":[{"dropping-particle":"","family":"Khan","given":"M. R.","non-dropping-particle":"","parse-names":false,"suffix":""},{"dropping-particle":"","family":"Michael","given":"H. A.","non-dropping-particle":"","parse-names":false,"suffix":""},{"dropping-particle":"","family":"Nath","given":"B.","non-dropping-particle":"","parse-names":false,"suffix":""},{"dropping-particle":"","family":"Huhmann","given":"B. L.","non-dropping-particle":"","parse-names":false,"suffix":""},{"dropping-particle":"","family":"Harvey","given":"C. F.","non-dropping-particle":"","parse-names":false,"suffix":""},{"dropping-particle":"","family":"Mukherjee","given":"A.","non-dropping-particle":"","parse-names":false,"suffix":""},{"dropping-particle":"","family":"Choudhury","given":"I.","non-dropping-particle":"","parse-names":false,"suffix":""},{"dropping-particle":"","family":"Chakraborty","given":"M.","non-dropping-particle":"","parse-names":false,"suffix":""},{"dropping-particle":"","family":"Ullah","given":"M. S.","non-dropping-particle":"","parse-names":false,"suffix":""},{"dropping-particle":"","family":"Ahmed","given":"K. M.","non-dropping-particle":"","parse-names":false,"suffix":""},{"dropping-particle":"","family":"Goodbred","given":"S. L.","non-dropping-particle":"","parse-names":false,"suffix":""},{"dropping-particle":"","family":"Schlosser","given":"P.","non-dropping-particle":"","parse-names":false,"suffix":""},{"dropping-particle":"","family":"Bostick","given":"B. C.","non-dropping-particle":"","parse-names":false,"suffix":""},{"dropping-particle":"","family":"Mailloux","given":"B. J.","non-dropping-particle":"","parse-names":false,"suffix":""},{"dropping-particle":"","family":"Ellis","given":"T.","non-dropping-particle":"","parse-names":false,"suffix":""},{"dropping-particle":"","family":"Geen","given":"A.","non-dropping-particle":"van","parse-names":false,"suffix":""}],"container-title":"Geophysical Research Letters","id":"ITEM-1","issue":"22","issued":{"date-parts":[["2019","11","28"]]},"page":"13062-13071","publisher":"Blackwell Publishing Ltd","title":"High-Arsenic Groundwater in the Southwestern Bengal Basin Caused by a Lithologically Controlled Deep Flow System","type":"article-journal","volume":"46"},"uris":["http://www.mendeley.com/documents/?uuid=3f5f8c74-dcc2-3486-8572-3e14868c08e0"]}],"mendeley":{"formattedCitation":"(&lt;i&gt;18&lt;/i&gt;)","plainTextFormattedCitation":"(18)","previouslyFormattedCitation":"&lt;sup&gt;18&lt;/sup&gt;"},"properties":{"noteIndex":0},"schema":"https://github.com/citation-style-language/schema/raw/master/csl-citation.json"}</w:instrText>
            </w:r>
            <w:r w:rsidRPr="00686AC3">
              <w:rPr>
                <w:color w:val="000000"/>
                <w:sz w:val="16"/>
                <w:szCs w:val="16"/>
              </w:rPr>
              <w:fldChar w:fldCharType="separate"/>
            </w:r>
            <w:r w:rsidR="00D11AD8" w:rsidRPr="00D11AD8">
              <w:rPr>
                <w:noProof/>
                <w:color w:val="000000"/>
                <w:sz w:val="16"/>
                <w:szCs w:val="16"/>
              </w:rPr>
              <w:t>(</w:t>
            </w:r>
            <w:r w:rsidR="00D11AD8" w:rsidRPr="00D11AD8">
              <w:rPr>
                <w:i/>
                <w:noProof/>
                <w:color w:val="000000"/>
                <w:sz w:val="16"/>
                <w:szCs w:val="16"/>
              </w:rPr>
              <w:t>18</w:t>
            </w:r>
            <w:r w:rsidR="00D11AD8" w:rsidRPr="00D11AD8">
              <w:rPr>
                <w:noProof/>
                <w:color w:val="000000"/>
                <w:sz w:val="16"/>
                <w:szCs w:val="16"/>
              </w:rPr>
              <w:t>)</w:t>
            </w:r>
            <w:r w:rsidRPr="00686AC3">
              <w:rPr>
                <w:color w:val="000000"/>
                <w:sz w:val="16"/>
                <w:szCs w:val="16"/>
              </w:rPr>
              <w:fldChar w:fldCharType="end"/>
            </w:r>
          </w:p>
        </w:tc>
      </w:tr>
    </w:tbl>
    <w:p w14:paraId="46DAE6DE" w14:textId="77777777" w:rsidR="00545A71" w:rsidRDefault="00545A71" w:rsidP="00545A71">
      <w:pPr>
        <w:spacing w:after="160"/>
        <w:ind w:firstLine="720"/>
      </w:pPr>
    </w:p>
    <w:p w14:paraId="56D7BA7F" w14:textId="77777777" w:rsidR="00545A71" w:rsidRDefault="00545A71" w:rsidP="00545A71">
      <w:pPr>
        <w:spacing w:after="160"/>
        <w:ind w:firstLine="720"/>
      </w:pPr>
      <w:r>
        <w:t>Table S3: Data source, year of publication of C14 measurements across the Bengal Basin.</w:t>
      </w:r>
      <w:r w:rsidRPr="0031131A">
        <w:t xml:space="preserve"> </w:t>
      </w:r>
      <w:r>
        <w:t>N: number of measurements.</w:t>
      </w:r>
    </w:p>
    <w:tbl>
      <w:tblPr>
        <w:tblW w:w="62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0"/>
        <w:gridCol w:w="1935"/>
        <w:gridCol w:w="1071"/>
        <w:gridCol w:w="1071"/>
      </w:tblGrid>
      <w:tr w:rsidR="00545A71" w14:paraId="025E302E" w14:textId="77777777" w:rsidTr="007A7372">
        <w:trPr>
          <w:trHeight w:val="320"/>
          <w:jc w:val="center"/>
        </w:trPr>
        <w:tc>
          <w:tcPr>
            <w:tcW w:w="2200" w:type="dxa"/>
            <w:shd w:val="clear" w:color="auto" w:fill="auto"/>
            <w:noWrap/>
            <w:vAlign w:val="center"/>
            <w:hideMark/>
          </w:tcPr>
          <w:p w14:paraId="2D1A90E6" w14:textId="77777777" w:rsidR="00545A71" w:rsidRPr="001622A9" w:rsidRDefault="00545A71" w:rsidP="007A7372">
            <w:pPr>
              <w:jc w:val="center"/>
              <w:rPr>
                <w:b/>
                <w:bCs/>
                <w:color w:val="000000"/>
                <w:sz w:val="20"/>
                <w:szCs w:val="20"/>
              </w:rPr>
            </w:pPr>
            <w:r w:rsidRPr="001622A9">
              <w:rPr>
                <w:b/>
                <w:bCs/>
                <w:color w:val="000000"/>
                <w:sz w:val="20"/>
                <w:szCs w:val="20"/>
              </w:rPr>
              <w:t>Authors</w:t>
            </w:r>
          </w:p>
        </w:tc>
        <w:tc>
          <w:tcPr>
            <w:tcW w:w="1935" w:type="dxa"/>
            <w:shd w:val="clear" w:color="auto" w:fill="auto"/>
            <w:noWrap/>
            <w:vAlign w:val="center"/>
            <w:hideMark/>
          </w:tcPr>
          <w:p w14:paraId="6F359D92" w14:textId="77777777" w:rsidR="00545A71" w:rsidRPr="001622A9" w:rsidRDefault="00545A71" w:rsidP="007A7372">
            <w:pPr>
              <w:jc w:val="center"/>
              <w:rPr>
                <w:b/>
                <w:bCs/>
                <w:color w:val="000000"/>
                <w:sz w:val="20"/>
                <w:szCs w:val="20"/>
              </w:rPr>
            </w:pPr>
            <w:r w:rsidRPr="001622A9">
              <w:rPr>
                <w:b/>
                <w:bCs/>
                <w:color w:val="000000"/>
                <w:sz w:val="20"/>
                <w:szCs w:val="20"/>
              </w:rPr>
              <w:t>Year of publication</w:t>
            </w:r>
          </w:p>
        </w:tc>
        <w:tc>
          <w:tcPr>
            <w:tcW w:w="1071" w:type="dxa"/>
            <w:vAlign w:val="center"/>
          </w:tcPr>
          <w:p w14:paraId="76EAD7F5" w14:textId="77777777" w:rsidR="00545A71" w:rsidRPr="001622A9" w:rsidRDefault="00545A71" w:rsidP="007A7372">
            <w:pPr>
              <w:jc w:val="center"/>
              <w:rPr>
                <w:b/>
                <w:bCs/>
                <w:color w:val="000000"/>
                <w:sz w:val="20"/>
                <w:szCs w:val="20"/>
              </w:rPr>
            </w:pPr>
            <w:r>
              <w:rPr>
                <w:b/>
                <w:bCs/>
                <w:color w:val="000000"/>
                <w:sz w:val="20"/>
                <w:szCs w:val="20"/>
              </w:rPr>
              <w:t>N</w:t>
            </w:r>
          </w:p>
        </w:tc>
        <w:tc>
          <w:tcPr>
            <w:tcW w:w="1071" w:type="dxa"/>
            <w:shd w:val="clear" w:color="auto" w:fill="auto"/>
            <w:noWrap/>
            <w:vAlign w:val="center"/>
            <w:hideMark/>
          </w:tcPr>
          <w:p w14:paraId="2A6BBDD4" w14:textId="77777777" w:rsidR="00545A71" w:rsidRPr="001622A9" w:rsidRDefault="00545A71" w:rsidP="007A7372">
            <w:pPr>
              <w:jc w:val="center"/>
              <w:rPr>
                <w:b/>
                <w:bCs/>
                <w:color w:val="000000"/>
                <w:sz w:val="20"/>
                <w:szCs w:val="20"/>
              </w:rPr>
            </w:pPr>
            <w:r w:rsidRPr="001622A9">
              <w:rPr>
                <w:b/>
                <w:bCs/>
                <w:color w:val="000000"/>
                <w:sz w:val="20"/>
                <w:szCs w:val="20"/>
              </w:rPr>
              <w:t>Reference</w:t>
            </w:r>
          </w:p>
        </w:tc>
      </w:tr>
      <w:tr w:rsidR="00545A71" w14:paraId="1D79B4E7" w14:textId="77777777" w:rsidTr="007A7372">
        <w:trPr>
          <w:trHeight w:val="320"/>
          <w:jc w:val="center"/>
        </w:trPr>
        <w:tc>
          <w:tcPr>
            <w:tcW w:w="2200" w:type="dxa"/>
            <w:shd w:val="clear" w:color="auto" w:fill="auto"/>
            <w:noWrap/>
            <w:vAlign w:val="center"/>
            <w:hideMark/>
          </w:tcPr>
          <w:p w14:paraId="726B1718" w14:textId="77777777" w:rsidR="00545A71" w:rsidRPr="001622A9" w:rsidRDefault="00545A71" w:rsidP="007A7372">
            <w:pPr>
              <w:jc w:val="center"/>
              <w:rPr>
                <w:color w:val="000000"/>
                <w:sz w:val="18"/>
                <w:szCs w:val="18"/>
              </w:rPr>
            </w:pPr>
            <w:r w:rsidRPr="001622A9">
              <w:rPr>
                <w:color w:val="000000"/>
                <w:sz w:val="18"/>
                <w:szCs w:val="18"/>
              </w:rPr>
              <w:t>Aggarwal et al</w:t>
            </w:r>
          </w:p>
        </w:tc>
        <w:tc>
          <w:tcPr>
            <w:tcW w:w="1935" w:type="dxa"/>
            <w:shd w:val="clear" w:color="auto" w:fill="auto"/>
            <w:noWrap/>
            <w:vAlign w:val="center"/>
            <w:hideMark/>
          </w:tcPr>
          <w:p w14:paraId="1161F161" w14:textId="77777777" w:rsidR="00545A71" w:rsidRPr="001622A9" w:rsidRDefault="00545A71" w:rsidP="007A7372">
            <w:pPr>
              <w:jc w:val="center"/>
              <w:rPr>
                <w:color w:val="000000"/>
                <w:sz w:val="18"/>
                <w:szCs w:val="18"/>
              </w:rPr>
            </w:pPr>
            <w:r w:rsidRPr="001622A9">
              <w:rPr>
                <w:color w:val="000000"/>
                <w:sz w:val="18"/>
                <w:szCs w:val="18"/>
              </w:rPr>
              <w:t>2000</w:t>
            </w:r>
          </w:p>
        </w:tc>
        <w:tc>
          <w:tcPr>
            <w:tcW w:w="1071" w:type="dxa"/>
            <w:vAlign w:val="center"/>
          </w:tcPr>
          <w:p w14:paraId="7575D1CE" w14:textId="77777777" w:rsidR="00545A71" w:rsidRPr="001622A9" w:rsidRDefault="00545A71" w:rsidP="007A7372">
            <w:pPr>
              <w:jc w:val="center"/>
              <w:rPr>
                <w:color w:val="000000"/>
                <w:sz w:val="18"/>
                <w:szCs w:val="18"/>
              </w:rPr>
            </w:pPr>
            <w:r>
              <w:rPr>
                <w:color w:val="000000"/>
                <w:sz w:val="18"/>
                <w:szCs w:val="18"/>
              </w:rPr>
              <w:t>18</w:t>
            </w:r>
          </w:p>
        </w:tc>
        <w:tc>
          <w:tcPr>
            <w:tcW w:w="1071" w:type="dxa"/>
            <w:shd w:val="clear" w:color="auto" w:fill="auto"/>
            <w:noWrap/>
            <w:vAlign w:val="center"/>
            <w:hideMark/>
          </w:tcPr>
          <w:p w14:paraId="43FEB52F" w14:textId="180FC880" w:rsidR="00545A71" w:rsidRPr="001622A9" w:rsidRDefault="00545A71" w:rsidP="007A7372">
            <w:pPr>
              <w:jc w:val="center"/>
              <w:rPr>
                <w:color w:val="000000"/>
                <w:sz w:val="18"/>
                <w:szCs w:val="18"/>
              </w:rPr>
            </w:pPr>
            <w:r w:rsidRPr="001622A9">
              <w:rPr>
                <w:color w:val="000000"/>
                <w:sz w:val="18"/>
                <w:szCs w:val="18"/>
              </w:rPr>
              <w:fldChar w:fldCharType="begin" w:fldLock="1"/>
            </w:r>
            <w:r w:rsidR="00D11AD8">
              <w:rPr>
                <w:color w:val="000000"/>
                <w:sz w:val="18"/>
                <w:szCs w:val="18"/>
              </w:rPr>
              <w:instrText>ADDIN CSL_CITATION {"citationItems":[{"id":"ITEM-1","itemData":{"author":[{"dropping-particle":"","family":"Aggarwal","given":"Pradeep","non-dropping-particle":"","parse-names":false,"suffix":""},{"dropping-particle":"","family":"Basu","given":"Asish","non-dropping-particle":"","parse-names":false,"suffix":""},{"dropping-particle":"","family":"Robert","given":"J Poreda","non-dropping-particle":"","parse-names":false,"suffix":""},{"dropping-particle":"","family":"Kulkarni","given":"KM","non-dropping-particle":"","parse-names":false,"suffix":""},{"dropping-particle":"","family":"Tarafdar","given":"Sa","non-dropping-particle":"","parse-names":false,"suffix":""},{"dropping-particle":"","family":"Ali","given":"Mohamed","non-dropping-particle":"","parse-names":false,"suffix":""},{"dropping-particle":"","family":"Ahmed","given":"Nasir","non-dropping-particle":"","parse-names":false,"suffix":""},{"dropping-particle":"","family":"Hussain","given":"Alamgir","non-dropping-particle":"","parse-names":false,"suffix":""},{"dropping-particle":"","family":"Rahman","given":"Mizanur","non-dropping-particle":"","parse-names":false,"suffix":""},{"dropping-particle":"","family":"Reazuddin Ahmed","given":"Syed","non-dropping-particle":"","parse-names":false,"suffix":""}],"id":"ITEM-1","issued":{"date-parts":[["2000"]]},"title":"A Report on Isotope Hydrology of Groundwater in Bangladesh: Implications for Characterization and Mitigation of Arsenic in Groundwater Work Performed within an IAEA-TC Project (BGD/8/016)","type":"report"},"uris":["http://www.mendeley.com/documents/?uuid=cdc6ecd7-9f4c-3495-af86-1e9c4fae96ba"]}],"mendeley":{"formattedCitation":"(&lt;i&gt;8&lt;/i&gt;)","plainTextFormattedCitation":"(8)","previouslyFormattedCitation":"&lt;sup&gt;8&lt;/sup&gt;"},"properties":{"noteIndex":0},"schema":"https://github.com/citation-style-language/schema/raw/master/csl-citation.json"}</w:instrText>
            </w:r>
            <w:r w:rsidRPr="001622A9">
              <w:rPr>
                <w:color w:val="000000"/>
                <w:sz w:val="18"/>
                <w:szCs w:val="18"/>
              </w:rPr>
              <w:fldChar w:fldCharType="separate"/>
            </w:r>
            <w:r w:rsidR="00D11AD8" w:rsidRPr="00D11AD8">
              <w:rPr>
                <w:noProof/>
                <w:color w:val="000000"/>
                <w:sz w:val="18"/>
                <w:szCs w:val="18"/>
              </w:rPr>
              <w:t>(</w:t>
            </w:r>
            <w:r w:rsidR="00D11AD8" w:rsidRPr="00D11AD8">
              <w:rPr>
                <w:i/>
                <w:noProof/>
                <w:color w:val="000000"/>
                <w:sz w:val="18"/>
                <w:szCs w:val="18"/>
              </w:rPr>
              <w:t>8</w:t>
            </w:r>
            <w:r w:rsidR="00D11AD8" w:rsidRPr="00D11AD8">
              <w:rPr>
                <w:noProof/>
                <w:color w:val="000000"/>
                <w:sz w:val="18"/>
                <w:szCs w:val="18"/>
              </w:rPr>
              <w:t>)</w:t>
            </w:r>
            <w:r w:rsidRPr="001622A9">
              <w:rPr>
                <w:color w:val="000000"/>
                <w:sz w:val="18"/>
                <w:szCs w:val="18"/>
              </w:rPr>
              <w:fldChar w:fldCharType="end"/>
            </w:r>
          </w:p>
        </w:tc>
      </w:tr>
      <w:tr w:rsidR="00545A71" w14:paraId="3BC2ABED" w14:textId="77777777" w:rsidTr="007A7372">
        <w:trPr>
          <w:trHeight w:val="320"/>
          <w:jc w:val="center"/>
        </w:trPr>
        <w:tc>
          <w:tcPr>
            <w:tcW w:w="2200" w:type="dxa"/>
            <w:shd w:val="clear" w:color="auto" w:fill="auto"/>
            <w:noWrap/>
            <w:vAlign w:val="center"/>
          </w:tcPr>
          <w:p w14:paraId="611DB9D0" w14:textId="77777777" w:rsidR="00545A71" w:rsidRPr="001622A9" w:rsidRDefault="00545A71" w:rsidP="007A7372">
            <w:pPr>
              <w:jc w:val="center"/>
              <w:rPr>
                <w:color w:val="000000"/>
                <w:sz w:val="18"/>
                <w:szCs w:val="18"/>
              </w:rPr>
            </w:pPr>
            <w:r>
              <w:rPr>
                <w:color w:val="000000"/>
                <w:sz w:val="18"/>
                <w:szCs w:val="18"/>
              </w:rPr>
              <w:t>BGS-DPHE</w:t>
            </w:r>
          </w:p>
        </w:tc>
        <w:tc>
          <w:tcPr>
            <w:tcW w:w="1935" w:type="dxa"/>
            <w:shd w:val="clear" w:color="auto" w:fill="auto"/>
            <w:noWrap/>
            <w:vAlign w:val="center"/>
          </w:tcPr>
          <w:p w14:paraId="4C6E4DBC" w14:textId="77777777" w:rsidR="00545A71" w:rsidRPr="001622A9" w:rsidRDefault="00545A71" w:rsidP="007A7372">
            <w:pPr>
              <w:jc w:val="center"/>
              <w:rPr>
                <w:color w:val="000000"/>
                <w:sz w:val="18"/>
                <w:szCs w:val="18"/>
              </w:rPr>
            </w:pPr>
            <w:r>
              <w:rPr>
                <w:color w:val="000000"/>
                <w:sz w:val="18"/>
                <w:szCs w:val="18"/>
              </w:rPr>
              <w:t>2011</w:t>
            </w:r>
          </w:p>
        </w:tc>
        <w:tc>
          <w:tcPr>
            <w:tcW w:w="1071" w:type="dxa"/>
            <w:vAlign w:val="center"/>
          </w:tcPr>
          <w:p w14:paraId="3EA8F1B9" w14:textId="77777777" w:rsidR="00545A71" w:rsidRPr="001622A9" w:rsidRDefault="00545A71" w:rsidP="007A7372">
            <w:pPr>
              <w:jc w:val="center"/>
              <w:rPr>
                <w:color w:val="000000"/>
                <w:sz w:val="18"/>
                <w:szCs w:val="18"/>
              </w:rPr>
            </w:pPr>
            <w:r>
              <w:rPr>
                <w:color w:val="000000"/>
                <w:sz w:val="18"/>
                <w:szCs w:val="18"/>
              </w:rPr>
              <w:t>8</w:t>
            </w:r>
          </w:p>
        </w:tc>
        <w:tc>
          <w:tcPr>
            <w:tcW w:w="1071" w:type="dxa"/>
            <w:shd w:val="clear" w:color="auto" w:fill="auto"/>
            <w:noWrap/>
            <w:vAlign w:val="center"/>
          </w:tcPr>
          <w:p w14:paraId="724E2A89" w14:textId="456508FB" w:rsidR="00545A71" w:rsidRPr="001622A9" w:rsidRDefault="00545A71" w:rsidP="007A7372">
            <w:pPr>
              <w:jc w:val="center"/>
              <w:rPr>
                <w:color w:val="000000"/>
                <w:sz w:val="18"/>
                <w:szCs w:val="18"/>
              </w:rPr>
            </w:pPr>
            <w:r>
              <w:rPr>
                <w:color w:val="000000"/>
                <w:sz w:val="18"/>
                <w:szCs w:val="18"/>
              </w:rPr>
              <w:fldChar w:fldCharType="begin" w:fldLock="1"/>
            </w:r>
            <w:r w:rsidR="00D11AD8">
              <w:rPr>
                <w:color w:val="000000"/>
                <w:sz w:val="18"/>
                <w:szCs w:val="18"/>
              </w:rPr>
              <w:instrText>ADDIN CSL_CITATION {"citationItems":[{"id":"ITEM-1","itemData":{"author":[{"dropping-particle":"","family":"British Geological Survey/Department of Public Health Engineering (BGS/DPHE).In: Kinniburgh DG, Smedley PL (eds) British Geological Survey Technical Report WC/00/19, British Geological Survey, Keyworth","given":"p 630.","non-dropping-particle":"","parse-names":false,"suffix":""}],"id":"ITEM-1","issued":{"date-parts":[["2001"]]},"number-of-pages":"630","title":"Arsenic contamination of groundwater in Bangladesh","type":"report"},"uris":["http://www.mendeley.com/documents/?uuid=3fecb387-c225-40b1-b0f9-d39843fd8783"]}],"mendeley":{"formattedCitation":"(&lt;i&gt;41&lt;/i&gt;)","plainTextFormattedCitation":"(41)","previouslyFormattedCitation":"&lt;sup&gt;41&lt;/sup&gt;"},"properties":{"noteIndex":0},"schema":"https://github.com/citation-style-language/schema/raw/master/csl-citation.json"}</w:instrText>
            </w:r>
            <w:r>
              <w:rPr>
                <w:color w:val="000000"/>
                <w:sz w:val="18"/>
                <w:szCs w:val="18"/>
              </w:rPr>
              <w:fldChar w:fldCharType="separate"/>
            </w:r>
            <w:r w:rsidR="00D11AD8" w:rsidRPr="00D11AD8">
              <w:rPr>
                <w:noProof/>
                <w:color w:val="000000"/>
                <w:sz w:val="18"/>
                <w:szCs w:val="18"/>
              </w:rPr>
              <w:t>(</w:t>
            </w:r>
            <w:r w:rsidR="00D11AD8" w:rsidRPr="00D11AD8">
              <w:rPr>
                <w:i/>
                <w:noProof/>
                <w:color w:val="000000"/>
                <w:sz w:val="18"/>
                <w:szCs w:val="18"/>
              </w:rPr>
              <w:t>41</w:t>
            </w:r>
            <w:r w:rsidR="00D11AD8" w:rsidRPr="00D11AD8">
              <w:rPr>
                <w:noProof/>
                <w:color w:val="000000"/>
                <w:sz w:val="18"/>
                <w:szCs w:val="18"/>
              </w:rPr>
              <w:t>)</w:t>
            </w:r>
            <w:r>
              <w:rPr>
                <w:color w:val="000000"/>
                <w:sz w:val="18"/>
                <w:szCs w:val="18"/>
              </w:rPr>
              <w:fldChar w:fldCharType="end"/>
            </w:r>
          </w:p>
        </w:tc>
      </w:tr>
      <w:tr w:rsidR="00545A71" w14:paraId="6254ADC7" w14:textId="77777777" w:rsidTr="007A7372">
        <w:trPr>
          <w:trHeight w:val="320"/>
          <w:jc w:val="center"/>
        </w:trPr>
        <w:tc>
          <w:tcPr>
            <w:tcW w:w="2200" w:type="dxa"/>
            <w:shd w:val="clear" w:color="auto" w:fill="auto"/>
            <w:noWrap/>
            <w:vAlign w:val="center"/>
            <w:hideMark/>
          </w:tcPr>
          <w:p w14:paraId="364A7B24" w14:textId="77777777" w:rsidR="00545A71" w:rsidRPr="001622A9" w:rsidRDefault="00545A71" w:rsidP="007A7372">
            <w:pPr>
              <w:jc w:val="center"/>
              <w:rPr>
                <w:color w:val="000000"/>
                <w:sz w:val="18"/>
                <w:szCs w:val="18"/>
              </w:rPr>
            </w:pPr>
            <w:r w:rsidRPr="001622A9">
              <w:rPr>
                <w:color w:val="000000"/>
                <w:sz w:val="18"/>
                <w:szCs w:val="18"/>
              </w:rPr>
              <w:t>Zheng et al</w:t>
            </w:r>
          </w:p>
        </w:tc>
        <w:tc>
          <w:tcPr>
            <w:tcW w:w="1935" w:type="dxa"/>
            <w:shd w:val="clear" w:color="auto" w:fill="auto"/>
            <w:noWrap/>
            <w:vAlign w:val="center"/>
            <w:hideMark/>
          </w:tcPr>
          <w:p w14:paraId="6262D7F6" w14:textId="77777777" w:rsidR="00545A71" w:rsidRPr="001622A9" w:rsidRDefault="00545A71" w:rsidP="007A7372">
            <w:pPr>
              <w:jc w:val="center"/>
              <w:rPr>
                <w:color w:val="000000"/>
                <w:sz w:val="18"/>
                <w:szCs w:val="18"/>
              </w:rPr>
            </w:pPr>
            <w:r w:rsidRPr="001622A9">
              <w:rPr>
                <w:color w:val="000000"/>
                <w:sz w:val="18"/>
                <w:szCs w:val="18"/>
              </w:rPr>
              <w:t>2005</w:t>
            </w:r>
          </w:p>
        </w:tc>
        <w:tc>
          <w:tcPr>
            <w:tcW w:w="1071" w:type="dxa"/>
            <w:vAlign w:val="center"/>
          </w:tcPr>
          <w:p w14:paraId="0503E7F0" w14:textId="77777777" w:rsidR="00545A71" w:rsidRPr="001622A9" w:rsidRDefault="00545A71" w:rsidP="007A7372">
            <w:pPr>
              <w:jc w:val="center"/>
              <w:rPr>
                <w:color w:val="000000"/>
                <w:sz w:val="18"/>
                <w:szCs w:val="18"/>
              </w:rPr>
            </w:pPr>
            <w:r>
              <w:rPr>
                <w:color w:val="000000"/>
                <w:sz w:val="18"/>
                <w:szCs w:val="18"/>
              </w:rPr>
              <w:t>8</w:t>
            </w:r>
          </w:p>
        </w:tc>
        <w:tc>
          <w:tcPr>
            <w:tcW w:w="1071" w:type="dxa"/>
            <w:shd w:val="clear" w:color="auto" w:fill="auto"/>
            <w:noWrap/>
            <w:vAlign w:val="center"/>
            <w:hideMark/>
          </w:tcPr>
          <w:p w14:paraId="01E5A76D" w14:textId="57DBC6AA" w:rsidR="00545A71" w:rsidRPr="001622A9" w:rsidRDefault="00545A71" w:rsidP="007A7372">
            <w:pPr>
              <w:jc w:val="center"/>
              <w:rPr>
                <w:color w:val="000000"/>
                <w:sz w:val="18"/>
                <w:szCs w:val="18"/>
              </w:rPr>
            </w:pPr>
            <w:r w:rsidRPr="001622A9">
              <w:rPr>
                <w:color w:val="000000"/>
                <w:sz w:val="18"/>
                <w:szCs w:val="18"/>
              </w:rPr>
              <w:fldChar w:fldCharType="begin" w:fldLock="1"/>
            </w:r>
            <w:r w:rsidR="00D11AD8">
              <w:rPr>
                <w:color w:val="000000"/>
                <w:sz w:val="18"/>
                <w:szCs w:val="18"/>
              </w:rPr>
              <w:instrText xml:space="preserve">ADDIN CSL_CITATION {"citationItems":[{"id":"ITEM-1","itemData":{"DOI":"10.1016/j.gca.2005.06.001","ISSN":"00167037","abstract":"Sediment and groundwater profiles were compared in two villages of Bangladesh to understand the geochemical and hydrogeological factors that regulate dissolved As concentrations in groundwater. In both villages, fine-grained sediment layers separate shallow aquifers (&lt; 28 m) high in As from deeper aquifers (40-90 m) containing &lt; 10 μg/L As. In one village (Dari), radiocarbon dating indicates deposition of the deeper aquifer sediments &gt; 50 ka ago and a groundwater age of thousands of years. In the other village (Bay), the sediment is &lt; 20 ka old down to 90 m and the deeper aquifer groundwater is younger, on the order of hundreds of years. The shallow aquifers in both villages that are high in As contain bomb-3H and bomb-14C, indicating recent recharge. The major and minor ion compositions of the shallow and deeper aquifers also differ significantly. Deeper aquifer water is of the Na+-HCO3- type, with relatively little dissolved NH4+ (76 ± 192 μmol/L), Fe (27 ± 43 μmol/L) and Mn (3 ± 2 μmol/L). In contrast, shallow aquifer water is of the Ca2+ -Mg2+-HCO3- type, with elevated concentrations of dissolved NH4+ (306 ± 355 μmol/L), Fe (191 ± 73 μmol/L), and Mn (27 ± 43 μmol/L). In both villages, the quantity of As extractable from deeper aquifer sands with a 1 mol/L phosphate solution (0.2 ± 0.3 mg/kg, n = 12; 0.1 ± 0.1 mg/kg, n = 5) is 1 order of magnitude lower than P-extractable As from shallow deposits (1.7 ± 1.2 mg/kg, n = 9; 1.4 ± 2.0 mg/kg, n = 11). The differences suggest that the concentration of P-extractable As in the sediment is a factor controlling the concentration of As in groundwater. Low P-extractable As levels are observed in both deeper aquifers that are low in As, even though there is a large difference in the time of deposition of these aquifers in the two villages. The geochemical data and hydrographs presented in this study suggest that both Holocene and Pleistocene deeper aquifers that are low in As should be a viable source of drinking water as long as withdrawals do not exceed recharge rates of </w:instrText>
            </w:r>
            <w:r w:rsidR="00D11AD8">
              <w:rPr>
                <w:rFonts w:ascii="Cambria Math" w:hAnsi="Cambria Math" w:cs="Cambria Math"/>
                <w:color w:val="000000"/>
                <w:sz w:val="18"/>
                <w:szCs w:val="18"/>
              </w:rPr>
              <w:instrText>∼</w:instrText>
            </w:r>
            <w:r w:rsidR="00D11AD8">
              <w:rPr>
                <w:color w:val="000000"/>
                <w:sz w:val="18"/>
                <w:szCs w:val="18"/>
              </w:rPr>
              <w:instrText>1 cm/yr. Copyright © 2005 Elsevier Ltd.","author":[{"dropping-particle":"","family":"Zheng","given":"Yan","non-dropping-particle":"","parse-names":false,"suffix":""},{"dropping-particle":"","family":"Geen","given":"A.","non-dropping-particle":"van","parse-names":false,"suffix":""},{"dropping-particle":"","family":"Stute","given":"M.","non-dropping-particle":"","parse-names":false,"suffix":""},{"dropping-particle":"","family":"Dhar","given":"R.","non-dropping-particle":"","parse-names":false,"suffix":""},{"dropping-particle":"","family":"Mo","given":"Z.","non-dropping-particle":"","parse-names":false,"suffix":""},{"dropping-particle":"","family":"Cheng","given":"Z.","non-dropping-particle":"","parse-names":false,"suffix":""},{"dropping-particle":"","family":"Horneman","given":"A.","non-dropping-particle":"","parse-names":false,"suffix":""},{"dropping-particle":"","family":"Gavrieli","given":"I.","non-dropping-particle":"","parse-names":false,"suffix":""},{"dropping-particle":"","family":"Simpson","given":"H. J.","non-dropping-particle":"","parse-names":false,"suffix":""},{"dropping-particle":"","family":"Versteeg","given":"R.","non-dropping-particle":"","parse-names":false,"suffix":""},{"dropping-particle":"","family":"Steckler","given":"M.","non-dropping-particle":"","parse-names":false,"suffix":""},{"dropping-particle":"","family":"Grazioli-Venier","given":"A.","non-dropping-particle":"","parse-names":false,"suffix":""},{"dropping-particle":"","family":"Goodbred","given":"S.","non-dropping-particle":"","parse-names":false,"suffix":""},{"dropping-particle":"","family":"Shahnewaz","given":"M.","non-dropping-particle":"","parse-names":false,"suffix":""},{"dropping-particle":"","family":"Shamsudduha","given":"M.","non-dropping-particle":"","parse-names":false,"suffix":""},{"dropping-particle":"","family":"Hoque","given":"M. A.","non-dropping-particle":"","parse-names":false,"suffix":""},{"dropping-particle":"","family":"Ahmed","given":"K. M.","non-dropping-particle":"","parse-names":false,"suffix":""}],"container-title":"Geochimica et Cosmochimica Acta","id":"ITEM-1","issue":"22","issued":{"date-parts":[["2005","11","15"]]},"page":"5203-5218","publisher":"Pergamon","title":"Geochemical and hydrogeological contrasts between shallow and deeper aquifers in two villages of Araihazar, Bangladesh: Implications for deeper aquifers as drinking water sources","type":"article-journal","volume":"69"},"uris":["http://www.mendeley.com/documents/?uuid=806994ee-2e43-3293-8e92-ba8d1985988a"]}],"mendeley":{"formattedCitation":"(&lt;i&gt;42&lt;/i&gt;)","plainTextFormattedCitation":"(42)","previouslyFormattedCitation":"&lt;sup&gt;42&lt;/sup&gt;"},"properties":{"noteIndex":0},"schema":"https://github.com/citation-style-language/schema/raw/master/csl-citation.json"}</w:instrText>
            </w:r>
            <w:r w:rsidRPr="001622A9">
              <w:rPr>
                <w:color w:val="000000"/>
                <w:sz w:val="18"/>
                <w:szCs w:val="18"/>
              </w:rPr>
              <w:fldChar w:fldCharType="separate"/>
            </w:r>
            <w:r w:rsidR="00D11AD8" w:rsidRPr="00D11AD8">
              <w:rPr>
                <w:noProof/>
                <w:color w:val="000000"/>
                <w:sz w:val="18"/>
                <w:szCs w:val="18"/>
              </w:rPr>
              <w:t>(</w:t>
            </w:r>
            <w:r w:rsidR="00D11AD8" w:rsidRPr="00D11AD8">
              <w:rPr>
                <w:i/>
                <w:noProof/>
                <w:color w:val="000000"/>
                <w:sz w:val="18"/>
                <w:szCs w:val="18"/>
              </w:rPr>
              <w:t>42</w:t>
            </w:r>
            <w:r w:rsidR="00D11AD8" w:rsidRPr="00D11AD8">
              <w:rPr>
                <w:noProof/>
                <w:color w:val="000000"/>
                <w:sz w:val="18"/>
                <w:szCs w:val="18"/>
              </w:rPr>
              <w:t>)</w:t>
            </w:r>
            <w:r w:rsidRPr="001622A9">
              <w:rPr>
                <w:color w:val="000000"/>
                <w:sz w:val="18"/>
                <w:szCs w:val="18"/>
              </w:rPr>
              <w:fldChar w:fldCharType="end"/>
            </w:r>
          </w:p>
        </w:tc>
      </w:tr>
      <w:tr w:rsidR="00545A71" w14:paraId="04E4D8B5" w14:textId="77777777" w:rsidTr="007A7372">
        <w:trPr>
          <w:trHeight w:val="320"/>
          <w:jc w:val="center"/>
        </w:trPr>
        <w:tc>
          <w:tcPr>
            <w:tcW w:w="2200" w:type="dxa"/>
            <w:shd w:val="clear" w:color="auto" w:fill="auto"/>
            <w:noWrap/>
            <w:vAlign w:val="center"/>
            <w:hideMark/>
          </w:tcPr>
          <w:p w14:paraId="659B9970" w14:textId="77777777" w:rsidR="00545A71" w:rsidRPr="001622A9" w:rsidRDefault="00545A71" w:rsidP="007A7372">
            <w:pPr>
              <w:jc w:val="center"/>
              <w:rPr>
                <w:color w:val="000000"/>
                <w:sz w:val="18"/>
                <w:szCs w:val="18"/>
              </w:rPr>
            </w:pPr>
            <w:r w:rsidRPr="001622A9">
              <w:rPr>
                <w:color w:val="000000"/>
                <w:sz w:val="18"/>
                <w:szCs w:val="18"/>
              </w:rPr>
              <w:t>Majumder et al</w:t>
            </w:r>
          </w:p>
        </w:tc>
        <w:tc>
          <w:tcPr>
            <w:tcW w:w="1935" w:type="dxa"/>
            <w:shd w:val="clear" w:color="auto" w:fill="auto"/>
            <w:noWrap/>
            <w:vAlign w:val="center"/>
            <w:hideMark/>
          </w:tcPr>
          <w:p w14:paraId="1D5A4EFB" w14:textId="77777777" w:rsidR="00545A71" w:rsidRPr="001622A9" w:rsidRDefault="00545A71" w:rsidP="007A7372">
            <w:pPr>
              <w:jc w:val="center"/>
              <w:rPr>
                <w:color w:val="000000"/>
                <w:sz w:val="18"/>
                <w:szCs w:val="18"/>
              </w:rPr>
            </w:pPr>
            <w:r w:rsidRPr="001622A9">
              <w:rPr>
                <w:color w:val="000000"/>
                <w:sz w:val="18"/>
                <w:szCs w:val="18"/>
              </w:rPr>
              <w:t>2011</w:t>
            </w:r>
          </w:p>
        </w:tc>
        <w:tc>
          <w:tcPr>
            <w:tcW w:w="1071" w:type="dxa"/>
            <w:vAlign w:val="center"/>
          </w:tcPr>
          <w:p w14:paraId="2C94BF3D" w14:textId="77777777" w:rsidR="00545A71" w:rsidRPr="001622A9" w:rsidRDefault="00545A71" w:rsidP="007A7372">
            <w:pPr>
              <w:jc w:val="center"/>
              <w:rPr>
                <w:color w:val="000000"/>
                <w:sz w:val="18"/>
                <w:szCs w:val="18"/>
              </w:rPr>
            </w:pPr>
            <w:r>
              <w:rPr>
                <w:color w:val="000000"/>
                <w:sz w:val="18"/>
                <w:szCs w:val="18"/>
              </w:rPr>
              <w:t>16</w:t>
            </w:r>
          </w:p>
        </w:tc>
        <w:tc>
          <w:tcPr>
            <w:tcW w:w="1071" w:type="dxa"/>
            <w:shd w:val="clear" w:color="auto" w:fill="auto"/>
            <w:noWrap/>
            <w:vAlign w:val="center"/>
            <w:hideMark/>
          </w:tcPr>
          <w:p w14:paraId="617948A5" w14:textId="1EF6AF51" w:rsidR="00545A71" w:rsidRPr="001622A9" w:rsidRDefault="00545A71" w:rsidP="007A7372">
            <w:pPr>
              <w:jc w:val="center"/>
              <w:rPr>
                <w:color w:val="000000"/>
                <w:sz w:val="18"/>
                <w:szCs w:val="18"/>
              </w:rPr>
            </w:pPr>
            <w:r w:rsidRPr="001622A9">
              <w:rPr>
                <w:color w:val="000000"/>
                <w:sz w:val="18"/>
                <w:szCs w:val="18"/>
              </w:rPr>
              <w:fldChar w:fldCharType="begin" w:fldLock="1"/>
            </w:r>
            <w:r w:rsidR="00D11AD8">
              <w:rPr>
                <w:color w:val="000000"/>
                <w:sz w:val="18"/>
                <w:szCs w:val="18"/>
              </w:rPr>
              <w:instrText>ADDIN CSL_CITATION {"citationItems":[{"id":"ITEM-1","itemData":{"DOI":"10.1007/s12665-011-0959-2","ISSN":"18666280","abstract":"A total number of 328 groundwater samples are analysed to evaluate the groundwater flow systems in Bengal Delta aquifers, Bangladesh using environmental isotope (2H, 18O, 13C, 3H, and 14C) techniques. A well-defined Local Meteoric Water Line (LMWL) δ2H = 7.7 δ18O + 10.7 ‰ is constructed applying linear correlation analyses to the monthly weighted rainfall isotopic compositions (δ18O and δ2H). The δ18O and δ2H concentrations of all groundwater samples in the study area are plotted more or less over the LMWL, which provides compelling evidence that all groundwaters are derived from rainfall and floodwater with a minor localized evaporation effects for the shallow groundwaters. Tritium concentration is observed in 40 samples out of 41 with values varying between 0.3 and 5.0 TU, which represents an evidence of young water recharge to the shallow and intermediate aquifers. A decreasing trend of 14C activity is associated with the heavier δ13C values, which indicates the presence of geochemical reactions affecting the 14C concentration along the groundwater flow system. Both vertical and lateral decrease of 14C activity toward down gradient show the presence of regional groundwater flow commencing from the unconfined aquifers, which discharges along the coastal regions. Finally, shallow, intermediate, and deep groundwater flow dynamics has revealed in the Bengal Delta aquifers, Bangladesh. © 2011 Springer-Verlag.","author":[{"dropping-particle":"","family":"Majumder","given":"Ratan K.","non-dropping-particle":"","parse-names":false,"suffix":""},{"dropping-particle":"","family":"Halim","given":"M. A.","non-dropping-particle":"","parse-names":false,"suffix":""},{"dropping-particle":"","family":"Saha","given":"B. B.","non-dropping-particle":"","parse-names":false,"suffix":""},{"dropping-particle":"","family":"Ikawa","given":"Reo","non-dropping-particle":"","parse-names":false,"suffix":""},{"dropping-particle":"","family":"Nakamura","given":"Toshio","non-dropping-particle":"","parse-names":false,"suffix":""},{"dropping-particle":"","family":"Kagabu","given":"Makoto","non-dropping-particle":"","parse-names":false,"suffix":""},{"dropping-particle":"","family":"Shimada","given":"Jun","non-dropping-particle":"","parse-names":false,"suffix":""}],"container-title":"Environmental Earth Sciences","id":"ITEM-1","issue":"5","issued":{"date-parts":[["2011","11"]]},"page":"1343-1352","title":"Groundwater flow system in Bengal Delta, Bangladesh revealed by environmental isotopes","type":"article-journal","volume":"64"},"uris":["http://www.mendeley.com/documents/?uuid=73da91f3-10cf-34f3-9640-94a425fa3f5a"]}],"mendeley":{"formattedCitation":"(&lt;i&gt;22&lt;/i&gt;)","plainTextFormattedCitation":"(22)","previouslyFormattedCitation":"&lt;sup&gt;22&lt;/sup&gt;"},"properties":{"noteIndex":0},"schema":"https://github.com/citation-style-language/schema/raw/master/csl-citation.json"}</w:instrText>
            </w:r>
            <w:r w:rsidRPr="001622A9">
              <w:rPr>
                <w:color w:val="000000"/>
                <w:sz w:val="18"/>
                <w:szCs w:val="18"/>
              </w:rPr>
              <w:fldChar w:fldCharType="separate"/>
            </w:r>
            <w:r w:rsidR="00D11AD8" w:rsidRPr="00D11AD8">
              <w:rPr>
                <w:noProof/>
                <w:color w:val="000000"/>
                <w:sz w:val="18"/>
                <w:szCs w:val="18"/>
              </w:rPr>
              <w:t>(</w:t>
            </w:r>
            <w:r w:rsidR="00D11AD8" w:rsidRPr="00D11AD8">
              <w:rPr>
                <w:i/>
                <w:noProof/>
                <w:color w:val="000000"/>
                <w:sz w:val="18"/>
                <w:szCs w:val="18"/>
              </w:rPr>
              <w:t>22</w:t>
            </w:r>
            <w:r w:rsidR="00D11AD8" w:rsidRPr="00D11AD8">
              <w:rPr>
                <w:noProof/>
                <w:color w:val="000000"/>
                <w:sz w:val="18"/>
                <w:szCs w:val="18"/>
              </w:rPr>
              <w:t>)</w:t>
            </w:r>
            <w:r w:rsidRPr="001622A9">
              <w:rPr>
                <w:color w:val="000000"/>
                <w:sz w:val="18"/>
                <w:szCs w:val="18"/>
              </w:rPr>
              <w:fldChar w:fldCharType="end"/>
            </w:r>
          </w:p>
        </w:tc>
      </w:tr>
      <w:tr w:rsidR="00545A71" w14:paraId="73258F0B" w14:textId="77777777" w:rsidTr="007A7372">
        <w:trPr>
          <w:trHeight w:val="320"/>
          <w:jc w:val="center"/>
        </w:trPr>
        <w:tc>
          <w:tcPr>
            <w:tcW w:w="2200" w:type="dxa"/>
            <w:shd w:val="clear" w:color="auto" w:fill="auto"/>
            <w:noWrap/>
            <w:vAlign w:val="center"/>
            <w:hideMark/>
          </w:tcPr>
          <w:p w14:paraId="5A5A4768" w14:textId="77777777" w:rsidR="00545A71" w:rsidRPr="001622A9" w:rsidRDefault="00545A71" w:rsidP="007A7372">
            <w:pPr>
              <w:jc w:val="center"/>
              <w:rPr>
                <w:color w:val="000000"/>
                <w:sz w:val="18"/>
                <w:szCs w:val="18"/>
              </w:rPr>
            </w:pPr>
            <w:r w:rsidRPr="001622A9">
              <w:rPr>
                <w:color w:val="000000"/>
                <w:sz w:val="18"/>
                <w:szCs w:val="18"/>
              </w:rPr>
              <w:t>Hoque et al</w:t>
            </w:r>
          </w:p>
        </w:tc>
        <w:tc>
          <w:tcPr>
            <w:tcW w:w="1935" w:type="dxa"/>
            <w:shd w:val="clear" w:color="auto" w:fill="auto"/>
            <w:noWrap/>
            <w:vAlign w:val="center"/>
            <w:hideMark/>
          </w:tcPr>
          <w:p w14:paraId="54724EB3" w14:textId="77777777" w:rsidR="00545A71" w:rsidRPr="001622A9" w:rsidRDefault="00545A71" w:rsidP="007A7372">
            <w:pPr>
              <w:jc w:val="center"/>
              <w:rPr>
                <w:color w:val="000000"/>
                <w:sz w:val="18"/>
                <w:szCs w:val="18"/>
              </w:rPr>
            </w:pPr>
            <w:r w:rsidRPr="001622A9">
              <w:rPr>
                <w:color w:val="000000"/>
                <w:sz w:val="18"/>
                <w:szCs w:val="18"/>
              </w:rPr>
              <w:t>2012</w:t>
            </w:r>
          </w:p>
        </w:tc>
        <w:tc>
          <w:tcPr>
            <w:tcW w:w="1071" w:type="dxa"/>
            <w:vAlign w:val="center"/>
          </w:tcPr>
          <w:p w14:paraId="404214C6" w14:textId="77777777" w:rsidR="00545A71" w:rsidRPr="001622A9" w:rsidRDefault="00545A71" w:rsidP="007A7372">
            <w:pPr>
              <w:jc w:val="center"/>
              <w:rPr>
                <w:color w:val="000000"/>
                <w:sz w:val="18"/>
                <w:szCs w:val="18"/>
              </w:rPr>
            </w:pPr>
            <w:r>
              <w:rPr>
                <w:color w:val="000000"/>
                <w:sz w:val="18"/>
                <w:szCs w:val="18"/>
              </w:rPr>
              <w:t>18</w:t>
            </w:r>
          </w:p>
        </w:tc>
        <w:tc>
          <w:tcPr>
            <w:tcW w:w="1071" w:type="dxa"/>
            <w:shd w:val="clear" w:color="auto" w:fill="auto"/>
            <w:noWrap/>
            <w:vAlign w:val="center"/>
            <w:hideMark/>
          </w:tcPr>
          <w:p w14:paraId="4223D169" w14:textId="44675B23" w:rsidR="00545A71" w:rsidRPr="001622A9" w:rsidRDefault="00545A71" w:rsidP="007A7372">
            <w:pPr>
              <w:jc w:val="center"/>
              <w:rPr>
                <w:color w:val="000000"/>
                <w:sz w:val="18"/>
                <w:szCs w:val="18"/>
              </w:rPr>
            </w:pPr>
            <w:r w:rsidRPr="001622A9">
              <w:rPr>
                <w:color w:val="000000"/>
                <w:sz w:val="18"/>
                <w:szCs w:val="18"/>
              </w:rPr>
              <w:fldChar w:fldCharType="begin" w:fldLock="1"/>
            </w:r>
            <w:r w:rsidR="00D11AD8">
              <w:rPr>
                <w:color w:val="000000"/>
                <w:sz w:val="18"/>
                <w:szCs w:val="18"/>
              </w:rPr>
              <w:instrText>ADDIN CSL_CITATION {"citationItems":[{"id":"ITEM-1","itemData":{"DOI":"10.1016/j.jhydrol.2012.04.022","ISSN":"00221694","abstract":"Environmental isotopes and 14C dating were applied to estimate ages and recharge sources of deep groundwater (≥150m bgl) in south-east Bangladesh. With one exception, deep groundwater is shown to have been recharged more recently than 10Ka (range 3-9Ka, mean 7.6Ka), under climatic conditions indicated by δ 18O and δ 2H as similar to the present day. Groundwater age distributions have been used to infer the scale of aquifer hydraulic anisotropy. 2D groundwater flow modelling is able to reproduce the observed vertical profiles of groundwater age, as determined at two locations, when the aquifer is assigned a permeability anisotropy (K x/K z) of at least 10 3. Under these conditions, deep groundwater originates as recharge in the hill regions at the eastern boundary of the basin. Recharge rates estimated from the groundwater ages are close to an estimate of the current rate of deep groundwater abstraction. Cautious development and careful monitoring are therefore necessary, as excessive deep groundwater pumping could draw dissolved arsenic from the shallow levels of the Bengal Aquifer System (BAS) and contaminate the deep groundwater resource. © 2012 Elsevier B.V.","author":[{"dropping-particle":"","family":"Hoque","given":"Mohammad A.","non-dropping-particle":"","parse-names":false,"suffix":""},{"dropping-particle":"","family":"Burgess","given":"William G.","non-dropping-particle":"","parse-names":false,"suffix":""}],"container-title":"Journal of Hydrology","id":"ITEM-1","issued":{"date-parts":[["2012","6","11"]]},"page":"209-220","publisher":"Elsevier","title":"14C dating of deep groundwater in the Bengal Aquifer System, Bangladesh: Implications for aquifer anisotropy, recharge sources and sustainability","type":"article-journal","volume":"444-445"},"uris":["http://www.mendeley.com/documents/?uuid=939c5b53-256b-3ec7-b280-2a53b155d154"]}],"mendeley":{"formattedCitation":"(&lt;i&gt;17&lt;/i&gt;)","plainTextFormattedCitation":"(17)","previouslyFormattedCitation":"&lt;sup&gt;17&lt;/sup&gt;"},"properties":{"noteIndex":0},"schema":"https://github.com/citation-style-language/schema/raw/master/csl-citation.json"}</w:instrText>
            </w:r>
            <w:r w:rsidRPr="001622A9">
              <w:rPr>
                <w:color w:val="000000"/>
                <w:sz w:val="18"/>
                <w:szCs w:val="18"/>
              </w:rPr>
              <w:fldChar w:fldCharType="separate"/>
            </w:r>
            <w:r w:rsidR="00D11AD8" w:rsidRPr="00D11AD8">
              <w:rPr>
                <w:noProof/>
                <w:color w:val="000000"/>
                <w:sz w:val="18"/>
                <w:szCs w:val="18"/>
              </w:rPr>
              <w:t>(</w:t>
            </w:r>
            <w:r w:rsidR="00D11AD8" w:rsidRPr="00D11AD8">
              <w:rPr>
                <w:i/>
                <w:noProof/>
                <w:color w:val="000000"/>
                <w:sz w:val="18"/>
                <w:szCs w:val="18"/>
              </w:rPr>
              <w:t>17</w:t>
            </w:r>
            <w:r w:rsidR="00D11AD8" w:rsidRPr="00D11AD8">
              <w:rPr>
                <w:noProof/>
                <w:color w:val="000000"/>
                <w:sz w:val="18"/>
                <w:szCs w:val="18"/>
              </w:rPr>
              <w:t>)</w:t>
            </w:r>
            <w:r w:rsidRPr="001622A9">
              <w:rPr>
                <w:color w:val="000000"/>
                <w:sz w:val="18"/>
                <w:szCs w:val="18"/>
              </w:rPr>
              <w:fldChar w:fldCharType="end"/>
            </w:r>
          </w:p>
        </w:tc>
      </w:tr>
      <w:tr w:rsidR="00545A71" w14:paraId="15A1049D" w14:textId="77777777" w:rsidTr="007A7372">
        <w:trPr>
          <w:trHeight w:val="320"/>
          <w:jc w:val="center"/>
        </w:trPr>
        <w:tc>
          <w:tcPr>
            <w:tcW w:w="2200" w:type="dxa"/>
            <w:shd w:val="clear" w:color="auto" w:fill="auto"/>
            <w:noWrap/>
            <w:vAlign w:val="center"/>
            <w:hideMark/>
          </w:tcPr>
          <w:p w14:paraId="02ED9A67" w14:textId="77777777" w:rsidR="00545A71" w:rsidRPr="001622A9" w:rsidRDefault="00545A71" w:rsidP="007A7372">
            <w:pPr>
              <w:jc w:val="center"/>
              <w:rPr>
                <w:color w:val="000000"/>
                <w:sz w:val="18"/>
                <w:szCs w:val="18"/>
              </w:rPr>
            </w:pPr>
            <w:r w:rsidRPr="001622A9">
              <w:rPr>
                <w:color w:val="000000"/>
                <w:sz w:val="18"/>
                <w:szCs w:val="18"/>
              </w:rPr>
              <w:t>Stahl et al</w:t>
            </w:r>
          </w:p>
        </w:tc>
        <w:tc>
          <w:tcPr>
            <w:tcW w:w="1935" w:type="dxa"/>
            <w:shd w:val="clear" w:color="auto" w:fill="auto"/>
            <w:noWrap/>
            <w:vAlign w:val="center"/>
            <w:hideMark/>
          </w:tcPr>
          <w:p w14:paraId="70490934" w14:textId="77777777" w:rsidR="00545A71" w:rsidRPr="001622A9" w:rsidRDefault="00545A71" w:rsidP="007A7372">
            <w:pPr>
              <w:jc w:val="center"/>
              <w:rPr>
                <w:color w:val="000000"/>
                <w:sz w:val="18"/>
                <w:szCs w:val="18"/>
              </w:rPr>
            </w:pPr>
            <w:r w:rsidRPr="001622A9">
              <w:rPr>
                <w:color w:val="000000"/>
                <w:sz w:val="18"/>
                <w:szCs w:val="18"/>
              </w:rPr>
              <w:t>2020</w:t>
            </w:r>
          </w:p>
        </w:tc>
        <w:tc>
          <w:tcPr>
            <w:tcW w:w="1071" w:type="dxa"/>
            <w:vAlign w:val="center"/>
          </w:tcPr>
          <w:p w14:paraId="3CF2FB0A" w14:textId="77777777" w:rsidR="00545A71" w:rsidRPr="001622A9" w:rsidRDefault="00545A71" w:rsidP="007A7372">
            <w:pPr>
              <w:jc w:val="center"/>
              <w:rPr>
                <w:color w:val="000000"/>
                <w:sz w:val="18"/>
                <w:szCs w:val="18"/>
              </w:rPr>
            </w:pPr>
            <w:r>
              <w:rPr>
                <w:color w:val="000000"/>
                <w:sz w:val="18"/>
                <w:szCs w:val="18"/>
              </w:rPr>
              <w:t>6</w:t>
            </w:r>
          </w:p>
        </w:tc>
        <w:tc>
          <w:tcPr>
            <w:tcW w:w="1071" w:type="dxa"/>
            <w:shd w:val="clear" w:color="auto" w:fill="auto"/>
            <w:noWrap/>
            <w:vAlign w:val="center"/>
            <w:hideMark/>
          </w:tcPr>
          <w:p w14:paraId="509595CF" w14:textId="284800B3" w:rsidR="00545A71" w:rsidRPr="001622A9" w:rsidRDefault="00545A71" w:rsidP="007A7372">
            <w:pPr>
              <w:jc w:val="center"/>
              <w:rPr>
                <w:color w:val="000000"/>
                <w:sz w:val="18"/>
                <w:szCs w:val="18"/>
              </w:rPr>
            </w:pPr>
            <w:r w:rsidRPr="001622A9">
              <w:rPr>
                <w:color w:val="000000"/>
                <w:sz w:val="18"/>
                <w:szCs w:val="18"/>
              </w:rPr>
              <w:fldChar w:fldCharType="begin" w:fldLock="1"/>
            </w:r>
            <w:r w:rsidR="00D11AD8">
              <w:rPr>
                <w:color w:val="000000"/>
                <w:sz w:val="18"/>
                <w:szCs w:val="18"/>
              </w:rPr>
              <w:instrText>ADDIN CSL_CITATION {"citationItems":[{"id":"ITEM-1","itemData":{"DOI":"10.1016/j.gca.2020.08.012","ISSN":"00167037","abstract":"The role of man-made ponds on arsenic mobilization was examined in Bangladesh. Here, we describe a field experiment that shows how recharge from a newly constructed pond creates a reactive front that moves downward into the underlying aquifer, but only advances slowly, less than 8 cm/year. We found that pond recharge introduces organic carbon that likely drives the reduction of sulfate and solid-phase iron. However, over the six-year period of the study the pond did not drive arsenic contamination of the underlying groundwater. An electron balance indicates that significant precipitation of ferrous iron and sulfide minerals may immobilize arsenic despite the shift towards more reducing conditions, explaining the very low observed aqueous arsenic concentrations. We additionally found that the amount of solid-phase electron acceptors available in the shallow sediments strongly retards the advance of a reduced sediment front. Our results suggest that labile organic carbon introduced by man-made ponds is efficiently mineralized in the sediments immediately below the pond bottom and thus is unlikely to drive arsenic mobilization deeper within the aquifer. We suggest that the excavation of man-made ponds removes young surficial sediments, leaving aged and less reactive sediments beneath the pond, so that recharge through excavated ponds does not mobilize arsenic at the high rates observed in recharge through natural wetlands and river banks.","author":[{"dropping-particle":"","family":"Stahl","given":"Mason O.","non-dropping-particle":"","parse-names":false,"suffix":""},{"dropping-particle":"","family":"Badruzzaman","given":"A. B.M.","non-dropping-particle":"","parse-names":false,"suffix":""},{"dropping-particle":"","family":"Tarek","given":"Mehedi Hasan","non-dropping-particle":"","parse-names":false,"suffix":""},{"dropping-particle":"","family":"Harvey","given":"Charles F.","non-dropping-particle":"","parse-names":false,"suffix":""}],"container-title":"Geochimica et Cosmochimica Acta","id":"ITEM-1","issued":{"date-parts":[["2020","11","1"]]},"page":"262-281","publisher":"Elsevier Ltd","title":"Geochemical transformations beneath man-made ponds: Implications for arsenic mobilization in South Asian aquifers","type":"article-journal","volume":"288"},"uris":["http://www.mendeley.com/documents/?uuid=dac07da3-feb0-3e72-a2dc-32f23b4af0f6"]}],"mendeley":{"formattedCitation":"(&lt;i&gt;43&lt;/i&gt;)","plainTextFormattedCitation":"(43)","previouslyFormattedCitation":"&lt;sup&gt;43&lt;/sup&gt;"},"properties":{"noteIndex":0},"schema":"https://github.com/citation-style-language/schema/raw/master/csl-citation.json"}</w:instrText>
            </w:r>
            <w:r w:rsidRPr="001622A9">
              <w:rPr>
                <w:color w:val="000000"/>
                <w:sz w:val="18"/>
                <w:szCs w:val="18"/>
              </w:rPr>
              <w:fldChar w:fldCharType="separate"/>
            </w:r>
            <w:r w:rsidR="00D11AD8" w:rsidRPr="00D11AD8">
              <w:rPr>
                <w:noProof/>
                <w:color w:val="000000"/>
                <w:sz w:val="18"/>
                <w:szCs w:val="18"/>
              </w:rPr>
              <w:t>(</w:t>
            </w:r>
            <w:r w:rsidR="00D11AD8" w:rsidRPr="00D11AD8">
              <w:rPr>
                <w:i/>
                <w:noProof/>
                <w:color w:val="000000"/>
                <w:sz w:val="18"/>
                <w:szCs w:val="18"/>
              </w:rPr>
              <w:t>43</w:t>
            </w:r>
            <w:r w:rsidR="00D11AD8" w:rsidRPr="00D11AD8">
              <w:rPr>
                <w:noProof/>
                <w:color w:val="000000"/>
                <w:sz w:val="18"/>
                <w:szCs w:val="18"/>
              </w:rPr>
              <w:t>)</w:t>
            </w:r>
            <w:r w:rsidRPr="001622A9">
              <w:rPr>
                <w:color w:val="000000"/>
                <w:sz w:val="18"/>
                <w:szCs w:val="18"/>
              </w:rPr>
              <w:fldChar w:fldCharType="end"/>
            </w:r>
          </w:p>
        </w:tc>
      </w:tr>
      <w:tr w:rsidR="00545A71" w14:paraId="709A478D" w14:textId="77777777" w:rsidTr="007A7372">
        <w:trPr>
          <w:trHeight w:val="300"/>
          <w:jc w:val="center"/>
        </w:trPr>
        <w:tc>
          <w:tcPr>
            <w:tcW w:w="2200" w:type="dxa"/>
            <w:shd w:val="clear" w:color="auto" w:fill="auto"/>
            <w:noWrap/>
            <w:vAlign w:val="center"/>
            <w:hideMark/>
          </w:tcPr>
          <w:p w14:paraId="5D3AA96A" w14:textId="77777777" w:rsidR="00545A71" w:rsidRPr="001622A9" w:rsidRDefault="00545A71" w:rsidP="007A7372">
            <w:pPr>
              <w:jc w:val="center"/>
              <w:rPr>
                <w:color w:val="000000"/>
                <w:sz w:val="18"/>
                <w:szCs w:val="18"/>
              </w:rPr>
            </w:pPr>
            <w:r w:rsidRPr="001622A9">
              <w:rPr>
                <w:color w:val="000000"/>
                <w:sz w:val="18"/>
                <w:szCs w:val="18"/>
              </w:rPr>
              <w:t>Hossain et al</w:t>
            </w:r>
          </w:p>
        </w:tc>
        <w:tc>
          <w:tcPr>
            <w:tcW w:w="1935" w:type="dxa"/>
            <w:shd w:val="clear" w:color="auto" w:fill="auto"/>
            <w:noWrap/>
            <w:vAlign w:val="center"/>
            <w:hideMark/>
          </w:tcPr>
          <w:p w14:paraId="2E82320F" w14:textId="77777777" w:rsidR="00545A71" w:rsidRPr="001622A9" w:rsidRDefault="00545A71" w:rsidP="007A7372">
            <w:pPr>
              <w:jc w:val="center"/>
              <w:rPr>
                <w:color w:val="000000"/>
                <w:sz w:val="18"/>
                <w:szCs w:val="18"/>
              </w:rPr>
            </w:pPr>
            <w:r w:rsidRPr="001622A9">
              <w:rPr>
                <w:color w:val="000000"/>
                <w:sz w:val="18"/>
                <w:szCs w:val="18"/>
              </w:rPr>
              <w:t>2014</w:t>
            </w:r>
          </w:p>
        </w:tc>
        <w:tc>
          <w:tcPr>
            <w:tcW w:w="1071" w:type="dxa"/>
            <w:vAlign w:val="center"/>
          </w:tcPr>
          <w:p w14:paraId="53C7282A" w14:textId="77777777" w:rsidR="00545A71" w:rsidRPr="001622A9" w:rsidRDefault="00545A71" w:rsidP="007A7372">
            <w:pPr>
              <w:jc w:val="center"/>
              <w:rPr>
                <w:color w:val="000000"/>
                <w:sz w:val="18"/>
                <w:szCs w:val="18"/>
              </w:rPr>
            </w:pPr>
            <w:r>
              <w:rPr>
                <w:color w:val="000000"/>
                <w:sz w:val="18"/>
                <w:szCs w:val="18"/>
              </w:rPr>
              <w:t>6</w:t>
            </w:r>
          </w:p>
        </w:tc>
        <w:tc>
          <w:tcPr>
            <w:tcW w:w="1071" w:type="dxa"/>
            <w:shd w:val="clear" w:color="auto" w:fill="auto"/>
            <w:noWrap/>
            <w:vAlign w:val="center"/>
            <w:hideMark/>
          </w:tcPr>
          <w:p w14:paraId="1A5CAE60" w14:textId="48FBF172" w:rsidR="00545A71" w:rsidRPr="001622A9" w:rsidRDefault="00545A71" w:rsidP="007A7372">
            <w:pPr>
              <w:jc w:val="center"/>
              <w:rPr>
                <w:color w:val="000000"/>
                <w:sz w:val="18"/>
                <w:szCs w:val="18"/>
              </w:rPr>
            </w:pPr>
            <w:r w:rsidRPr="001622A9">
              <w:rPr>
                <w:color w:val="000000"/>
                <w:sz w:val="18"/>
                <w:szCs w:val="18"/>
              </w:rPr>
              <w:fldChar w:fldCharType="begin" w:fldLock="1"/>
            </w:r>
            <w:r w:rsidR="00D11AD8">
              <w:rPr>
                <w:color w:val="000000"/>
                <w:sz w:val="18"/>
                <w:szCs w:val="18"/>
              </w:rPr>
              <w:instrText>ADDIN CSL_CITATION {"citationItems":[{"id":"ITEM-1","itemData":{"DOI":"10.3329/jbas.v38i2.21338","ISSN":"0378-8121","abstract":"Groundwater of Chapai Nawabganj town has been studied using hydrogeological, hydrochemical and environmental isotope (?18O, ?2H, ?13C, 3H and 14C) data. Aquifer underneath the study area is divided into unconfined to semi-confined Holocene alluvial floodplain aquifer and confined Plio-Pleistocene Dupi Tila sandstone aquifer. Chemical composition of groundwater is characterized by high concentrations of Mg2+, Na+, Ca2+, HCO3-, FeTotal, and low concentrations of Mn2+, NO3 - and PO4 3-. Groundwater samples are mainly Mg-Ca-HCO3 and Na-Mg-Ca-HCO3 types and Na-Mg-Ca-Cl-HCO3 type of water is also found at some places. Based on Cl- and SO42- concentrations groundwater is normal chloride and normal sulphate water, respectively. In terms of SAR and EC values water is excellent for irrigation purpose. The isotopic composition also suggests some segregation of groundwater from the different aquifers and indicates different ages of recharge. DOI: http://dx.doi.org/10.3329/jbas.v38i2.21338 Journal of Bangladesh Academy of Sciences, Vol. 38, No. 2, 131-142, 2014","author":[{"dropping-particle":"","family":"Hossain","given":"Zakir","non-dropping-particle":"","parse-names":false,"suffix":""},{"dropping-particle":"","family":"Bashar","given":"Khairul","non-dropping-particle":"","parse-names":false,"suffix":""},{"dropping-particle":"","family":"Majumder","given":"Ratan Kumar","non-dropping-particle":"","parse-names":false,"suffix":""},{"dropping-particle":"","family":"Islam","given":"Mazeda","non-dropping-particle":"","parse-names":false,"suffix":""},{"dropping-particle":"","family":"Sarker","given":"Mizanur Rahman","non-dropping-particle":"","parse-names":false,"suffix":""}],"container-title":"Journal of Bangladesh Academy of Sciences","id":"ITEM-1","issue":"2","issued":{"date-parts":[["2014","12","28"]]},"page":"131-142","publisher":"Bangladesh Journals Online (JOL)","title":"Hydrogeological investigations of Chapai Nawabganj town of Nawabganj district, North-West Bangladesh using isotope and other techniques","type":"article-journal","volume":"38"},"uris":["http://www.mendeley.com/documents/?uuid=88a205c7-f6c7-3c1a-bb90-580664e99609"]}],"mendeley":{"formattedCitation":"(&lt;i&gt;40&lt;/i&gt;)","plainTextFormattedCitation":"(40)","previouslyFormattedCitation":"&lt;sup&gt;40&lt;/sup&gt;"},"properties":{"noteIndex":0},"schema":"https://github.com/citation-style-language/schema/raw/master/csl-citation.json"}</w:instrText>
            </w:r>
            <w:r w:rsidRPr="001622A9">
              <w:rPr>
                <w:color w:val="000000"/>
                <w:sz w:val="18"/>
                <w:szCs w:val="18"/>
              </w:rPr>
              <w:fldChar w:fldCharType="separate"/>
            </w:r>
            <w:r w:rsidR="00D11AD8" w:rsidRPr="00D11AD8">
              <w:rPr>
                <w:noProof/>
                <w:color w:val="000000"/>
                <w:sz w:val="18"/>
                <w:szCs w:val="18"/>
              </w:rPr>
              <w:t>(</w:t>
            </w:r>
            <w:r w:rsidR="00D11AD8" w:rsidRPr="00D11AD8">
              <w:rPr>
                <w:i/>
                <w:noProof/>
                <w:color w:val="000000"/>
                <w:sz w:val="18"/>
                <w:szCs w:val="18"/>
              </w:rPr>
              <w:t>40</w:t>
            </w:r>
            <w:r w:rsidR="00D11AD8" w:rsidRPr="00D11AD8">
              <w:rPr>
                <w:noProof/>
                <w:color w:val="000000"/>
                <w:sz w:val="18"/>
                <w:szCs w:val="18"/>
              </w:rPr>
              <w:t>)</w:t>
            </w:r>
            <w:r w:rsidRPr="001622A9">
              <w:rPr>
                <w:color w:val="000000"/>
                <w:sz w:val="18"/>
                <w:szCs w:val="18"/>
              </w:rPr>
              <w:fldChar w:fldCharType="end"/>
            </w:r>
          </w:p>
        </w:tc>
      </w:tr>
      <w:tr w:rsidR="00545A71" w14:paraId="187AA2B9" w14:textId="77777777" w:rsidTr="007A7372">
        <w:trPr>
          <w:trHeight w:val="320"/>
          <w:jc w:val="center"/>
        </w:trPr>
        <w:tc>
          <w:tcPr>
            <w:tcW w:w="2200" w:type="dxa"/>
            <w:shd w:val="clear" w:color="auto" w:fill="auto"/>
            <w:noWrap/>
            <w:vAlign w:val="center"/>
            <w:hideMark/>
          </w:tcPr>
          <w:p w14:paraId="69B7F2A4" w14:textId="77777777" w:rsidR="00545A71" w:rsidRPr="001622A9" w:rsidRDefault="00545A71" w:rsidP="007A7372">
            <w:pPr>
              <w:jc w:val="center"/>
              <w:rPr>
                <w:color w:val="000000"/>
                <w:sz w:val="18"/>
                <w:szCs w:val="18"/>
              </w:rPr>
            </w:pPr>
            <w:r w:rsidRPr="001622A9">
              <w:rPr>
                <w:color w:val="000000"/>
                <w:sz w:val="18"/>
                <w:szCs w:val="18"/>
              </w:rPr>
              <w:t>Mihajlov et al</w:t>
            </w:r>
          </w:p>
        </w:tc>
        <w:tc>
          <w:tcPr>
            <w:tcW w:w="1935" w:type="dxa"/>
            <w:shd w:val="clear" w:color="auto" w:fill="auto"/>
            <w:noWrap/>
            <w:vAlign w:val="center"/>
            <w:hideMark/>
          </w:tcPr>
          <w:p w14:paraId="50E478AF" w14:textId="77777777" w:rsidR="00545A71" w:rsidRPr="001622A9" w:rsidRDefault="00545A71" w:rsidP="007A7372">
            <w:pPr>
              <w:jc w:val="center"/>
              <w:rPr>
                <w:color w:val="000000"/>
                <w:sz w:val="18"/>
                <w:szCs w:val="18"/>
              </w:rPr>
            </w:pPr>
            <w:r w:rsidRPr="001622A9">
              <w:rPr>
                <w:color w:val="000000"/>
                <w:sz w:val="18"/>
                <w:szCs w:val="18"/>
              </w:rPr>
              <w:t>2016</w:t>
            </w:r>
          </w:p>
        </w:tc>
        <w:tc>
          <w:tcPr>
            <w:tcW w:w="1071" w:type="dxa"/>
            <w:vAlign w:val="center"/>
          </w:tcPr>
          <w:p w14:paraId="67F6BC1F" w14:textId="77777777" w:rsidR="00545A71" w:rsidRPr="001622A9" w:rsidRDefault="00545A71" w:rsidP="007A7372">
            <w:pPr>
              <w:jc w:val="center"/>
              <w:rPr>
                <w:color w:val="000000"/>
                <w:sz w:val="18"/>
                <w:szCs w:val="18"/>
              </w:rPr>
            </w:pPr>
            <w:r>
              <w:rPr>
                <w:color w:val="000000"/>
                <w:sz w:val="18"/>
                <w:szCs w:val="18"/>
              </w:rPr>
              <w:t>48</w:t>
            </w:r>
          </w:p>
        </w:tc>
        <w:tc>
          <w:tcPr>
            <w:tcW w:w="1071" w:type="dxa"/>
            <w:shd w:val="clear" w:color="auto" w:fill="auto"/>
            <w:noWrap/>
            <w:vAlign w:val="center"/>
            <w:hideMark/>
          </w:tcPr>
          <w:p w14:paraId="7F9BD656" w14:textId="73A0CDF4" w:rsidR="00545A71" w:rsidRPr="001622A9" w:rsidRDefault="00545A71" w:rsidP="007A7372">
            <w:pPr>
              <w:jc w:val="center"/>
              <w:rPr>
                <w:color w:val="000000"/>
                <w:sz w:val="18"/>
                <w:szCs w:val="18"/>
              </w:rPr>
            </w:pPr>
            <w:r w:rsidRPr="001622A9">
              <w:rPr>
                <w:color w:val="000000"/>
                <w:sz w:val="18"/>
                <w:szCs w:val="18"/>
              </w:rPr>
              <w:fldChar w:fldCharType="begin" w:fldLock="1"/>
            </w:r>
            <w:r w:rsidR="00D11AD8">
              <w:rPr>
                <w:color w:val="000000"/>
                <w:sz w:val="18"/>
                <w:szCs w:val="18"/>
              </w:rPr>
              <w:instrText>ADDIN CSL_CITATION {"citationItems":[{"id":"ITEM-1","itemData":{"DOI":"10.1002/2015WR018224","ISSN":"00431397","abstract":"More than 100,000 community wells have been installed in the 150–300 m depth range throughout Bangladesh over the past decade to provide low-arsenic drinking water (&lt;10 µg/L As), but little is known about how aquifers tapped by these wells are recharged. Within a 25 km2 area of Bangladesh east of Dhaka, groundwater from 65 low-As wells in the 35–240 m depth range was sampled for tritium (3H), oxygen and hydrogen isotopes of water (18O/16O and 2H/1H), carbon isotope ratios in dissolved inorganic carbon (DIC, 14C/12C and 13C/12C), noble gases, and a suite of dissolved constituents, including major cations, anions, and trace elements. At shallow depths (&lt;90 m), 24 out of 42 wells contain detectable 3H of up to 6 TU, indicating the presence of groundwater recharged within 60 years. Radiocarbon (14C) ages in DIC range from modern to 10 kyr. In the 90–240 m depth range, however, only five wells shallower than 150 m contain detectable 3H (&lt;0.3 TU) and 14C ages of DIC cluster around 10 kyr. The radiogenic helium (4He) content in groundwater increases linearly across the entire range of 14C ages at a rate of 2.5 × 10−12 ccSTP 4He g−1 yr−1. Within the samples from depths &gt;90 m, systematic relationships between 18O/16O, 2H/1H, 13C/12C, and 14C/12C, and variations in noble gas temperatures, suggest that changes in monsoon intensity and vegetation cover occurred at the onset of the Holocene, when the sampled water was recharged. Thus, the deeper low-As aquifers remain relatively isolated from the shallow, high-As aquifer.","author":[{"dropping-particle":"","family":"Mihajlov","given":"I.","non-dropping-particle":"","parse-names":false,"suffix":""},{"dropping-particle":"","family":"Stute","given":"M.","non-dropping-particle":"","parse-names":false,"suffix":""},{"dropping-particle":"","family":"Schlosser","given":"P.","non-dropping-particle":"","parse-names":false,"suffix":""},{"dropping-particle":"","family":"Mailloux","given":"B. J.","non-dropping-particle":"","parse-names":false,"suffix":""},{"dropping-particle":"","family":"Zheng","given":"Y.","non-dropping-particle":"","parse-names":false,"suffix":""},{"dropping-particle":"","family":"Choudhury","given":"I.","non-dropping-particle":"","parse-names":false,"suffix":""},{"dropping-particle":"","family":"Ahmed","given":"K. M.","non-dropping-particle":"","parse-names":false,"suffix":""},{"dropping-particle":"","family":"Geen","given":"A.","non-dropping-particle":"van","parse-names":false,"suffix":""}],"container-title":"Water Resources Research","id":"ITEM-1","issue":"5","issued":{"date-parts":[["2016","5","1"]]},"page":"3324-3349","publisher":"Blackwell Publishing Ltd","title":"Recharge of low-arsenic aquifers tapped by community wells in Araihazar, Bangladesh, inferred from environmental isotopes","type":"article-journal","volume":"52"},"uris":["http://www.mendeley.com/documents/?uuid=ec3087f1-7c97-397f-87ff-8526031b1d31"]}],"mendeley":{"formattedCitation":"(&lt;i&gt;7&lt;/i&gt;)","plainTextFormattedCitation":"(7)","previouslyFormattedCitation":"&lt;sup&gt;7&lt;/sup&gt;"},"properties":{"noteIndex":0},"schema":"https://github.com/citation-style-language/schema/raw/master/csl-citation.json"}</w:instrText>
            </w:r>
            <w:r w:rsidRPr="001622A9">
              <w:rPr>
                <w:color w:val="000000"/>
                <w:sz w:val="18"/>
                <w:szCs w:val="18"/>
              </w:rPr>
              <w:fldChar w:fldCharType="separate"/>
            </w:r>
            <w:r w:rsidR="00D11AD8" w:rsidRPr="00D11AD8">
              <w:rPr>
                <w:noProof/>
                <w:color w:val="000000"/>
                <w:sz w:val="18"/>
                <w:szCs w:val="18"/>
              </w:rPr>
              <w:t>(</w:t>
            </w:r>
            <w:r w:rsidR="00D11AD8" w:rsidRPr="00D11AD8">
              <w:rPr>
                <w:i/>
                <w:noProof/>
                <w:color w:val="000000"/>
                <w:sz w:val="18"/>
                <w:szCs w:val="18"/>
              </w:rPr>
              <w:t>7</w:t>
            </w:r>
            <w:r w:rsidR="00D11AD8" w:rsidRPr="00D11AD8">
              <w:rPr>
                <w:noProof/>
                <w:color w:val="000000"/>
                <w:sz w:val="18"/>
                <w:szCs w:val="18"/>
              </w:rPr>
              <w:t>)</w:t>
            </w:r>
            <w:r w:rsidRPr="001622A9">
              <w:rPr>
                <w:color w:val="000000"/>
                <w:sz w:val="18"/>
                <w:szCs w:val="18"/>
              </w:rPr>
              <w:fldChar w:fldCharType="end"/>
            </w:r>
          </w:p>
        </w:tc>
      </w:tr>
      <w:tr w:rsidR="00545A71" w14:paraId="11B994F5" w14:textId="77777777" w:rsidTr="007A7372">
        <w:trPr>
          <w:trHeight w:val="320"/>
          <w:jc w:val="center"/>
        </w:trPr>
        <w:tc>
          <w:tcPr>
            <w:tcW w:w="2200" w:type="dxa"/>
            <w:shd w:val="clear" w:color="auto" w:fill="auto"/>
            <w:noWrap/>
            <w:vAlign w:val="center"/>
            <w:hideMark/>
          </w:tcPr>
          <w:p w14:paraId="33C141E3" w14:textId="77777777" w:rsidR="00545A71" w:rsidRPr="001622A9" w:rsidRDefault="00545A71" w:rsidP="007A7372">
            <w:pPr>
              <w:jc w:val="center"/>
              <w:rPr>
                <w:color w:val="000000"/>
                <w:sz w:val="18"/>
                <w:szCs w:val="18"/>
              </w:rPr>
            </w:pPr>
            <w:r w:rsidRPr="001622A9">
              <w:rPr>
                <w:color w:val="000000"/>
                <w:sz w:val="18"/>
                <w:szCs w:val="18"/>
              </w:rPr>
              <w:t>Lapworth et al</w:t>
            </w:r>
          </w:p>
        </w:tc>
        <w:tc>
          <w:tcPr>
            <w:tcW w:w="1935" w:type="dxa"/>
            <w:shd w:val="clear" w:color="auto" w:fill="auto"/>
            <w:noWrap/>
            <w:vAlign w:val="center"/>
            <w:hideMark/>
          </w:tcPr>
          <w:p w14:paraId="18098187" w14:textId="77777777" w:rsidR="00545A71" w:rsidRPr="001622A9" w:rsidRDefault="00545A71" w:rsidP="007A7372">
            <w:pPr>
              <w:jc w:val="center"/>
              <w:rPr>
                <w:color w:val="000000"/>
                <w:sz w:val="18"/>
                <w:szCs w:val="18"/>
              </w:rPr>
            </w:pPr>
            <w:r w:rsidRPr="001622A9">
              <w:rPr>
                <w:color w:val="000000"/>
                <w:sz w:val="18"/>
                <w:szCs w:val="18"/>
              </w:rPr>
              <w:t>2018</w:t>
            </w:r>
          </w:p>
        </w:tc>
        <w:tc>
          <w:tcPr>
            <w:tcW w:w="1071" w:type="dxa"/>
            <w:vAlign w:val="center"/>
          </w:tcPr>
          <w:p w14:paraId="3FBAC646" w14:textId="77777777" w:rsidR="00545A71" w:rsidRPr="001622A9" w:rsidRDefault="00545A71" w:rsidP="007A7372">
            <w:pPr>
              <w:jc w:val="center"/>
              <w:rPr>
                <w:color w:val="000000"/>
                <w:sz w:val="18"/>
                <w:szCs w:val="18"/>
              </w:rPr>
            </w:pPr>
            <w:r>
              <w:rPr>
                <w:color w:val="000000"/>
                <w:sz w:val="18"/>
                <w:szCs w:val="18"/>
              </w:rPr>
              <w:t>12</w:t>
            </w:r>
          </w:p>
        </w:tc>
        <w:tc>
          <w:tcPr>
            <w:tcW w:w="1071" w:type="dxa"/>
            <w:shd w:val="clear" w:color="auto" w:fill="auto"/>
            <w:noWrap/>
            <w:vAlign w:val="center"/>
            <w:hideMark/>
          </w:tcPr>
          <w:p w14:paraId="7B55480A" w14:textId="0EB80833" w:rsidR="00545A71" w:rsidRPr="001622A9" w:rsidRDefault="00545A71" w:rsidP="007A7372">
            <w:pPr>
              <w:jc w:val="center"/>
              <w:rPr>
                <w:color w:val="000000"/>
                <w:sz w:val="18"/>
                <w:szCs w:val="18"/>
              </w:rPr>
            </w:pPr>
            <w:r w:rsidRPr="001622A9">
              <w:rPr>
                <w:color w:val="000000"/>
                <w:sz w:val="18"/>
                <w:szCs w:val="18"/>
              </w:rPr>
              <w:fldChar w:fldCharType="begin" w:fldLock="1"/>
            </w:r>
            <w:r w:rsidR="00D11AD8">
              <w:rPr>
                <w:color w:val="000000"/>
                <w:sz w:val="18"/>
                <w:szCs w:val="18"/>
              </w:rPr>
              <w:instrText>ADDIN CSL_CITATION {"citationItems":[{"id":"ITEM-1","itemData":{"DOI":"10.1029/2018GL078640","ISSN":"0094-8276","abstract":"Uncertainty persists regarding the vulnerability of deep groundwater across Asia's megadeltas. In the coastal Bengal Basin aquifer system, shallow groundwater (&lt;100 m) commonly features high salinity or arsenic concentrations, and deep, better-quality, groundwater supplies drinking water to &gt;80 million people. Here we report new radiocarbon evidence from a network of nine dedicated, multilevel monitoring wells, which indicates residence times of between 103 and 104 years for groundwater at depths &gt;150 m. Modern groundwater detected in some deep abstraction wells using anthropogenic tracers (SF6, CFCs) is attributed to short circuiting of shallow groundwater within wells. Age-depth profiles and hydrochemical data in monitoring wells confirm the regional resilience of deep groundwater to ingress of shallow contaminated groundwater. Our results are consistent with high regional anisotropy in the aquifer and support continued use of deep groundwater though the potential for leakage of shallow contaminated groundwater in deep abstraction wells requires careful monitoring.","author":[{"dropping-particle":"","family":"Lapworth","given":"D. J.","non-dropping-particle":"","parse-names":false,"suffix":""},{"dropping-particle":"","family":"Zahid","given":"A.","non-dropping-particle":"","parse-names":false,"suffix":""},{"dropping-particle":"","family":"Taylor","given":"R. G.","non-dropping-particle":"","parse-names":false,"suffix":""},{"dropping-particle":"","family":"Burgess","given":"W. G.","non-dropping-particle":"","parse-names":false,"suffix":""},{"dropping-particle":"","family":"Shamsudduha","given":"M.","non-dropping-particle":"","parse-names":false,"suffix":""},{"dropping-particle":"","family":"Ahmed","given":"K. M.","non-dropping-particle":"","parse-names":false,"suffix":""},{"dropping-particle":"","family":"Mukherjee","given":"A.","non-dropping-particle":"","parse-names":false,"suffix":""},{"dropping-particle":"","family":"Gooddy","given":"D. C.","non-dropping-particle":"","parse-names":false,"suffix":""},{"dropping-particle":"","family":"Chatterjee","given":"D.","non-dropping-particle":"","parse-names":false,"suffix":""},{"dropping-particle":"","family":"MacDonald","given":"A. M.","non-dropping-particle":"","parse-names":false,"suffix":""}],"container-title":"Geophysical Research Letters","id":"ITEM-1","issue":"16","issued":{"date-parts":[["2018","8","28"]]},"page":"8241-8252","publisher":"Blackwell Publishing Ltd","title":"Security of Deep Groundwater in the Coastal Bengal Basin Revealed by Tracers","type":"article-journal","volume":"45"},"uris":["http://www.mendeley.com/documents/?uuid=25742a3a-e24f-3870-bb9f-7d520f982824"]}],"mendeley":{"formattedCitation":"(&lt;i&gt;44&lt;/i&gt;)","plainTextFormattedCitation":"(44)","previouslyFormattedCitation":"&lt;sup&gt;44&lt;/sup&gt;"},"properties":{"noteIndex":0},"schema":"https://github.com/citation-style-language/schema/raw/master/csl-citation.json"}</w:instrText>
            </w:r>
            <w:r w:rsidRPr="001622A9">
              <w:rPr>
                <w:color w:val="000000"/>
                <w:sz w:val="18"/>
                <w:szCs w:val="18"/>
              </w:rPr>
              <w:fldChar w:fldCharType="separate"/>
            </w:r>
            <w:r w:rsidR="00D11AD8" w:rsidRPr="00D11AD8">
              <w:rPr>
                <w:noProof/>
                <w:color w:val="000000"/>
                <w:sz w:val="18"/>
                <w:szCs w:val="18"/>
              </w:rPr>
              <w:t>(</w:t>
            </w:r>
            <w:r w:rsidR="00D11AD8" w:rsidRPr="00D11AD8">
              <w:rPr>
                <w:i/>
                <w:noProof/>
                <w:color w:val="000000"/>
                <w:sz w:val="18"/>
                <w:szCs w:val="18"/>
              </w:rPr>
              <w:t>44</w:t>
            </w:r>
            <w:r w:rsidR="00D11AD8" w:rsidRPr="00D11AD8">
              <w:rPr>
                <w:noProof/>
                <w:color w:val="000000"/>
                <w:sz w:val="18"/>
                <w:szCs w:val="18"/>
              </w:rPr>
              <w:t>)</w:t>
            </w:r>
            <w:r w:rsidRPr="001622A9">
              <w:rPr>
                <w:color w:val="000000"/>
                <w:sz w:val="18"/>
                <w:szCs w:val="18"/>
              </w:rPr>
              <w:fldChar w:fldCharType="end"/>
            </w:r>
          </w:p>
        </w:tc>
      </w:tr>
      <w:tr w:rsidR="00545A71" w14:paraId="48E87911" w14:textId="77777777" w:rsidTr="007A7372">
        <w:trPr>
          <w:trHeight w:val="320"/>
          <w:jc w:val="center"/>
        </w:trPr>
        <w:tc>
          <w:tcPr>
            <w:tcW w:w="2200" w:type="dxa"/>
            <w:shd w:val="clear" w:color="auto" w:fill="auto"/>
            <w:noWrap/>
            <w:vAlign w:val="center"/>
            <w:hideMark/>
          </w:tcPr>
          <w:p w14:paraId="17942F15" w14:textId="77777777" w:rsidR="00545A71" w:rsidRPr="001622A9" w:rsidRDefault="00545A71" w:rsidP="007A7372">
            <w:pPr>
              <w:jc w:val="center"/>
              <w:rPr>
                <w:color w:val="000000"/>
                <w:sz w:val="18"/>
                <w:szCs w:val="18"/>
              </w:rPr>
            </w:pPr>
            <w:r>
              <w:rPr>
                <w:color w:val="000000"/>
                <w:sz w:val="18"/>
                <w:szCs w:val="18"/>
              </w:rPr>
              <w:t>BAEC</w:t>
            </w:r>
          </w:p>
        </w:tc>
        <w:tc>
          <w:tcPr>
            <w:tcW w:w="1935" w:type="dxa"/>
            <w:shd w:val="clear" w:color="auto" w:fill="auto"/>
            <w:noWrap/>
            <w:vAlign w:val="center"/>
            <w:hideMark/>
          </w:tcPr>
          <w:p w14:paraId="2ADEF553" w14:textId="77777777" w:rsidR="00545A71" w:rsidRPr="001622A9" w:rsidRDefault="00545A71" w:rsidP="007A7372">
            <w:pPr>
              <w:jc w:val="center"/>
              <w:rPr>
                <w:color w:val="000000"/>
                <w:sz w:val="18"/>
                <w:szCs w:val="18"/>
              </w:rPr>
            </w:pPr>
            <w:r w:rsidRPr="001622A9">
              <w:rPr>
                <w:color w:val="000000"/>
                <w:sz w:val="18"/>
                <w:szCs w:val="18"/>
              </w:rPr>
              <w:t>20</w:t>
            </w:r>
            <w:r>
              <w:rPr>
                <w:color w:val="000000"/>
                <w:sz w:val="18"/>
                <w:szCs w:val="18"/>
              </w:rPr>
              <w:t>01</w:t>
            </w:r>
          </w:p>
        </w:tc>
        <w:tc>
          <w:tcPr>
            <w:tcW w:w="1071" w:type="dxa"/>
            <w:vAlign w:val="center"/>
          </w:tcPr>
          <w:p w14:paraId="46762993" w14:textId="77777777" w:rsidR="00545A71" w:rsidRPr="001622A9" w:rsidRDefault="00545A71" w:rsidP="007A7372">
            <w:pPr>
              <w:jc w:val="center"/>
              <w:rPr>
                <w:color w:val="000000"/>
                <w:sz w:val="18"/>
                <w:szCs w:val="18"/>
              </w:rPr>
            </w:pPr>
            <w:r>
              <w:rPr>
                <w:color w:val="000000"/>
                <w:sz w:val="18"/>
                <w:szCs w:val="18"/>
              </w:rPr>
              <w:t>18</w:t>
            </w:r>
          </w:p>
        </w:tc>
        <w:tc>
          <w:tcPr>
            <w:tcW w:w="1071" w:type="dxa"/>
            <w:shd w:val="clear" w:color="auto" w:fill="auto"/>
            <w:noWrap/>
            <w:vAlign w:val="center"/>
            <w:hideMark/>
          </w:tcPr>
          <w:p w14:paraId="3E25BDA0" w14:textId="0D626F19" w:rsidR="00545A71" w:rsidRPr="001622A9" w:rsidRDefault="00545A71" w:rsidP="007A7372">
            <w:pPr>
              <w:jc w:val="center"/>
              <w:rPr>
                <w:color w:val="000000"/>
                <w:sz w:val="18"/>
                <w:szCs w:val="18"/>
              </w:rPr>
            </w:pPr>
            <w:r w:rsidRPr="001622A9">
              <w:rPr>
                <w:color w:val="000000"/>
                <w:sz w:val="18"/>
                <w:szCs w:val="18"/>
              </w:rPr>
              <w:fldChar w:fldCharType="begin" w:fldLock="1"/>
            </w:r>
            <w:r w:rsidR="00D11AD8">
              <w:rPr>
                <w:color w:val="000000"/>
                <w:sz w:val="18"/>
                <w:szCs w:val="18"/>
              </w:rPr>
              <w:instrText>ADDIN CSL_CITATION {"citationItems":[{"id":"ITEM-1","itemData":{"DOI":"10.1002/hyp.13267","ISSN":"10991085","abstract":"In the Bengal Basin of Bangladesh and West Bengal (India), where arsenic (As) and salinity adversely affect groundwater in shallow aquifers (&lt;150 m deep), consumers increasingly turn to “the deep aquifer” as a source of low-As and low-salinity water. We show that “the deep aquifer,” which has traditionally been regarded as a single entity, can be divided into at least eight deep aquifer units each with distinctive chemical, isotopic, hydraulic, and piezometric characteristics. Except in the rapidly subsiding Sylhet Basin, the deep aquifers are largely As-safe (&lt;50 μg/L and mostly &lt;10 μg/L) but differ in terms of iron (Fe), manganese (Mn), salinity, stable isotopic composition, groundwater age, and in their piezometric response to pumping. We use isotopic data to identify recharge from five periods, of which two are quantitatively dominant: (a) from the Last Glacial Maximum, isotopically heavy water (δ18O &gt;−3.5‰) with low As, Cl, and Fe concentrations occupies hydraulically trapped positions in the South-Central, Southeast, Southwest, and Madhupur aquifer units and (b) terminal Pleistocene to Early Holocene recharge of isotopically lighter water (δ18O &lt;−3.5‰) that has high Fe and slightly elevated Cl concentrations and was recharged along palaeochannels that facilitated deep circulation up to the mid-Holocene. Piezometric responses to development change in style towards the coast. In the north, water levels at all depths tend to be coincident and transition through a seasonally divergent pattern to become parallel in the south with a near constant downward gradient. The delineation of the deep aquifer units provides a practical framework for the assessment and management of groundwater resources for water supply.","author":[{"dropping-particle":"","family":"Ravenscroft","given":"Peter","non-dropping-particle":"","parse-names":false,"suffix":""},{"dropping-particle":"","family":"McArthur","given":"John M.","non-dropping-particle":"","parse-names":false,"suffix":""},{"dropping-particle":"","family":"Rahman","given":"Muhammad Saifur","non-dropping-particle":"","parse-names":false,"suffix":""}],"container-title":"Hydrological Processes","id":"ITEM-1","issue":"24","issued":{"date-parts":[["2018","11","30"]]},"page":"3615-3632","publisher":"John Wiley and Sons Ltd","title":"Identifying multiple deep aquifers in the Bengal Basin: Implications for resource management","type":"article-journal","volume":"32"},"uris":["http://www.mendeley.com/documents/?uuid=1d88d2d5-ecf2-3e5c-833b-5d992bbe2125"]}],"mendeley":{"formattedCitation":"(&lt;i&gt;10&lt;/i&gt;)","plainTextFormattedCitation":"(10)","previouslyFormattedCitation":"&lt;sup&gt;10&lt;/sup&gt;"},"properties":{"noteIndex":0},"schema":"https://github.com/citation-style-language/schema/raw/master/csl-citation.json"}</w:instrText>
            </w:r>
            <w:r w:rsidRPr="001622A9">
              <w:rPr>
                <w:color w:val="000000"/>
                <w:sz w:val="18"/>
                <w:szCs w:val="18"/>
              </w:rPr>
              <w:fldChar w:fldCharType="separate"/>
            </w:r>
            <w:r w:rsidR="00D11AD8" w:rsidRPr="00D11AD8">
              <w:rPr>
                <w:noProof/>
                <w:color w:val="000000"/>
                <w:sz w:val="18"/>
                <w:szCs w:val="18"/>
              </w:rPr>
              <w:t>(</w:t>
            </w:r>
            <w:r w:rsidR="00D11AD8" w:rsidRPr="00D11AD8">
              <w:rPr>
                <w:i/>
                <w:noProof/>
                <w:color w:val="000000"/>
                <w:sz w:val="18"/>
                <w:szCs w:val="18"/>
              </w:rPr>
              <w:t>10</w:t>
            </w:r>
            <w:r w:rsidR="00D11AD8" w:rsidRPr="00D11AD8">
              <w:rPr>
                <w:noProof/>
                <w:color w:val="000000"/>
                <w:sz w:val="18"/>
                <w:szCs w:val="18"/>
              </w:rPr>
              <w:t>)</w:t>
            </w:r>
            <w:r w:rsidRPr="001622A9">
              <w:rPr>
                <w:color w:val="000000"/>
                <w:sz w:val="18"/>
                <w:szCs w:val="18"/>
              </w:rPr>
              <w:fldChar w:fldCharType="end"/>
            </w:r>
          </w:p>
        </w:tc>
      </w:tr>
      <w:tr w:rsidR="00545A71" w14:paraId="0A79728B" w14:textId="77777777" w:rsidTr="007A7372">
        <w:trPr>
          <w:trHeight w:val="320"/>
          <w:jc w:val="center"/>
        </w:trPr>
        <w:tc>
          <w:tcPr>
            <w:tcW w:w="2200" w:type="dxa"/>
            <w:shd w:val="clear" w:color="auto" w:fill="auto"/>
            <w:noWrap/>
            <w:vAlign w:val="center"/>
            <w:hideMark/>
          </w:tcPr>
          <w:p w14:paraId="19796821" w14:textId="77777777" w:rsidR="00545A71" w:rsidRPr="001622A9" w:rsidRDefault="00545A71" w:rsidP="007A7372">
            <w:pPr>
              <w:jc w:val="center"/>
              <w:rPr>
                <w:color w:val="000000"/>
                <w:sz w:val="18"/>
                <w:szCs w:val="18"/>
              </w:rPr>
            </w:pPr>
            <w:r w:rsidRPr="001622A9">
              <w:rPr>
                <w:color w:val="000000"/>
                <w:sz w:val="18"/>
                <w:szCs w:val="18"/>
              </w:rPr>
              <w:t>Khan et al</w:t>
            </w:r>
          </w:p>
        </w:tc>
        <w:tc>
          <w:tcPr>
            <w:tcW w:w="1935" w:type="dxa"/>
            <w:shd w:val="clear" w:color="auto" w:fill="auto"/>
            <w:noWrap/>
            <w:vAlign w:val="center"/>
            <w:hideMark/>
          </w:tcPr>
          <w:p w14:paraId="619C837E" w14:textId="77777777" w:rsidR="00545A71" w:rsidRPr="001622A9" w:rsidRDefault="00545A71" w:rsidP="007A7372">
            <w:pPr>
              <w:jc w:val="center"/>
              <w:rPr>
                <w:color w:val="000000"/>
                <w:sz w:val="18"/>
                <w:szCs w:val="18"/>
              </w:rPr>
            </w:pPr>
            <w:r w:rsidRPr="001622A9">
              <w:rPr>
                <w:color w:val="000000"/>
                <w:sz w:val="18"/>
                <w:szCs w:val="18"/>
              </w:rPr>
              <w:t>2019</w:t>
            </w:r>
          </w:p>
        </w:tc>
        <w:tc>
          <w:tcPr>
            <w:tcW w:w="1071" w:type="dxa"/>
            <w:vAlign w:val="center"/>
          </w:tcPr>
          <w:p w14:paraId="4C6D59E1" w14:textId="77777777" w:rsidR="00545A71" w:rsidRPr="001622A9" w:rsidRDefault="00545A71" w:rsidP="007A7372">
            <w:pPr>
              <w:jc w:val="center"/>
              <w:rPr>
                <w:color w:val="000000"/>
                <w:sz w:val="18"/>
                <w:szCs w:val="18"/>
              </w:rPr>
            </w:pPr>
            <w:r>
              <w:rPr>
                <w:color w:val="000000"/>
                <w:sz w:val="18"/>
                <w:szCs w:val="18"/>
              </w:rPr>
              <w:t>55</w:t>
            </w:r>
          </w:p>
        </w:tc>
        <w:tc>
          <w:tcPr>
            <w:tcW w:w="1071" w:type="dxa"/>
            <w:shd w:val="clear" w:color="auto" w:fill="auto"/>
            <w:noWrap/>
            <w:vAlign w:val="center"/>
            <w:hideMark/>
          </w:tcPr>
          <w:p w14:paraId="1A1DF62A" w14:textId="04F56550" w:rsidR="00545A71" w:rsidRPr="001622A9" w:rsidRDefault="00545A71" w:rsidP="007A7372">
            <w:pPr>
              <w:jc w:val="center"/>
              <w:rPr>
                <w:color w:val="000000"/>
                <w:sz w:val="18"/>
                <w:szCs w:val="18"/>
              </w:rPr>
            </w:pPr>
            <w:r w:rsidRPr="001622A9">
              <w:rPr>
                <w:color w:val="000000"/>
                <w:sz w:val="18"/>
                <w:szCs w:val="18"/>
              </w:rPr>
              <w:fldChar w:fldCharType="begin" w:fldLock="1"/>
            </w:r>
            <w:r w:rsidR="00D11AD8">
              <w:rPr>
                <w:color w:val="000000"/>
                <w:sz w:val="18"/>
                <w:szCs w:val="18"/>
              </w:rPr>
              <w:instrText>ADDIN CSL_CITATION {"citationItems":[{"id":"ITEM-1","itemData":{"DOI":"10.1029/2019GL084767","ISSN":"19448007","abstract":"Elevated arsenic in Bengal Basin aquifers threatens human health. Most deep (&gt;150 m) groundwater in Pleistocene aquifers is low in arsenic; however higher concentrations have been reported in the southwest border region. Here, we establish that this extensive arsenic contamination at depth is not associated with well failure. A combination of geochemistry and flow modeling constrains the factors that contribute to arsenic contamination at depth in this region. Deep groundwater in the affected area is younger (2.0 ± 0.6 kyr) than deep, low-arsenic groundwater elsewhere (12.0 ± 4.0 kyr) based on radiocarbon. Stratigraphic data indicate pre-Holocene deposition of the contaminated aquifers, but few low-permeability strata. Numerical modeling indicates that this stratigraphic anomaly permits a natural flow system that transports shallow groundwater to depth. Thus, in areas lacking low-permeability layers, arsenic contamination can occur in pre-Holocene aquifers and is probably not an early sign of future deep contamination in regions with interbedded low-permeability strata.","author":[{"dropping-particle":"","family":"Khan","given":"M. R.","non-dropping-particle":"","parse-names":false,"suffix":""},{"dropping-particle":"","family":"Michael","given":"H. A.","non-dropping-particle":"","parse-names":false,"suffix":""},{"dropping-particle":"","family":"Nath","given":"B.","non-dropping-particle":"","parse-names":false,"suffix":""},{"dropping-particle":"","family":"Huhmann","given":"B. L.","non-dropping-particle":"","parse-names":false,"suffix":""},{"dropping-particle":"","family":"Harvey","given":"C. F.","non-dropping-particle":"","parse-names":false,"suffix":""},{"dropping-particle":"","family":"Mukherjee","given":"A.","non-dropping-particle":"","parse-names":false,"suffix":""},{"dropping-particle":"","family":"Choudhury","given":"I.","non-dropping-particle":"","parse-names":false,"suffix":""},{"dropping-particle":"","family":"Chakraborty","given":"M.","non-dropping-particle":"","parse-names":false,"suffix":""},{"dropping-particle":"","family":"Ullah","given":"M. S.","non-dropping-particle":"","parse-names":false,"suffix":""},{"dropping-particle":"","family":"Ahmed","given":"K. M.","non-dropping-particle":"","parse-names":false,"suffix":""},{"dropping-particle":"","family":"Goodbred","given":"S. L.","non-dropping-particle":"","parse-names":false,"suffix":""},{"dropping-particle":"","family":"Schlosser","given":"P.","non-dropping-particle":"","parse-names":false,"suffix":""},{"dropping-particle":"","family":"Bostick","given":"B. C.","non-dropping-particle":"","parse-names":false,"suffix":""},{"dropping-particle":"","family":"Mailloux","given":"B. J.","non-dropping-particle":"","parse-names":false,"suffix":""},{"dropping-particle":"","family":"Ellis","given":"T.","non-dropping-particle":"","parse-names":false,"suffix":""},{"dropping-particle":"","family":"Geen","given":"A.","non-dropping-particle":"van","parse-names":false,"suffix":""}],"container-title":"Geophysical Research Letters","id":"ITEM-1","issue":"22","issued":{"date-parts":[["2019","11","28"]]},"page":"13062-13071","publisher":"Blackwell Publishing Ltd","title":"High-Arsenic Groundwater in the Southwestern Bengal Basin Caused by a Lithologically Controlled Deep Flow System","type":"article-journal","volume":"46"},"uris":["http://www.mendeley.com/documents/?uuid=3f5f8c74-dcc2-3486-8572-3e14868c08e0"]}],"mendeley":{"formattedCitation":"(&lt;i&gt;18&lt;/i&gt;)","plainTextFormattedCitation":"(18)","previouslyFormattedCitation":"&lt;sup&gt;18&lt;/sup&gt;"},"properties":{"noteIndex":0},"schema":"https://github.com/citation-style-language/schema/raw/master/csl-citation.json"}</w:instrText>
            </w:r>
            <w:r w:rsidRPr="001622A9">
              <w:rPr>
                <w:color w:val="000000"/>
                <w:sz w:val="18"/>
                <w:szCs w:val="18"/>
              </w:rPr>
              <w:fldChar w:fldCharType="separate"/>
            </w:r>
            <w:r w:rsidR="00D11AD8" w:rsidRPr="00D11AD8">
              <w:rPr>
                <w:noProof/>
                <w:color w:val="000000"/>
                <w:sz w:val="18"/>
                <w:szCs w:val="18"/>
              </w:rPr>
              <w:t>(</w:t>
            </w:r>
            <w:r w:rsidR="00D11AD8" w:rsidRPr="00D11AD8">
              <w:rPr>
                <w:i/>
                <w:noProof/>
                <w:color w:val="000000"/>
                <w:sz w:val="18"/>
                <w:szCs w:val="18"/>
              </w:rPr>
              <w:t>18</w:t>
            </w:r>
            <w:r w:rsidR="00D11AD8" w:rsidRPr="00D11AD8">
              <w:rPr>
                <w:noProof/>
                <w:color w:val="000000"/>
                <w:sz w:val="18"/>
                <w:szCs w:val="18"/>
              </w:rPr>
              <w:t>)</w:t>
            </w:r>
            <w:r w:rsidRPr="001622A9">
              <w:rPr>
                <w:color w:val="000000"/>
                <w:sz w:val="18"/>
                <w:szCs w:val="18"/>
              </w:rPr>
              <w:fldChar w:fldCharType="end"/>
            </w:r>
          </w:p>
        </w:tc>
      </w:tr>
    </w:tbl>
    <w:p w14:paraId="702BE455" w14:textId="77777777" w:rsidR="00545A71" w:rsidRDefault="00545A71" w:rsidP="00545A71">
      <w:pPr>
        <w:spacing w:after="160"/>
        <w:ind w:firstLine="720"/>
      </w:pPr>
    </w:p>
    <w:p w14:paraId="5EE386AA" w14:textId="77777777" w:rsidR="00545A71" w:rsidRDefault="00545A71" w:rsidP="00545A71">
      <w:pPr>
        <w:spacing w:after="160"/>
        <w:ind w:firstLine="720"/>
      </w:pPr>
      <w:r>
        <w:t xml:space="preserve">Table S4: </w:t>
      </w:r>
      <w:r>
        <w:rPr>
          <w:highlight w:val="white"/>
        </w:rPr>
        <w:t>Moran’s I statistics for fractional contribution</w:t>
      </w:r>
      <w:r>
        <w:t xml:space="preserve"> </w:t>
      </w:r>
      <w:r>
        <w:rPr>
          <w:highlight w:val="white"/>
        </w:rPr>
        <w:t>from standing water</w:t>
      </w:r>
      <w:r>
        <w:t>, precipitation and river. All values are statistically significant (p&lt;0.05).</w:t>
      </w:r>
    </w:p>
    <w:tbl>
      <w:tblPr>
        <w:tblStyle w:val="TableGrid"/>
        <w:tblW w:w="0" w:type="auto"/>
        <w:tblInd w:w="-95" w:type="dxa"/>
        <w:tblLook w:val="04A0" w:firstRow="1" w:lastRow="0" w:firstColumn="1" w:lastColumn="0" w:noHBand="0" w:noVBand="1"/>
      </w:tblPr>
      <w:tblGrid>
        <w:gridCol w:w="2790"/>
        <w:gridCol w:w="1979"/>
        <w:gridCol w:w="2338"/>
        <w:gridCol w:w="2338"/>
      </w:tblGrid>
      <w:tr w:rsidR="00545A71" w14:paraId="76545D73" w14:textId="77777777" w:rsidTr="007A7372">
        <w:tc>
          <w:tcPr>
            <w:tcW w:w="2790" w:type="dxa"/>
          </w:tcPr>
          <w:p w14:paraId="59B21647" w14:textId="77777777" w:rsidR="00545A71" w:rsidRDefault="00545A71" w:rsidP="007A7372">
            <w:pPr>
              <w:spacing w:after="160"/>
              <w:ind w:firstLine="720"/>
            </w:pPr>
          </w:p>
        </w:tc>
        <w:tc>
          <w:tcPr>
            <w:tcW w:w="1979" w:type="dxa"/>
          </w:tcPr>
          <w:p w14:paraId="200D7890" w14:textId="77777777" w:rsidR="00545A71" w:rsidRDefault="00545A71" w:rsidP="007A7372">
            <w:pPr>
              <w:spacing w:after="160"/>
              <w:ind w:firstLine="720"/>
            </w:pPr>
            <w:r>
              <w:t>Model 1</w:t>
            </w:r>
          </w:p>
        </w:tc>
        <w:tc>
          <w:tcPr>
            <w:tcW w:w="2338" w:type="dxa"/>
          </w:tcPr>
          <w:p w14:paraId="3FD6ECD3" w14:textId="77777777" w:rsidR="00545A71" w:rsidRDefault="00545A71" w:rsidP="007A7372">
            <w:pPr>
              <w:spacing w:after="160"/>
              <w:ind w:firstLine="720"/>
            </w:pPr>
            <w:r>
              <w:t>Model 2</w:t>
            </w:r>
          </w:p>
        </w:tc>
        <w:tc>
          <w:tcPr>
            <w:tcW w:w="2338" w:type="dxa"/>
          </w:tcPr>
          <w:p w14:paraId="3348438E" w14:textId="77777777" w:rsidR="00545A71" w:rsidRDefault="00545A71" w:rsidP="007A7372">
            <w:pPr>
              <w:spacing w:after="160"/>
              <w:ind w:firstLine="720"/>
            </w:pPr>
            <w:r>
              <w:t>Model 3</w:t>
            </w:r>
          </w:p>
        </w:tc>
      </w:tr>
      <w:tr w:rsidR="00545A71" w14:paraId="2FE01F02" w14:textId="77777777" w:rsidTr="007A7372">
        <w:tc>
          <w:tcPr>
            <w:tcW w:w="2790" w:type="dxa"/>
          </w:tcPr>
          <w:p w14:paraId="1D91EDD4" w14:textId="77777777" w:rsidR="00545A71" w:rsidRDefault="00545A71" w:rsidP="007A7372">
            <w:pPr>
              <w:spacing w:after="160"/>
              <w:ind w:firstLine="720"/>
            </w:pPr>
            <w:r>
              <w:t>Standing water</w:t>
            </w:r>
          </w:p>
        </w:tc>
        <w:tc>
          <w:tcPr>
            <w:tcW w:w="1979" w:type="dxa"/>
          </w:tcPr>
          <w:p w14:paraId="025DAAF9" w14:textId="77777777" w:rsidR="00545A71" w:rsidRDefault="00545A71" w:rsidP="007A7372">
            <w:pPr>
              <w:spacing w:after="160"/>
              <w:ind w:firstLine="720"/>
            </w:pPr>
            <w:r>
              <w:t>0.22</w:t>
            </w:r>
          </w:p>
        </w:tc>
        <w:tc>
          <w:tcPr>
            <w:tcW w:w="2338" w:type="dxa"/>
          </w:tcPr>
          <w:p w14:paraId="5E74B479" w14:textId="77777777" w:rsidR="00545A71" w:rsidRDefault="00545A71" w:rsidP="007A7372">
            <w:pPr>
              <w:spacing w:after="160"/>
              <w:ind w:firstLine="720"/>
            </w:pPr>
            <w:r>
              <w:t>0.18</w:t>
            </w:r>
          </w:p>
        </w:tc>
        <w:tc>
          <w:tcPr>
            <w:tcW w:w="2338" w:type="dxa"/>
          </w:tcPr>
          <w:p w14:paraId="3E3C71A2" w14:textId="77777777" w:rsidR="00545A71" w:rsidRDefault="00545A71" w:rsidP="007A7372">
            <w:pPr>
              <w:spacing w:after="160"/>
              <w:ind w:firstLine="720"/>
            </w:pPr>
            <w:r>
              <w:t>0.24</w:t>
            </w:r>
          </w:p>
        </w:tc>
      </w:tr>
      <w:tr w:rsidR="00545A71" w14:paraId="62770434" w14:textId="77777777" w:rsidTr="007A7372">
        <w:tc>
          <w:tcPr>
            <w:tcW w:w="2790" w:type="dxa"/>
          </w:tcPr>
          <w:p w14:paraId="44124A52" w14:textId="77777777" w:rsidR="00545A71" w:rsidRDefault="00545A71" w:rsidP="007A7372">
            <w:pPr>
              <w:spacing w:after="160"/>
              <w:ind w:firstLine="720"/>
            </w:pPr>
            <w:r>
              <w:t>Large River</w:t>
            </w:r>
          </w:p>
        </w:tc>
        <w:tc>
          <w:tcPr>
            <w:tcW w:w="1979" w:type="dxa"/>
          </w:tcPr>
          <w:p w14:paraId="0CBA0748" w14:textId="77777777" w:rsidR="00545A71" w:rsidRDefault="00545A71" w:rsidP="007A7372">
            <w:pPr>
              <w:spacing w:after="160"/>
              <w:ind w:firstLine="720"/>
            </w:pPr>
            <w:r>
              <w:t>------</w:t>
            </w:r>
          </w:p>
        </w:tc>
        <w:tc>
          <w:tcPr>
            <w:tcW w:w="2338" w:type="dxa"/>
          </w:tcPr>
          <w:p w14:paraId="57B60050" w14:textId="77777777" w:rsidR="00545A71" w:rsidRDefault="00545A71" w:rsidP="007A7372">
            <w:pPr>
              <w:spacing w:after="160"/>
              <w:ind w:firstLine="720"/>
            </w:pPr>
            <w:r>
              <w:t>0.14</w:t>
            </w:r>
          </w:p>
        </w:tc>
        <w:tc>
          <w:tcPr>
            <w:tcW w:w="2338" w:type="dxa"/>
          </w:tcPr>
          <w:p w14:paraId="7C36EEE0" w14:textId="77777777" w:rsidR="00545A71" w:rsidRDefault="00545A71" w:rsidP="007A7372">
            <w:pPr>
              <w:spacing w:after="160"/>
              <w:ind w:firstLine="720"/>
            </w:pPr>
            <w:r>
              <w:t>------</w:t>
            </w:r>
          </w:p>
        </w:tc>
      </w:tr>
      <w:tr w:rsidR="00545A71" w14:paraId="7CFE94F7" w14:textId="77777777" w:rsidTr="007A7372">
        <w:tc>
          <w:tcPr>
            <w:tcW w:w="2790" w:type="dxa"/>
          </w:tcPr>
          <w:p w14:paraId="0AE93069" w14:textId="77777777" w:rsidR="00545A71" w:rsidRDefault="00545A71" w:rsidP="007A7372">
            <w:pPr>
              <w:spacing w:after="160"/>
              <w:ind w:firstLine="720"/>
            </w:pPr>
            <w:r>
              <w:t>Precipitation</w:t>
            </w:r>
          </w:p>
        </w:tc>
        <w:tc>
          <w:tcPr>
            <w:tcW w:w="1979" w:type="dxa"/>
          </w:tcPr>
          <w:p w14:paraId="2EF2E6BD" w14:textId="77777777" w:rsidR="00545A71" w:rsidRDefault="00545A71" w:rsidP="007A7372">
            <w:pPr>
              <w:spacing w:after="160"/>
              <w:ind w:firstLine="720"/>
            </w:pPr>
            <w:r>
              <w:t>0.20</w:t>
            </w:r>
          </w:p>
        </w:tc>
        <w:tc>
          <w:tcPr>
            <w:tcW w:w="2338" w:type="dxa"/>
          </w:tcPr>
          <w:p w14:paraId="378ABC26" w14:textId="77777777" w:rsidR="00545A71" w:rsidRDefault="00545A71" w:rsidP="007A7372">
            <w:pPr>
              <w:spacing w:after="160"/>
              <w:ind w:firstLine="720"/>
            </w:pPr>
            <w:r>
              <w:t>0.13</w:t>
            </w:r>
          </w:p>
        </w:tc>
        <w:tc>
          <w:tcPr>
            <w:tcW w:w="2338" w:type="dxa"/>
          </w:tcPr>
          <w:p w14:paraId="6060CF53" w14:textId="77777777" w:rsidR="00545A71" w:rsidRDefault="00545A71" w:rsidP="007A7372">
            <w:pPr>
              <w:spacing w:after="160"/>
              <w:ind w:firstLine="720"/>
            </w:pPr>
            <w:r>
              <w:t>0.23</w:t>
            </w:r>
          </w:p>
        </w:tc>
      </w:tr>
    </w:tbl>
    <w:p w14:paraId="4DA5C48F" w14:textId="77777777" w:rsidR="00545A71" w:rsidRDefault="00545A71" w:rsidP="00545A71"/>
    <w:p w14:paraId="6B729377" w14:textId="77777777" w:rsidR="00545A71" w:rsidRDefault="00545A71" w:rsidP="00545A71">
      <w:r>
        <w:t>Table S5: Unpublished deep groundwater isotope ratios from Bangladesh</w:t>
      </w:r>
    </w:p>
    <w:p w14:paraId="25901D31" w14:textId="77777777" w:rsidR="00545A71" w:rsidRDefault="00545A71" w:rsidP="00545A71"/>
    <w:tbl>
      <w:tblPr>
        <w:tblW w:w="6500" w:type="dxa"/>
        <w:jc w:val="center"/>
        <w:tblLook w:val="04A0" w:firstRow="1" w:lastRow="0" w:firstColumn="1" w:lastColumn="0" w:noHBand="0" w:noVBand="1"/>
      </w:tblPr>
      <w:tblGrid>
        <w:gridCol w:w="1300"/>
        <w:gridCol w:w="1300"/>
        <w:gridCol w:w="1300"/>
        <w:gridCol w:w="1300"/>
        <w:gridCol w:w="1300"/>
      </w:tblGrid>
      <w:tr w:rsidR="00545A71" w14:paraId="63F40E61" w14:textId="77777777" w:rsidTr="007A7372">
        <w:trPr>
          <w:trHeight w:val="340"/>
          <w:jc w:val="center"/>
        </w:trPr>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BC9614" w14:textId="77777777" w:rsidR="00545A71" w:rsidRDefault="00545A71" w:rsidP="007A7372">
            <w:pPr>
              <w:jc w:val="center"/>
              <w:rPr>
                <w:color w:val="000000"/>
                <w:sz w:val="20"/>
                <w:szCs w:val="20"/>
              </w:rPr>
            </w:pPr>
            <w:r>
              <w:rPr>
                <w:color w:val="000000"/>
                <w:sz w:val="20"/>
                <w:szCs w:val="20"/>
              </w:rPr>
              <w:t>Longitude</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71D6365C" w14:textId="77777777" w:rsidR="00545A71" w:rsidRDefault="00545A71" w:rsidP="007A7372">
            <w:pPr>
              <w:jc w:val="center"/>
              <w:rPr>
                <w:color w:val="000000"/>
                <w:sz w:val="20"/>
                <w:szCs w:val="20"/>
              </w:rPr>
            </w:pPr>
            <w:r>
              <w:rPr>
                <w:color w:val="000000"/>
                <w:sz w:val="20"/>
                <w:szCs w:val="20"/>
              </w:rPr>
              <w:t>Latitude</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41F050FF" w14:textId="77777777" w:rsidR="00545A71" w:rsidRDefault="00545A71" w:rsidP="007A7372">
            <w:pPr>
              <w:jc w:val="center"/>
              <w:rPr>
                <w:color w:val="000000"/>
                <w:sz w:val="20"/>
                <w:szCs w:val="20"/>
              </w:rPr>
            </w:pPr>
            <w:r>
              <w:rPr>
                <w:color w:val="000000"/>
                <w:sz w:val="20"/>
                <w:szCs w:val="20"/>
              </w:rPr>
              <w:t>Depth (m)</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3B601DEE" w14:textId="77777777" w:rsidR="00545A71" w:rsidRDefault="00545A71" w:rsidP="007A7372">
            <w:pPr>
              <w:jc w:val="center"/>
              <w:rPr>
                <w:color w:val="000000"/>
                <w:sz w:val="20"/>
                <w:szCs w:val="20"/>
              </w:rPr>
            </w:pPr>
            <w:r>
              <w:rPr>
                <w:color w:val="000000"/>
                <w:sz w:val="20"/>
                <w:szCs w:val="20"/>
              </w:rPr>
              <w:t>d</w:t>
            </w:r>
            <w:r>
              <w:rPr>
                <w:color w:val="000000"/>
                <w:sz w:val="20"/>
                <w:szCs w:val="20"/>
                <w:vertAlign w:val="superscript"/>
              </w:rPr>
              <w:t>18</w:t>
            </w:r>
            <w:r>
              <w:rPr>
                <w:color w:val="000000"/>
                <w:sz w:val="20"/>
                <w:szCs w:val="20"/>
              </w:rPr>
              <w:t>O</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7168FE63" w14:textId="77777777" w:rsidR="00545A71" w:rsidRDefault="00545A71" w:rsidP="007A7372">
            <w:pPr>
              <w:jc w:val="center"/>
              <w:rPr>
                <w:color w:val="000000"/>
                <w:sz w:val="20"/>
                <w:szCs w:val="20"/>
              </w:rPr>
            </w:pPr>
            <w:r>
              <w:rPr>
                <w:color w:val="000000"/>
                <w:sz w:val="20"/>
                <w:szCs w:val="20"/>
              </w:rPr>
              <w:t>D</w:t>
            </w:r>
            <w:r>
              <w:rPr>
                <w:color w:val="000000"/>
                <w:sz w:val="20"/>
                <w:szCs w:val="20"/>
                <w:vertAlign w:val="superscript"/>
              </w:rPr>
              <w:t>2</w:t>
            </w:r>
            <w:r>
              <w:rPr>
                <w:color w:val="000000"/>
                <w:sz w:val="20"/>
                <w:szCs w:val="20"/>
              </w:rPr>
              <w:t>H</w:t>
            </w:r>
          </w:p>
        </w:tc>
      </w:tr>
      <w:tr w:rsidR="00545A71" w14:paraId="7D5FDEED"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4D8872A" w14:textId="77777777" w:rsidR="00545A71" w:rsidRDefault="00545A71" w:rsidP="007A7372">
            <w:pPr>
              <w:jc w:val="center"/>
              <w:rPr>
                <w:color w:val="000000"/>
                <w:sz w:val="20"/>
                <w:szCs w:val="20"/>
              </w:rPr>
            </w:pPr>
            <w:r>
              <w:rPr>
                <w:color w:val="000000"/>
                <w:sz w:val="20"/>
                <w:szCs w:val="20"/>
              </w:rPr>
              <w:t>90.63</w:t>
            </w:r>
          </w:p>
        </w:tc>
        <w:tc>
          <w:tcPr>
            <w:tcW w:w="1300" w:type="dxa"/>
            <w:tcBorders>
              <w:top w:val="nil"/>
              <w:left w:val="nil"/>
              <w:bottom w:val="single" w:sz="4" w:space="0" w:color="auto"/>
              <w:right w:val="single" w:sz="4" w:space="0" w:color="auto"/>
            </w:tcBorders>
            <w:shd w:val="clear" w:color="auto" w:fill="auto"/>
            <w:noWrap/>
            <w:vAlign w:val="center"/>
            <w:hideMark/>
          </w:tcPr>
          <w:p w14:paraId="21C62DA0" w14:textId="77777777" w:rsidR="00545A71" w:rsidRDefault="00545A71" w:rsidP="007A7372">
            <w:pPr>
              <w:jc w:val="center"/>
              <w:rPr>
                <w:color w:val="000000"/>
                <w:sz w:val="20"/>
                <w:szCs w:val="20"/>
              </w:rPr>
            </w:pPr>
            <w:r>
              <w:rPr>
                <w:color w:val="000000"/>
                <w:sz w:val="20"/>
                <w:szCs w:val="20"/>
              </w:rPr>
              <w:t>23.76</w:t>
            </w:r>
          </w:p>
        </w:tc>
        <w:tc>
          <w:tcPr>
            <w:tcW w:w="1300" w:type="dxa"/>
            <w:tcBorders>
              <w:top w:val="nil"/>
              <w:left w:val="nil"/>
              <w:bottom w:val="single" w:sz="4" w:space="0" w:color="auto"/>
              <w:right w:val="single" w:sz="4" w:space="0" w:color="auto"/>
            </w:tcBorders>
            <w:shd w:val="clear" w:color="auto" w:fill="auto"/>
            <w:noWrap/>
            <w:vAlign w:val="center"/>
            <w:hideMark/>
          </w:tcPr>
          <w:p w14:paraId="4AD12505" w14:textId="77777777" w:rsidR="00545A71" w:rsidRDefault="00545A71" w:rsidP="007A7372">
            <w:pPr>
              <w:jc w:val="center"/>
              <w:rPr>
                <w:color w:val="000000"/>
                <w:sz w:val="20"/>
                <w:szCs w:val="20"/>
              </w:rPr>
            </w:pPr>
            <w:r>
              <w:rPr>
                <w:color w:val="000000"/>
                <w:sz w:val="20"/>
                <w:szCs w:val="20"/>
              </w:rPr>
              <w:t>184.62</w:t>
            </w:r>
          </w:p>
        </w:tc>
        <w:tc>
          <w:tcPr>
            <w:tcW w:w="1300" w:type="dxa"/>
            <w:tcBorders>
              <w:top w:val="nil"/>
              <w:left w:val="nil"/>
              <w:bottom w:val="single" w:sz="4" w:space="0" w:color="auto"/>
              <w:right w:val="single" w:sz="4" w:space="0" w:color="auto"/>
            </w:tcBorders>
            <w:shd w:val="clear" w:color="auto" w:fill="auto"/>
            <w:noWrap/>
            <w:vAlign w:val="center"/>
            <w:hideMark/>
          </w:tcPr>
          <w:p w14:paraId="54861F1C" w14:textId="77777777" w:rsidR="00545A71" w:rsidRDefault="00545A71" w:rsidP="007A7372">
            <w:pPr>
              <w:jc w:val="center"/>
              <w:rPr>
                <w:color w:val="000000"/>
                <w:sz w:val="20"/>
                <w:szCs w:val="20"/>
              </w:rPr>
            </w:pPr>
            <w:r>
              <w:rPr>
                <w:color w:val="000000"/>
                <w:sz w:val="20"/>
                <w:szCs w:val="20"/>
              </w:rPr>
              <w:t>-5.57</w:t>
            </w:r>
          </w:p>
        </w:tc>
        <w:tc>
          <w:tcPr>
            <w:tcW w:w="1300" w:type="dxa"/>
            <w:tcBorders>
              <w:top w:val="nil"/>
              <w:left w:val="nil"/>
              <w:bottom w:val="single" w:sz="4" w:space="0" w:color="auto"/>
              <w:right w:val="single" w:sz="4" w:space="0" w:color="auto"/>
            </w:tcBorders>
            <w:shd w:val="clear" w:color="auto" w:fill="auto"/>
            <w:noWrap/>
            <w:vAlign w:val="center"/>
            <w:hideMark/>
          </w:tcPr>
          <w:p w14:paraId="38645D66" w14:textId="77777777" w:rsidR="00545A71" w:rsidRDefault="00545A71" w:rsidP="007A7372">
            <w:pPr>
              <w:jc w:val="center"/>
              <w:rPr>
                <w:color w:val="000000"/>
                <w:sz w:val="20"/>
                <w:szCs w:val="20"/>
              </w:rPr>
            </w:pPr>
            <w:r>
              <w:rPr>
                <w:color w:val="000000"/>
                <w:sz w:val="20"/>
                <w:szCs w:val="20"/>
              </w:rPr>
              <w:t>-35.01</w:t>
            </w:r>
          </w:p>
        </w:tc>
      </w:tr>
      <w:tr w:rsidR="00545A71" w14:paraId="3D6F1E68"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1F8383C"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0A9245AB" w14:textId="77777777" w:rsidR="00545A71" w:rsidRDefault="00545A71" w:rsidP="007A7372">
            <w:pPr>
              <w:jc w:val="center"/>
              <w:rPr>
                <w:color w:val="000000"/>
                <w:sz w:val="20"/>
                <w:szCs w:val="20"/>
              </w:rPr>
            </w:pPr>
            <w:r>
              <w:rPr>
                <w:color w:val="000000"/>
                <w:sz w:val="20"/>
                <w:szCs w:val="20"/>
              </w:rPr>
              <w:t>23.75</w:t>
            </w:r>
          </w:p>
        </w:tc>
        <w:tc>
          <w:tcPr>
            <w:tcW w:w="1300" w:type="dxa"/>
            <w:tcBorders>
              <w:top w:val="nil"/>
              <w:left w:val="nil"/>
              <w:bottom w:val="single" w:sz="4" w:space="0" w:color="auto"/>
              <w:right w:val="single" w:sz="4" w:space="0" w:color="auto"/>
            </w:tcBorders>
            <w:shd w:val="clear" w:color="auto" w:fill="auto"/>
            <w:noWrap/>
            <w:vAlign w:val="center"/>
            <w:hideMark/>
          </w:tcPr>
          <w:p w14:paraId="28876BDE" w14:textId="77777777" w:rsidR="00545A71" w:rsidRDefault="00545A71" w:rsidP="007A7372">
            <w:pPr>
              <w:jc w:val="center"/>
              <w:rPr>
                <w:color w:val="000000"/>
                <w:sz w:val="20"/>
                <w:szCs w:val="20"/>
              </w:rPr>
            </w:pPr>
            <w:r>
              <w:rPr>
                <w:color w:val="000000"/>
                <w:sz w:val="20"/>
                <w:szCs w:val="20"/>
              </w:rPr>
              <w:t>200.00</w:t>
            </w:r>
          </w:p>
        </w:tc>
        <w:tc>
          <w:tcPr>
            <w:tcW w:w="1300" w:type="dxa"/>
            <w:tcBorders>
              <w:top w:val="nil"/>
              <w:left w:val="nil"/>
              <w:bottom w:val="single" w:sz="4" w:space="0" w:color="auto"/>
              <w:right w:val="single" w:sz="4" w:space="0" w:color="auto"/>
            </w:tcBorders>
            <w:shd w:val="clear" w:color="auto" w:fill="auto"/>
            <w:noWrap/>
            <w:vAlign w:val="center"/>
            <w:hideMark/>
          </w:tcPr>
          <w:p w14:paraId="6E41E6B5" w14:textId="77777777" w:rsidR="00545A71" w:rsidRDefault="00545A71" w:rsidP="007A7372">
            <w:pPr>
              <w:jc w:val="center"/>
              <w:rPr>
                <w:color w:val="000000"/>
                <w:sz w:val="20"/>
                <w:szCs w:val="20"/>
              </w:rPr>
            </w:pPr>
            <w:r>
              <w:rPr>
                <w:color w:val="000000"/>
                <w:sz w:val="20"/>
                <w:szCs w:val="20"/>
              </w:rPr>
              <w:t>-4.70</w:t>
            </w:r>
          </w:p>
        </w:tc>
        <w:tc>
          <w:tcPr>
            <w:tcW w:w="1300" w:type="dxa"/>
            <w:tcBorders>
              <w:top w:val="nil"/>
              <w:left w:val="nil"/>
              <w:bottom w:val="single" w:sz="4" w:space="0" w:color="auto"/>
              <w:right w:val="single" w:sz="4" w:space="0" w:color="auto"/>
            </w:tcBorders>
            <w:shd w:val="clear" w:color="auto" w:fill="auto"/>
            <w:noWrap/>
            <w:vAlign w:val="center"/>
            <w:hideMark/>
          </w:tcPr>
          <w:p w14:paraId="713C9D65" w14:textId="77777777" w:rsidR="00545A71" w:rsidRDefault="00545A71" w:rsidP="007A7372">
            <w:pPr>
              <w:jc w:val="center"/>
              <w:rPr>
                <w:color w:val="000000"/>
                <w:sz w:val="20"/>
                <w:szCs w:val="20"/>
              </w:rPr>
            </w:pPr>
            <w:r>
              <w:rPr>
                <w:color w:val="000000"/>
                <w:sz w:val="20"/>
                <w:szCs w:val="20"/>
              </w:rPr>
              <w:t>-29.29</w:t>
            </w:r>
          </w:p>
        </w:tc>
      </w:tr>
      <w:tr w:rsidR="00545A71" w14:paraId="0DB9291F"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AEE5937" w14:textId="77777777" w:rsidR="00545A71" w:rsidRDefault="00545A71" w:rsidP="007A7372">
            <w:pPr>
              <w:jc w:val="center"/>
              <w:rPr>
                <w:color w:val="000000"/>
                <w:sz w:val="20"/>
                <w:szCs w:val="20"/>
              </w:rPr>
            </w:pPr>
            <w:r>
              <w:rPr>
                <w:color w:val="000000"/>
                <w:sz w:val="20"/>
                <w:szCs w:val="20"/>
              </w:rPr>
              <w:t>90.69</w:t>
            </w:r>
          </w:p>
        </w:tc>
        <w:tc>
          <w:tcPr>
            <w:tcW w:w="1300" w:type="dxa"/>
            <w:tcBorders>
              <w:top w:val="nil"/>
              <w:left w:val="nil"/>
              <w:bottom w:val="single" w:sz="4" w:space="0" w:color="auto"/>
              <w:right w:val="single" w:sz="4" w:space="0" w:color="auto"/>
            </w:tcBorders>
            <w:shd w:val="clear" w:color="auto" w:fill="auto"/>
            <w:noWrap/>
            <w:vAlign w:val="center"/>
            <w:hideMark/>
          </w:tcPr>
          <w:p w14:paraId="54E1803A" w14:textId="77777777" w:rsidR="00545A71" w:rsidRDefault="00545A71" w:rsidP="007A7372">
            <w:pPr>
              <w:jc w:val="center"/>
              <w:rPr>
                <w:color w:val="000000"/>
                <w:sz w:val="20"/>
                <w:szCs w:val="20"/>
              </w:rPr>
            </w:pPr>
            <w:r>
              <w:rPr>
                <w:color w:val="000000"/>
                <w:sz w:val="20"/>
                <w:szCs w:val="20"/>
              </w:rPr>
              <w:t>23.75</w:t>
            </w:r>
          </w:p>
        </w:tc>
        <w:tc>
          <w:tcPr>
            <w:tcW w:w="1300" w:type="dxa"/>
            <w:tcBorders>
              <w:top w:val="nil"/>
              <w:left w:val="nil"/>
              <w:bottom w:val="single" w:sz="4" w:space="0" w:color="auto"/>
              <w:right w:val="single" w:sz="4" w:space="0" w:color="auto"/>
            </w:tcBorders>
            <w:shd w:val="clear" w:color="auto" w:fill="auto"/>
            <w:noWrap/>
            <w:vAlign w:val="center"/>
            <w:hideMark/>
          </w:tcPr>
          <w:p w14:paraId="6A01049D" w14:textId="77777777" w:rsidR="00545A71" w:rsidRDefault="00545A71" w:rsidP="007A7372">
            <w:pPr>
              <w:jc w:val="center"/>
              <w:rPr>
                <w:color w:val="000000"/>
                <w:sz w:val="20"/>
                <w:szCs w:val="20"/>
              </w:rPr>
            </w:pPr>
            <w:r>
              <w:rPr>
                <w:color w:val="000000"/>
                <w:sz w:val="20"/>
                <w:szCs w:val="20"/>
              </w:rPr>
              <w:t>264.62</w:t>
            </w:r>
          </w:p>
        </w:tc>
        <w:tc>
          <w:tcPr>
            <w:tcW w:w="1300" w:type="dxa"/>
            <w:tcBorders>
              <w:top w:val="nil"/>
              <w:left w:val="nil"/>
              <w:bottom w:val="single" w:sz="4" w:space="0" w:color="auto"/>
              <w:right w:val="single" w:sz="4" w:space="0" w:color="auto"/>
            </w:tcBorders>
            <w:shd w:val="clear" w:color="auto" w:fill="auto"/>
            <w:noWrap/>
            <w:vAlign w:val="center"/>
            <w:hideMark/>
          </w:tcPr>
          <w:p w14:paraId="441AE92E" w14:textId="77777777" w:rsidR="00545A71" w:rsidRDefault="00545A71" w:rsidP="007A7372">
            <w:pPr>
              <w:jc w:val="center"/>
              <w:rPr>
                <w:color w:val="000000"/>
                <w:sz w:val="20"/>
                <w:szCs w:val="20"/>
              </w:rPr>
            </w:pPr>
            <w:r>
              <w:rPr>
                <w:color w:val="000000"/>
                <w:sz w:val="20"/>
                <w:szCs w:val="20"/>
              </w:rPr>
              <w:t>-4.78</w:t>
            </w:r>
          </w:p>
        </w:tc>
        <w:tc>
          <w:tcPr>
            <w:tcW w:w="1300" w:type="dxa"/>
            <w:tcBorders>
              <w:top w:val="nil"/>
              <w:left w:val="nil"/>
              <w:bottom w:val="single" w:sz="4" w:space="0" w:color="auto"/>
              <w:right w:val="single" w:sz="4" w:space="0" w:color="auto"/>
            </w:tcBorders>
            <w:shd w:val="clear" w:color="auto" w:fill="auto"/>
            <w:noWrap/>
            <w:vAlign w:val="center"/>
            <w:hideMark/>
          </w:tcPr>
          <w:p w14:paraId="57706400" w14:textId="77777777" w:rsidR="00545A71" w:rsidRDefault="00545A71" w:rsidP="007A7372">
            <w:pPr>
              <w:jc w:val="center"/>
              <w:rPr>
                <w:color w:val="000000"/>
                <w:sz w:val="20"/>
                <w:szCs w:val="20"/>
              </w:rPr>
            </w:pPr>
            <w:r>
              <w:rPr>
                <w:color w:val="000000"/>
                <w:sz w:val="20"/>
                <w:szCs w:val="20"/>
              </w:rPr>
              <w:t>-28.50</w:t>
            </w:r>
          </w:p>
        </w:tc>
      </w:tr>
      <w:tr w:rsidR="00545A71" w14:paraId="52BEE883"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36B4AEE" w14:textId="77777777" w:rsidR="00545A71" w:rsidRDefault="00545A71" w:rsidP="007A7372">
            <w:pPr>
              <w:jc w:val="center"/>
              <w:rPr>
                <w:color w:val="000000"/>
                <w:sz w:val="20"/>
                <w:szCs w:val="20"/>
              </w:rPr>
            </w:pPr>
            <w:r>
              <w:rPr>
                <w:color w:val="000000"/>
                <w:sz w:val="20"/>
                <w:szCs w:val="20"/>
              </w:rPr>
              <w:t>90.68</w:t>
            </w:r>
          </w:p>
        </w:tc>
        <w:tc>
          <w:tcPr>
            <w:tcW w:w="1300" w:type="dxa"/>
            <w:tcBorders>
              <w:top w:val="nil"/>
              <w:left w:val="nil"/>
              <w:bottom w:val="single" w:sz="4" w:space="0" w:color="auto"/>
              <w:right w:val="single" w:sz="4" w:space="0" w:color="auto"/>
            </w:tcBorders>
            <w:shd w:val="clear" w:color="auto" w:fill="auto"/>
            <w:noWrap/>
            <w:vAlign w:val="center"/>
            <w:hideMark/>
          </w:tcPr>
          <w:p w14:paraId="16263693" w14:textId="77777777" w:rsidR="00545A71" w:rsidRDefault="00545A71" w:rsidP="007A7372">
            <w:pPr>
              <w:jc w:val="center"/>
              <w:rPr>
                <w:color w:val="000000"/>
                <w:sz w:val="20"/>
                <w:szCs w:val="20"/>
              </w:rPr>
            </w:pPr>
            <w:r>
              <w:rPr>
                <w:color w:val="000000"/>
                <w:sz w:val="20"/>
                <w:szCs w:val="20"/>
              </w:rPr>
              <w:t>23.78</w:t>
            </w:r>
          </w:p>
        </w:tc>
        <w:tc>
          <w:tcPr>
            <w:tcW w:w="1300" w:type="dxa"/>
            <w:tcBorders>
              <w:top w:val="nil"/>
              <w:left w:val="nil"/>
              <w:bottom w:val="single" w:sz="4" w:space="0" w:color="auto"/>
              <w:right w:val="single" w:sz="4" w:space="0" w:color="auto"/>
            </w:tcBorders>
            <w:shd w:val="clear" w:color="auto" w:fill="auto"/>
            <w:noWrap/>
            <w:vAlign w:val="center"/>
            <w:hideMark/>
          </w:tcPr>
          <w:p w14:paraId="53085C06" w14:textId="77777777" w:rsidR="00545A71" w:rsidRDefault="00545A71" w:rsidP="007A7372">
            <w:pPr>
              <w:jc w:val="center"/>
              <w:rPr>
                <w:color w:val="000000"/>
                <w:sz w:val="20"/>
                <w:szCs w:val="20"/>
              </w:rPr>
            </w:pPr>
            <w:r>
              <w:rPr>
                <w:color w:val="000000"/>
                <w:sz w:val="20"/>
                <w:szCs w:val="20"/>
              </w:rPr>
              <w:t>153.85</w:t>
            </w:r>
          </w:p>
        </w:tc>
        <w:tc>
          <w:tcPr>
            <w:tcW w:w="1300" w:type="dxa"/>
            <w:tcBorders>
              <w:top w:val="nil"/>
              <w:left w:val="nil"/>
              <w:bottom w:val="single" w:sz="4" w:space="0" w:color="auto"/>
              <w:right w:val="single" w:sz="4" w:space="0" w:color="auto"/>
            </w:tcBorders>
            <w:shd w:val="clear" w:color="auto" w:fill="auto"/>
            <w:noWrap/>
            <w:vAlign w:val="center"/>
            <w:hideMark/>
          </w:tcPr>
          <w:p w14:paraId="02BF3BFC" w14:textId="77777777" w:rsidR="00545A71" w:rsidRDefault="00545A71" w:rsidP="007A7372">
            <w:pPr>
              <w:jc w:val="center"/>
              <w:rPr>
                <w:color w:val="000000"/>
                <w:sz w:val="20"/>
                <w:szCs w:val="20"/>
              </w:rPr>
            </w:pPr>
            <w:r>
              <w:rPr>
                <w:color w:val="000000"/>
                <w:sz w:val="20"/>
                <w:szCs w:val="20"/>
              </w:rPr>
              <w:t>-5.34</w:t>
            </w:r>
          </w:p>
        </w:tc>
        <w:tc>
          <w:tcPr>
            <w:tcW w:w="1300" w:type="dxa"/>
            <w:tcBorders>
              <w:top w:val="nil"/>
              <w:left w:val="nil"/>
              <w:bottom w:val="single" w:sz="4" w:space="0" w:color="auto"/>
              <w:right w:val="single" w:sz="4" w:space="0" w:color="auto"/>
            </w:tcBorders>
            <w:shd w:val="clear" w:color="auto" w:fill="auto"/>
            <w:noWrap/>
            <w:vAlign w:val="center"/>
            <w:hideMark/>
          </w:tcPr>
          <w:p w14:paraId="7D6CD1F0" w14:textId="77777777" w:rsidR="00545A71" w:rsidRDefault="00545A71" w:rsidP="007A7372">
            <w:pPr>
              <w:jc w:val="center"/>
              <w:rPr>
                <w:color w:val="000000"/>
                <w:sz w:val="20"/>
                <w:szCs w:val="20"/>
              </w:rPr>
            </w:pPr>
            <w:r>
              <w:rPr>
                <w:color w:val="000000"/>
                <w:sz w:val="20"/>
                <w:szCs w:val="20"/>
              </w:rPr>
              <w:t>-33.84</w:t>
            </w:r>
          </w:p>
        </w:tc>
      </w:tr>
      <w:tr w:rsidR="00545A71" w14:paraId="268FA71D"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0EAD1F8" w14:textId="77777777" w:rsidR="00545A71" w:rsidRDefault="00545A71" w:rsidP="007A7372">
            <w:pPr>
              <w:jc w:val="center"/>
              <w:rPr>
                <w:color w:val="000000"/>
                <w:sz w:val="20"/>
                <w:szCs w:val="20"/>
              </w:rPr>
            </w:pPr>
            <w:r>
              <w:rPr>
                <w:color w:val="000000"/>
                <w:sz w:val="20"/>
                <w:szCs w:val="20"/>
              </w:rPr>
              <w:t>90.70</w:t>
            </w:r>
          </w:p>
        </w:tc>
        <w:tc>
          <w:tcPr>
            <w:tcW w:w="1300" w:type="dxa"/>
            <w:tcBorders>
              <w:top w:val="nil"/>
              <w:left w:val="nil"/>
              <w:bottom w:val="single" w:sz="4" w:space="0" w:color="auto"/>
              <w:right w:val="single" w:sz="4" w:space="0" w:color="auto"/>
            </w:tcBorders>
            <w:shd w:val="clear" w:color="auto" w:fill="auto"/>
            <w:noWrap/>
            <w:vAlign w:val="center"/>
            <w:hideMark/>
          </w:tcPr>
          <w:p w14:paraId="4B85CB8B" w14:textId="77777777" w:rsidR="00545A71" w:rsidRDefault="00545A71" w:rsidP="007A7372">
            <w:pPr>
              <w:jc w:val="center"/>
              <w:rPr>
                <w:color w:val="000000"/>
                <w:sz w:val="20"/>
                <w:szCs w:val="20"/>
              </w:rPr>
            </w:pPr>
            <w:r>
              <w:rPr>
                <w:color w:val="000000"/>
                <w:sz w:val="20"/>
                <w:szCs w:val="20"/>
              </w:rPr>
              <w:t>23.72</w:t>
            </w:r>
          </w:p>
        </w:tc>
        <w:tc>
          <w:tcPr>
            <w:tcW w:w="1300" w:type="dxa"/>
            <w:tcBorders>
              <w:top w:val="nil"/>
              <w:left w:val="nil"/>
              <w:bottom w:val="single" w:sz="4" w:space="0" w:color="auto"/>
              <w:right w:val="single" w:sz="4" w:space="0" w:color="auto"/>
            </w:tcBorders>
            <w:shd w:val="clear" w:color="auto" w:fill="auto"/>
            <w:noWrap/>
            <w:vAlign w:val="center"/>
            <w:hideMark/>
          </w:tcPr>
          <w:p w14:paraId="66DE7307" w14:textId="77777777" w:rsidR="00545A71" w:rsidRDefault="00545A71" w:rsidP="007A7372">
            <w:pPr>
              <w:jc w:val="center"/>
              <w:rPr>
                <w:color w:val="000000"/>
                <w:sz w:val="20"/>
                <w:szCs w:val="20"/>
              </w:rPr>
            </w:pPr>
            <w:r>
              <w:rPr>
                <w:color w:val="000000"/>
                <w:sz w:val="20"/>
                <w:szCs w:val="20"/>
              </w:rPr>
              <w:t>153.85</w:t>
            </w:r>
          </w:p>
        </w:tc>
        <w:tc>
          <w:tcPr>
            <w:tcW w:w="1300" w:type="dxa"/>
            <w:tcBorders>
              <w:top w:val="nil"/>
              <w:left w:val="nil"/>
              <w:bottom w:val="single" w:sz="4" w:space="0" w:color="auto"/>
              <w:right w:val="single" w:sz="4" w:space="0" w:color="auto"/>
            </w:tcBorders>
            <w:shd w:val="clear" w:color="auto" w:fill="auto"/>
            <w:noWrap/>
            <w:vAlign w:val="center"/>
            <w:hideMark/>
          </w:tcPr>
          <w:p w14:paraId="7EEFCF8C" w14:textId="77777777" w:rsidR="00545A71" w:rsidRDefault="00545A71" w:rsidP="007A7372">
            <w:pPr>
              <w:jc w:val="center"/>
              <w:rPr>
                <w:color w:val="000000"/>
                <w:sz w:val="20"/>
                <w:szCs w:val="20"/>
              </w:rPr>
            </w:pPr>
            <w:r>
              <w:rPr>
                <w:color w:val="000000"/>
                <w:sz w:val="20"/>
                <w:szCs w:val="20"/>
              </w:rPr>
              <w:t>-5.41</w:t>
            </w:r>
          </w:p>
        </w:tc>
        <w:tc>
          <w:tcPr>
            <w:tcW w:w="1300" w:type="dxa"/>
            <w:tcBorders>
              <w:top w:val="nil"/>
              <w:left w:val="nil"/>
              <w:bottom w:val="single" w:sz="4" w:space="0" w:color="auto"/>
              <w:right w:val="single" w:sz="4" w:space="0" w:color="auto"/>
            </w:tcBorders>
            <w:shd w:val="clear" w:color="auto" w:fill="auto"/>
            <w:noWrap/>
            <w:vAlign w:val="center"/>
            <w:hideMark/>
          </w:tcPr>
          <w:p w14:paraId="50FA1F4D" w14:textId="77777777" w:rsidR="00545A71" w:rsidRDefault="00545A71" w:rsidP="007A7372">
            <w:pPr>
              <w:jc w:val="center"/>
              <w:rPr>
                <w:color w:val="000000"/>
                <w:sz w:val="20"/>
                <w:szCs w:val="20"/>
              </w:rPr>
            </w:pPr>
            <w:r>
              <w:rPr>
                <w:color w:val="000000"/>
                <w:sz w:val="20"/>
                <w:szCs w:val="20"/>
              </w:rPr>
              <w:t>-33.99</w:t>
            </w:r>
          </w:p>
        </w:tc>
      </w:tr>
      <w:tr w:rsidR="00545A71" w14:paraId="0112A362"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00ACAB7"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690FBDBF"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1BEF3E8D"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443F6BDB" w14:textId="77777777" w:rsidR="00545A71" w:rsidRDefault="00545A71" w:rsidP="007A7372">
            <w:pPr>
              <w:jc w:val="center"/>
              <w:rPr>
                <w:color w:val="000000"/>
                <w:sz w:val="20"/>
                <w:szCs w:val="20"/>
              </w:rPr>
            </w:pPr>
            <w:r>
              <w:rPr>
                <w:color w:val="000000"/>
                <w:sz w:val="20"/>
                <w:szCs w:val="20"/>
              </w:rPr>
              <w:t>-5.19</w:t>
            </w:r>
          </w:p>
        </w:tc>
        <w:tc>
          <w:tcPr>
            <w:tcW w:w="1300" w:type="dxa"/>
            <w:tcBorders>
              <w:top w:val="nil"/>
              <w:left w:val="nil"/>
              <w:bottom w:val="single" w:sz="4" w:space="0" w:color="auto"/>
              <w:right w:val="single" w:sz="4" w:space="0" w:color="auto"/>
            </w:tcBorders>
            <w:shd w:val="clear" w:color="auto" w:fill="auto"/>
            <w:noWrap/>
            <w:vAlign w:val="center"/>
            <w:hideMark/>
          </w:tcPr>
          <w:p w14:paraId="50199915" w14:textId="77777777" w:rsidR="00545A71" w:rsidRDefault="00545A71" w:rsidP="007A7372">
            <w:pPr>
              <w:jc w:val="center"/>
              <w:rPr>
                <w:color w:val="000000"/>
                <w:sz w:val="20"/>
                <w:szCs w:val="20"/>
              </w:rPr>
            </w:pPr>
            <w:r>
              <w:rPr>
                <w:color w:val="000000"/>
                <w:sz w:val="20"/>
                <w:szCs w:val="20"/>
              </w:rPr>
              <w:t>-32.03</w:t>
            </w:r>
          </w:p>
        </w:tc>
      </w:tr>
      <w:tr w:rsidR="00545A71" w14:paraId="475D3598"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3129788"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3B4C0756"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6EC245C2" w14:textId="77777777" w:rsidR="00545A71" w:rsidRDefault="00545A71" w:rsidP="007A7372">
            <w:pPr>
              <w:jc w:val="center"/>
              <w:rPr>
                <w:color w:val="000000"/>
                <w:sz w:val="20"/>
                <w:szCs w:val="20"/>
              </w:rPr>
            </w:pPr>
            <w:r>
              <w:rPr>
                <w:color w:val="000000"/>
                <w:sz w:val="20"/>
                <w:szCs w:val="20"/>
              </w:rPr>
              <w:t>184.62</w:t>
            </w:r>
          </w:p>
        </w:tc>
        <w:tc>
          <w:tcPr>
            <w:tcW w:w="1300" w:type="dxa"/>
            <w:tcBorders>
              <w:top w:val="nil"/>
              <w:left w:val="nil"/>
              <w:bottom w:val="single" w:sz="4" w:space="0" w:color="auto"/>
              <w:right w:val="single" w:sz="4" w:space="0" w:color="auto"/>
            </w:tcBorders>
            <w:shd w:val="clear" w:color="auto" w:fill="auto"/>
            <w:noWrap/>
            <w:vAlign w:val="center"/>
            <w:hideMark/>
          </w:tcPr>
          <w:p w14:paraId="2DFB0350" w14:textId="77777777" w:rsidR="00545A71" w:rsidRDefault="00545A71" w:rsidP="007A7372">
            <w:pPr>
              <w:jc w:val="center"/>
              <w:rPr>
                <w:color w:val="000000"/>
                <w:sz w:val="20"/>
                <w:szCs w:val="20"/>
              </w:rPr>
            </w:pPr>
            <w:r>
              <w:rPr>
                <w:color w:val="000000"/>
                <w:sz w:val="20"/>
                <w:szCs w:val="20"/>
              </w:rPr>
              <w:t>-4.21</w:t>
            </w:r>
          </w:p>
        </w:tc>
        <w:tc>
          <w:tcPr>
            <w:tcW w:w="1300" w:type="dxa"/>
            <w:tcBorders>
              <w:top w:val="nil"/>
              <w:left w:val="nil"/>
              <w:bottom w:val="single" w:sz="4" w:space="0" w:color="auto"/>
              <w:right w:val="single" w:sz="4" w:space="0" w:color="auto"/>
            </w:tcBorders>
            <w:shd w:val="clear" w:color="auto" w:fill="auto"/>
            <w:noWrap/>
            <w:vAlign w:val="center"/>
            <w:hideMark/>
          </w:tcPr>
          <w:p w14:paraId="11BAD3D4" w14:textId="77777777" w:rsidR="00545A71" w:rsidRDefault="00545A71" w:rsidP="007A7372">
            <w:pPr>
              <w:jc w:val="center"/>
              <w:rPr>
                <w:color w:val="000000"/>
                <w:sz w:val="20"/>
                <w:szCs w:val="20"/>
              </w:rPr>
            </w:pPr>
            <w:r>
              <w:rPr>
                <w:color w:val="000000"/>
                <w:sz w:val="20"/>
                <w:szCs w:val="20"/>
              </w:rPr>
              <w:t>-24.46</w:t>
            </w:r>
          </w:p>
        </w:tc>
      </w:tr>
      <w:tr w:rsidR="00545A71" w14:paraId="66E0E930"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DDDF04B" w14:textId="77777777" w:rsidR="00545A71" w:rsidRDefault="00545A71" w:rsidP="007A7372">
            <w:pPr>
              <w:jc w:val="center"/>
              <w:rPr>
                <w:color w:val="000000"/>
                <w:sz w:val="20"/>
                <w:szCs w:val="20"/>
              </w:rPr>
            </w:pPr>
            <w:r>
              <w:rPr>
                <w:color w:val="000000"/>
                <w:sz w:val="20"/>
                <w:szCs w:val="20"/>
              </w:rPr>
              <w:t>90.66</w:t>
            </w:r>
          </w:p>
        </w:tc>
        <w:tc>
          <w:tcPr>
            <w:tcW w:w="1300" w:type="dxa"/>
            <w:tcBorders>
              <w:top w:val="nil"/>
              <w:left w:val="nil"/>
              <w:bottom w:val="single" w:sz="4" w:space="0" w:color="auto"/>
              <w:right w:val="single" w:sz="4" w:space="0" w:color="auto"/>
            </w:tcBorders>
            <w:shd w:val="clear" w:color="auto" w:fill="auto"/>
            <w:noWrap/>
            <w:vAlign w:val="center"/>
            <w:hideMark/>
          </w:tcPr>
          <w:p w14:paraId="2658528D" w14:textId="77777777" w:rsidR="00545A71" w:rsidRDefault="00545A71" w:rsidP="007A7372">
            <w:pPr>
              <w:jc w:val="center"/>
              <w:rPr>
                <w:color w:val="000000"/>
                <w:sz w:val="20"/>
                <w:szCs w:val="20"/>
              </w:rPr>
            </w:pPr>
            <w:r>
              <w:rPr>
                <w:color w:val="000000"/>
                <w:sz w:val="20"/>
                <w:szCs w:val="20"/>
              </w:rPr>
              <w:t>23.77</w:t>
            </w:r>
          </w:p>
        </w:tc>
        <w:tc>
          <w:tcPr>
            <w:tcW w:w="1300" w:type="dxa"/>
            <w:tcBorders>
              <w:top w:val="nil"/>
              <w:left w:val="nil"/>
              <w:bottom w:val="single" w:sz="4" w:space="0" w:color="auto"/>
              <w:right w:val="single" w:sz="4" w:space="0" w:color="auto"/>
            </w:tcBorders>
            <w:shd w:val="clear" w:color="auto" w:fill="auto"/>
            <w:noWrap/>
            <w:vAlign w:val="center"/>
            <w:hideMark/>
          </w:tcPr>
          <w:p w14:paraId="2563B4E1"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7D1EE46A" w14:textId="77777777" w:rsidR="00545A71" w:rsidRDefault="00545A71" w:rsidP="007A7372">
            <w:pPr>
              <w:jc w:val="center"/>
              <w:rPr>
                <w:color w:val="000000"/>
                <w:sz w:val="20"/>
                <w:szCs w:val="20"/>
              </w:rPr>
            </w:pPr>
            <w:r>
              <w:rPr>
                <w:color w:val="000000"/>
                <w:sz w:val="20"/>
                <w:szCs w:val="20"/>
              </w:rPr>
              <w:t>-4.66</w:t>
            </w:r>
          </w:p>
        </w:tc>
        <w:tc>
          <w:tcPr>
            <w:tcW w:w="1300" w:type="dxa"/>
            <w:tcBorders>
              <w:top w:val="nil"/>
              <w:left w:val="nil"/>
              <w:bottom w:val="single" w:sz="4" w:space="0" w:color="auto"/>
              <w:right w:val="single" w:sz="4" w:space="0" w:color="auto"/>
            </w:tcBorders>
            <w:shd w:val="clear" w:color="auto" w:fill="auto"/>
            <w:noWrap/>
            <w:vAlign w:val="center"/>
            <w:hideMark/>
          </w:tcPr>
          <w:p w14:paraId="252DBE0E" w14:textId="77777777" w:rsidR="00545A71" w:rsidRDefault="00545A71" w:rsidP="007A7372">
            <w:pPr>
              <w:jc w:val="center"/>
              <w:rPr>
                <w:color w:val="000000"/>
                <w:sz w:val="20"/>
                <w:szCs w:val="20"/>
              </w:rPr>
            </w:pPr>
            <w:r>
              <w:rPr>
                <w:color w:val="000000"/>
                <w:sz w:val="20"/>
                <w:szCs w:val="20"/>
              </w:rPr>
              <w:t>-27.87</w:t>
            </w:r>
          </w:p>
        </w:tc>
      </w:tr>
      <w:tr w:rsidR="00545A71" w14:paraId="3A2746F4"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D5EC8ED" w14:textId="77777777" w:rsidR="00545A71" w:rsidRDefault="00545A71" w:rsidP="007A7372">
            <w:pPr>
              <w:jc w:val="center"/>
              <w:rPr>
                <w:color w:val="000000"/>
                <w:sz w:val="20"/>
                <w:szCs w:val="20"/>
              </w:rPr>
            </w:pPr>
            <w:r>
              <w:rPr>
                <w:color w:val="000000"/>
                <w:sz w:val="20"/>
                <w:szCs w:val="20"/>
              </w:rPr>
              <w:t>90.63</w:t>
            </w:r>
          </w:p>
        </w:tc>
        <w:tc>
          <w:tcPr>
            <w:tcW w:w="1300" w:type="dxa"/>
            <w:tcBorders>
              <w:top w:val="nil"/>
              <w:left w:val="nil"/>
              <w:bottom w:val="single" w:sz="4" w:space="0" w:color="auto"/>
              <w:right w:val="single" w:sz="4" w:space="0" w:color="auto"/>
            </w:tcBorders>
            <w:shd w:val="clear" w:color="auto" w:fill="auto"/>
            <w:noWrap/>
            <w:vAlign w:val="center"/>
            <w:hideMark/>
          </w:tcPr>
          <w:p w14:paraId="184F1AEB" w14:textId="77777777" w:rsidR="00545A71" w:rsidRDefault="00545A71" w:rsidP="007A7372">
            <w:pPr>
              <w:jc w:val="center"/>
              <w:rPr>
                <w:color w:val="000000"/>
                <w:sz w:val="20"/>
                <w:szCs w:val="20"/>
              </w:rPr>
            </w:pPr>
            <w:r>
              <w:rPr>
                <w:color w:val="000000"/>
                <w:sz w:val="20"/>
                <w:szCs w:val="20"/>
              </w:rPr>
              <w:t>23.77</w:t>
            </w:r>
          </w:p>
        </w:tc>
        <w:tc>
          <w:tcPr>
            <w:tcW w:w="1300" w:type="dxa"/>
            <w:tcBorders>
              <w:top w:val="nil"/>
              <w:left w:val="nil"/>
              <w:bottom w:val="single" w:sz="4" w:space="0" w:color="auto"/>
              <w:right w:val="single" w:sz="4" w:space="0" w:color="auto"/>
            </w:tcBorders>
            <w:shd w:val="clear" w:color="auto" w:fill="auto"/>
            <w:noWrap/>
            <w:vAlign w:val="center"/>
            <w:hideMark/>
          </w:tcPr>
          <w:p w14:paraId="2DC875A6"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7E5637B2" w14:textId="77777777" w:rsidR="00545A71" w:rsidRDefault="00545A71" w:rsidP="007A7372">
            <w:pPr>
              <w:jc w:val="center"/>
              <w:rPr>
                <w:color w:val="000000"/>
                <w:sz w:val="20"/>
                <w:szCs w:val="20"/>
              </w:rPr>
            </w:pPr>
            <w:r>
              <w:rPr>
                <w:color w:val="000000"/>
                <w:sz w:val="20"/>
                <w:szCs w:val="20"/>
              </w:rPr>
              <w:t>-4.06</w:t>
            </w:r>
          </w:p>
        </w:tc>
        <w:tc>
          <w:tcPr>
            <w:tcW w:w="1300" w:type="dxa"/>
            <w:tcBorders>
              <w:top w:val="nil"/>
              <w:left w:val="nil"/>
              <w:bottom w:val="single" w:sz="4" w:space="0" w:color="auto"/>
              <w:right w:val="single" w:sz="4" w:space="0" w:color="auto"/>
            </w:tcBorders>
            <w:shd w:val="clear" w:color="auto" w:fill="auto"/>
            <w:noWrap/>
            <w:vAlign w:val="center"/>
            <w:hideMark/>
          </w:tcPr>
          <w:p w14:paraId="4CA39210" w14:textId="77777777" w:rsidR="00545A71" w:rsidRDefault="00545A71" w:rsidP="007A7372">
            <w:pPr>
              <w:jc w:val="center"/>
              <w:rPr>
                <w:color w:val="000000"/>
                <w:sz w:val="20"/>
                <w:szCs w:val="20"/>
              </w:rPr>
            </w:pPr>
            <w:r>
              <w:rPr>
                <w:color w:val="000000"/>
                <w:sz w:val="20"/>
                <w:szCs w:val="20"/>
              </w:rPr>
              <w:t>-23.21</w:t>
            </w:r>
          </w:p>
        </w:tc>
      </w:tr>
      <w:tr w:rsidR="00545A71" w14:paraId="4E58E3FE"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FD9E200"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34BFC7EF"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3C65DC90" w14:textId="77777777" w:rsidR="00545A71" w:rsidRDefault="00545A71" w:rsidP="007A7372">
            <w:pPr>
              <w:jc w:val="center"/>
              <w:rPr>
                <w:color w:val="000000"/>
                <w:sz w:val="20"/>
                <w:szCs w:val="20"/>
              </w:rPr>
            </w:pPr>
            <w:r>
              <w:rPr>
                <w:color w:val="000000"/>
                <w:sz w:val="20"/>
                <w:szCs w:val="20"/>
              </w:rPr>
              <w:t>184.62</w:t>
            </w:r>
          </w:p>
        </w:tc>
        <w:tc>
          <w:tcPr>
            <w:tcW w:w="1300" w:type="dxa"/>
            <w:tcBorders>
              <w:top w:val="nil"/>
              <w:left w:val="nil"/>
              <w:bottom w:val="single" w:sz="4" w:space="0" w:color="auto"/>
              <w:right w:val="single" w:sz="4" w:space="0" w:color="auto"/>
            </w:tcBorders>
            <w:shd w:val="clear" w:color="auto" w:fill="auto"/>
            <w:noWrap/>
            <w:vAlign w:val="center"/>
            <w:hideMark/>
          </w:tcPr>
          <w:p w14:paraId="2ACB57C1" w14:textId="77777777" w:rsidR="00545A71" w:rsidRDefault="00545A71" w:rsidP="007A7372">
            <w:pPr>
              <w:jc w:val="center"/>
              <w:rPr>
                <w:color w:val="000000"/>
                <w:sz w:val="20"/>
                <w:szCs w:val="20"/>
              </w:rPr>
            </w:pPr>
            <w:r>
              <w:rPr>
                <w:color w:val="000000"/>
                <w:sz w:val="20"/>
                <w:szCs w:val="20"/>
              </w:rPr>
              <w:t>-4.38</w:t>
            </w:r>
          </w:p>
        </w:tc>
        <w:tc>
          <w:tcPr>
            <w:tcW w:w="1300" w:type="dxa"/>
            <w:tcBorders>
              <w:top w:val="nil"/>
              <w:left w:val="nil"/>
              <w:bottom w:val="single" w:sz="4" w:space="0" w:color="auto"/>
              <w:right w:val="single" w:sz="4" w:space="0" w:color="auto"/>
            </w:tcBorders>
            <w:shd w:val="clear" w:color="auto" w:fill="auto"/>
            <w:noWrap/>
            <w:vAlign w:val="center"/>
            <w:hideMark/>
          </w:tcPr>
          <w:p w14:paraId="55F25FFA" w14:textId="77777777" w:rsidR="00545A71" w:rsidRDefault="00545A71" w:rsidP="007A7372">
            <w:pPr>
              <w:jc w:val="center"/>
              <w:rPr>
                <w:color w:val="000000"/>
                <w:sz w:val="20"/>
                <w:szCs w:val="20"/>
              </w:rPr>
            </w:pPr>
            <w:r>
              <w:rPr>
                <w:color w:val="000000"/>
                <w:sz w:val="20"/>
                <w:szCs w:val="20"/>
              </w:rPr>
              <w:t>-25.29</w:t>
            </w:r>
          </w:p>
        </w:tc>
      </w:tr>
      <w:tr w:rsidR="00545A71" w14:paraId="70F4854A"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32F6FE0" w14:textId="77777777" w:rsidR="00545A71" w:rsidRDefault="00545A71" w:rsidP="007A7372">
            <w:pPr>
              <w:jc w:val="center"/>
              <w:rPr>
                <w:color w:val="000000"/>
                <w:sz w:val="20"/>
                <w:szCs w:val="20"/>
              </w:rPr>
            </w:pPr>
            <w:r>
              <w:rPr>
                <w:color w:val="000000"/>
                <w:sz w:val="20"/>
                <w:szCs w:val="20"/>
              </w:rPr>
              <w:t>90.63</w:t>
            </w:r>
          </w:p>
        </w:tc>
        <w:tc>
          <w:tcPr>
            <w:tcW w:w="1300" w:type="dxa"/>
            <w:tcBorders>
              <w:top w:val="nil"/>
              <w:left w:val="nil"/>
              <w:bottom w:val="single" w:sz="4" w:space="0" w:color="auto"/>
              <w:right w:val="single" w:sz="4" w:space="0" w:color="auto"/>
            </w:tcBorders>
            <w:shd w:val="clear" w:color="auto" w:fill="auto"/>
            <w:noWrap/>
            <w:vAlign w:val="center"/>
            <w:hideMark/>
          </w:tcPr>
          <w:p w14:paraId="0DE3ADBC" w14:textId="77777777" w:rsidR="00545A71" w:rsidRDefault="00545A71" w:rsidP="007A7372">
            <w:pPr>
              <w:jc w:val="center"/>
              <w:rPr>
                <w:color w:val="000000"/>
                <w:sz w:val="20"/>
                <w:szCs w:val="20"/>
              </w:rPr>
            </w:pPr>
            <w:r>
              <w:rPr>
                <w:color w:val="000000"/>
                <w:sz w:val="20"/>
                <w:szCs w:val="20"/>
              </w:rPr>
              <w:t>23.78</w:t>
            </w:r>
          </w:p>
        </w:tc>
        <w:tc>
          <w:tcPr>
            <w:tcW w:w="1300" w:type="dxa"/>
            <w:tcBorders>
              <w:top w:val="nil"/>
              <w:left w:val="nil"/>
              <w:bottom w:val="single" w:sz="4" w:space="0" w:color="auto"/>
              <w:right w:val="single" w:sz="4" w:space="0" w:color="auto"/>
            </w:tcBorders>
            <w:shd w:val="clear" w:color="auto" w:fill="auto"/>
            <w:noWrap/>
            <w:vAlign w:val="center"/>
            <w:hideMark/>
          </w:tcPr>
          <w:p w14:paraId="728CB21A" w14:textId="77777777" w:rsidR="00545A71" w:rsidRDefault="00545A71" w:rsidP="007A7372">
            <w:pPr>
              <w:jc w:val="center"/>
              <w:rPr>
                <w:color w:val="000000"/>
                <w:sz w:val="20"/>
                <w:szCs w:val="20"/>
              </w:rPr>
            </w:pPr>
            <w:r>
              <w:rPr>
                <w:color w:val="000000"/>
                <w:sz w:val="20"/>
                <w:szCs w:val="20"/>
              </w:rPr>
              <w:t>215.38</w:t>
            </w:r>
          </w:p>
        </w:tc>
        <w:tc>
          <w:tcPr>
            <w:tcW w:w="1300" w:type="dxa"/>
            <w:tcBorders>
              <w:top w:val="nil"/>
              <w:left w:val="nil"/>
              <w:bottom w:val="single" w:sz="4" w:space="0" w:color="auto"/>
              <w:right w:val="single" w:sz="4" w:space="0" w:color="auto"/>
            </w:tcBorders>
            <w:shd w:val="clear" w:color="auto" w:fill="auto"/>
            <w:noWrap/>
            <w:vAlign w:val="center"/>
            <w:hideMark/>
          </w:tcPr>
          <w:p w14:paraId="1A99811D" w14:textId="77777777" w:rsidR="00545A71" w:rsidRDefault="00545A71" w:rsidP="007A7372">
            <w:pPr>
              <w:jc w:val="center"/>
              <w:rPr>
                <w:color w:val="000000"/>
                <w:sz w:val="20"/>
                <w:szCs w:val="20"/>
              </w:rPr>
            </w:pPr>
            <w:r>
              <w:rPr>
                <w:color w:val="000000"/>
                <w:sz w:val="20"/>
                <w:szCs w:val="20"/>
              </w:rPr>
              <w:t>-4.95</w:t>
            </w:r>
          </w:p>
        </w:tc>
        <w:tc>
          <w:tcPr>
            <w:tcW w:w="1300" w:type="dxa"/>
            <w:tcBorders>
              <w:top w:val="nil"/>
              <w:left w:val="nil"/>
              <w:bottom w:val="single" w:sz="4" w:space="0" w:color="auto"/>
              <w:right w:val="single" w:sz="4" w:space="0" w:color="auto"/>
            </w:tcBorders>
            <w:shd w:val="clear" w:color="auto" w:fill="auto"/>
            <w:noWrap/>
            <w:vAlign w:val="center"/>
            <w:hideMark/>
          </w:tcPr>
          <w:p w14:paraId="0DFAFE25" w14:textId="77777777" w:rsidR="00545A71" w:rsidRDefault="00545A71" w:rsidP="007A7372">
            <w:pPr>
              <w:jc w:val="center"/>
              <w:rPr>
                <w:color w:val="000000"/>
                <w:sz w:val="20"/>
                <w:szCs w:val="20"/>
              </w:rPr>
            </w:pPr>
            <w:r>
              <w:rPr>
                <w:color w:val="000000"/>
                <w:sz w:val="20"/>
                <w:szCs w:val="20"/>
              </w:rPr>
              <w:t>-30.56</w:t>
            </w:r>
          </w:p>
        </w:tc>
      </w:tr>
      <w:tr w:rsidR="00545A71" w14:paraId="1165456F"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FAA5C65" w14:textId="77777777" w:rsidR="00545A71" w:rsidRDefault="00545A71" w:rsidP="007A7372">
            <w:pPr>
              <w:jc w:val="center"/>
              <w:rPr>
                <w:color w:val="000000"/>
                <w:sz w:val="20"/>
                <w:szCs w:val="20"/>
              </w:rPr>
            </w:pPr>
            <w:r>
              <w:rPr>
                <w:color w:val="000000"/>
                <w:sz w:val="20"/>
                <w:szCs w:val="20"/>
              </w:rPr>
              <w:t>90.59</w:t>
            </w:r>
          </w:p>
        </w:tc>
        <w:tc>
          <w:tcPr>
            <w:tcW w:w="1300" w:type="dxa"/>
            <w:tcBorders>
              <w:top w:val="nil"/>
              <w:left w:val="nil"/>
              <w:bottom w:val="single" w:sz="4" w:space="0" w:color="auto"/>
              <w:right w:val="single" w:sz="4" w:space="0" w:color="auto"/>
            </w:tcBorders>
            <w:shd w:val="clear" w:color="auto" w:fill="auto"/>
            <w:noWrap/>
            <w:vAlign w:val="center"/>
            <w:hideMark/>
          </w:tcPr>
          <w:p w14:paraId="75A779E9" w14:textId="77777777" w:rsidR="00545A71" w:rsidRDefault="00545A71" w:rsidP="007A7372">
            <w:pPr>
              <w:jc w:val="center"/>
              <w:rPr>
                <w:color w:val="000000"/>
                <w:sz w:val="20"/>
                <w:szCs w:val="20"/>
              </w:rPr>
            </w:pPr>
            <w:r>
              <w:rPr>
                <w:color w:val="000000"/>
                <w:sz w:val="20"/>
                <w:szCs w:val="20"/>
              </w:rPr>
              <w:t>23.77</w:t>
            </w:r>
          </w:p>
        </w:tc>
        <w:tc>
          <w:tcPr>
            <w:tcW w:w="1300" w:type="dxa"/>
            <w:tcBorders>
              <w:top w:val="nil"/>
              <w:left w:val="nil"/>
              <w:bottom w:val="single" w:sz="4" w:space="0" w:color="auto"/>
              <w:right w:val="single" w:sz="4" w:space="0" w:color="auto"/>
            </w:tcBorders>
            <w:shd w:val="clear" w:color="auto" w:fill="auto"/>
            <w:noWrap/>
            <w:vAlign w:val="center"/>
            <w:hideMark/>
          </w:tcPr>
          <w:p w14:paraId="34FCDD27"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63BCDE3C" w14:textId="77777777" w:rsidR="00545A71" w:rsidRDefault="00545A71" w:rsidP="007A7372">
            <w:pPr>
              <w:jc w:val="center"/>
              <w:rPr>
                <w:color w:val="000000"/>
                <w:sz w:val="20"/>
                <w:szCs w:val="20"/>
              </w:rPr>
            </w:pPr>
            <w:r>
              <w:rPr>
                <w:color w:val="000000"/>
                <w:sz w:val="20"/>
                <w:szCs w:val="20"/>
              </w:rPr>
              <w:t>-3.95</w:t>
            </w:r>
          </w:p>
        </w:tc>
        <w:tc>
          <w:tcPr>
            <w:tcW w:w="1300" w:type="dxa"/>
            <w:tcBorders>
              <w:top w:val="nil"/>
              <w:left w:val="nil"/>
              <w:bottom w:val="single" w:sz="4" w:space="0" w:color="auto"/>
              <w:right w:val="single" w:sz="4" w:space="0" w:color="auto"/>
            </w:tcBorders>
            <w:shd w:val="clear" w:color="auto" w:fill="auto"/>
            <w:noWrap/>
            <w:vAlign w:val="center"/>
            <w:hideMark/>
          </w:tcPr>
          <w:p w14:paraId="5FA67F0F" w14:textId="77777777" w:rsidR="00545A71" w:rsidRDefault="00545A71" w:rsidP="007A7372">
            <w:pPr>
              <w:jc w:val="center"/>
              <w:rPr>
                <w:color w:val="000000"/>
                <w:sz w:val="20"/>
                <w:szCs w:val="20"/>
              </w:rPr>
            </w:pPr>
            <w:r>
              <w:rPr>
                <w:color w:val="000000"/>
                <w:sz w:val="20"/>
                <w:szCs w:val="20"/>
              </w:rPr>
              <w:t>-29.18</w:t>
            </w:r>
          </w:p>
        </w:tc>
      </w:tr>
      <w:tr w:rsidR="00545A71" w14:paraId="1559AE43"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52564C6" w14:textId="77777777" w:rsidR="00545A71" w:rsidRDefault="00545A71" w:rsidP="007A7372">
            <w:pPr>
              <w:jc w:val="center"/>
              <w:rPr>
                <w:color w:val="000000"/>
                <w:sz w:val="20"/>
                <w:szCs w:val="20"/>
              </w:rPr>
            </w:pPr>
            <w:r>
              <w:rPr>
                <w:color w:val="000000"/>
                <w:sz w:val="20"/>
                <w:szCs w:val="20"/>
              </w:rPr>
              <w:t>90.64</w:t>
            </w:r>
          </w:p>
        </w:tc>
        <w:tc>
          <w:tcPr>
            <w:tcW w:w="1300" w:type="dxa"/>
            <w:tcBorders>
              <w:top w:val="nil"/>
              <w:left w:val="nil"/>
              <w:bottom w:val="single" w:sz="4" w:space="0" w:color="auto"/>
              <w:right w:val="single" w:sz="4" w:space="0" w:color="auto"/>
            </w:tcBorders>
            <w:shd w:val="clear" w:color="auto" w:fill="auto"/>
            <w:noWrap/>
            <w:vAlign w:val="center"/>
            <w:hideMark/>
          </w:tcPr>
          <w:p w14:paraId="3697FBA3"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7F9D71DB" w14:textId="77777777" w:rsidR="00545A71" w:rsidRDefault="00545A71" w:rsidP="007A7372">
            <w:pPr>
              <w:jc w:val="center"/>
              <w:rPr>
                <w:color w:val="000000"/>
                <w:sz w:val="20"/>
                <w:szCs w:val="20"/>
              </w:rPr>
            </w:pPr>
            <w:r>
              <w:rPr>
                <w:color w:val="000000"/>
                <w:sz w:val="20"/>
                <w:szCs w:val="20"/>
              </w:rPr>
              <w:t>250.77</w:t>
            </w:r>
          </w:p>
        </w:tc>
        <w:tc>
          <w:tcPr>
            <w:tcW w:w="1300" w:type="dxa"/>
            <w:tcBorders>
              <w:top w:val="nil"/>
              <w:left w:val="nil"/>
              <w:bottom w:val="single" w:sz="4" w:space="0" w:color="auto"/>
              <w:right w:val="single" w:sz="4" w:space="0" w:color="auto"/>
            </w:tcBorders>
            <w:shd w:val="clear" w:color="auto" w:fill="auto"/>
            <w:noWrap/>
            <w:vAlign w:val="center"/>
            <w:hideMark/>
          </w:tcPr>
          <w:p w14:paraId="5625D000" w14:textId="77777777" w:rsidR="00545A71" w:rsidRDefault="00545A71" w:rsidP="007A7372">
            <w:pPr>
              <w:jc w:val="center"/>
              <w:rPr>
                <w:color w:val="000000"/>
                <w:sz w:val="20"/>
                <w:szCs w:val="20"/>
              </w:rPr>
            </w:pPr>
            <w:r>
              <w:rPr>
                <w:color w:val="000000"/>
                <w:sz w:val="20"/>
                <w:szCs w:val="20"/>
              </w:rPr>
              <w:t>-6.04</w:t>
            </w:r>
          </w:p>
        </w:tc>
        <w:tc>
          <w:tcPr>
            <w:tcW w:w="1300" w:type="dxa"/>
            <w:tcBorders>
              <w:top w:val="nil"/>
              <w:left w:val="nil"/>
              <w:bottom w:val="single" w:sz="4" w:space="0" w:color="auto"/>
              <w:right w:val="single" w:sz="4" w:space="0" w:color="auto"/>
            </w:tcBorders>
            <w:shd w:val="clear" w:color="auto" w:fill="auto"/>
            <w:noWrap/>
            <w:vAlign w:val="center"/>
            <w:hideMark/>
          </w:tcPr>
          <w:p w14:paraId="03A96A25" w14:textId="77777777" w:rsidR="00545A71" w:rsidRDefault="00545A71" w:rsidP="007A7372">
            <w:pPr>
              <w:jc w:val="center"/>
              <w:rPr>
                <w:color w:val="000000"/>
                <w:sz w:val="20"/>
                <w:szCs w:val="20"/>
              </w:rPr>
            </w:pPr>
            <w:r>
              <w:rPr>
                <w:color w:val="000000"/>
                <w:sz w:val="20"/>
                <w:szCs w:val="20"/>
              </w:rPr>
              <w:t>-39.46</w:t>
            </w:r>
          </w:p>
        </w:tc>
      </w:tr>
      <w:tr w:rsidR="00545A71" w14:paraId="753DE8BB"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C7F093F" w14:textId="77777777" w:rsidR="00545A71" w:rsidRDefault="00545A71" w:rsidP="007A7372">
            <w:pPr>
              <w:jc w:val="center"/>
              <w:rPr>
                <w:color w:val="000000"/>
                <w:sz w:val="20"/>
                <w:szCs w:val="20"/>
              </w:rPr>
            </w:pPr>
            <w:r>
              <w:rPr>
                <w:color w:val="000000"/>
                <w:sz w:val="20"/>
                <w:szCs w:val="20"/>
              </w:rPr>
              <w:t>90.67</w:t>
            </w:r>
          </w:p>
        </w:tc>
        <w:tc>
          <w:tcPr>
            <w:tcW w:w="1300" w:type="dxa"/>
            <w:tcBorders>
              <w:top w:val="nil"/>
              <w:left w:val="nil"/>
              <w:bottom w:val="single" w:sz="4" w:space="0" w:color="auto"/>
              <w:right w:val="single" w:sz="4" w:space="0" w:color="auto"/>
            </w:tcBorders>
            <w:shd w:val="clear" w:color="auto" w:fill="auto"/>
            <w:noWrap/>
            <w:vAlign w:val="center"/>
            <w:hideMark/>
          </w:tcPr>
          <w:p w14:paraId="2092859D" w14:textId="77777777" w:rsidR="00545A71" w:rsidRDefault="00545A71" w:rsidP="007A7372">
            <w:pPr>
              <w:jc w:val="center"/>
              <w:rPr>
                <w:color w:val="000000"/>
                <w:sz w:val="20"/>
                <w:szCs w:val="20"/>
              </w:rPr>
            </w:pPr>
            <w:r>
              <w:rPr>
                <w:color w:val="000000"/>
                <w:sz w:val="20"/>
                <w:szCs w:val="20"/>
              </w:rPr>
              <w:t>23.73</w:t>
            </w:r>
          </w:p>
        </w:tc>
        <w:tc>
          <w:tcPr>
            <w:tcW w:w="1300" w:type="dxa"/>
            <w:tcBorders>
              <w:top w:val="nil"/>
              <w:left w:val="nil"/>
              <w:bottom w:val="single" w:sz="4" w:space="0" w:color="auto"/>
              <w:right w:val="single" w:sz="4" w:space="0" w:color="auto"/>
            </w:tcBorders>
            <w:shd w:val="clear" w:color="auto" w:fill="auto"/>
            <w:noWrap/>
            <w:vAlign w:val="center"/>
            <w:hideMark/>
          </w:tcPr>
          <w:p w14:paraId="301C95B4" w14:textId="77777777" w:rsidR="00545A71" w:rsidRDefault="00545A71" w:rsidP="007A7372">
            <w:pPr>
              <w:jc w:val="center"/>
              <w:rPr>
                <w:color w:val="000000"/>
                <w:sz w:val="20"/>
                <w:szCs w:val="20"/>
              </w:rPr>
            </w:pPr>
            <w:r>
              <w:rPr>
                <w:color w:val="000000"/>
                <w:sz w:val="20"/>
                <w:szCs w:val="20"/>
              </w:rPr>
              <w:t>215.38</w:t>
            </w:r>
          </w:p>
        </w:tc>
        <w:tc>
          <w:tcPr>
            <w:tcW w:w="1300" w:type="dxa"/>
            <w:tcBorders>
              <w:top w:val="nil"/>
              <w:left w:val="nil"/>
              <w:bottom w:val="single" w:sz="4" w:space="0" w:color="auto"/>
              <w:right w:val="single" w:sz="4" w:space="0" w:color="auto"/>
            </w:tcBorders>
            <w:shd w:val="clear" w:color="auto" w:fill="auto"/>
            <w:noWrap/>
            <w:vAlign w:val="center"/>
            <w:hideMark/>
          </w:tcPr>
          <w:p w14:paraId="53A7E0AC" w14:textId="77777777" w:rsidR="00545A71" w:rsidRDefault="00545A71" w:rsidP="007A7372">
            <w:pPr>
              <w:jc w:val="center"/>
              <w:rPr>
                <w:color w:val="000000"/>
                <w:sz w:val="20"/>
                <w:szCs w:val="20"/>
              </w:rPr>
            </w:pPr>
            <w:r>
              <w:rPr>
                <w:color w:val="000000"/>
                <w:sz w:val="20"/>
                <w:szCs w:val="20"/>
              </w:rPr>
              <w:t>-6.22</w:t>
            </w:r>
          </w:p>
        </w:tc>
        <w:tc>
          <w:tcPr>
            <w:tcW w:w="1300" w:type="dxa"/>
            <w:tcBorders>
              <w:top w:val="nil"/>
              <w:left w:val="nil"/>
              <w:bottom w:val="single" w:sz="4" w:space="0" w:color="auto"/>
              <w:right w:val="single" w:sz="4" w:space="0" w:color="auto"/>
            </w:tcBorders>
            <w:shd w:val="clear" w:color="auto" w:fill="auto"/>
            <w:noWrap/>
            <w:vAlign w:val="center"/>
            <w:hideMark/>
          </w:tcPr>
          <w:p w14:paraId="6A630EDB" w14:textId="77777777" w:rsidR="00545A71" w:rsidRDefault="00545A71" w:rsidP="007A7372">
            <w:pPr>
              <w:jc w:val="center"/>
              <w:rPr>
                <w:color w:val="000000"/>
                <w:sz w:val="20"/>
                <w:szCs w:val="20"/>
              </w:rPr>
            </w:pPr>
            <w:r>
              <w:rPr>
                <w:color w:val="000000"/>
                <w:sz w:val="20"/>
                <w:szCs w:val="20"/>
              </w:rPr>
              <w:t>-40.81</w:t>
            </w:r>
          </w:p>
        </w:tc>
      </w:tr>
      <w:tr w:rsidR="00545A71" w14:paraId="7E2AB3A9"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31653D4" w14:textId="77777777" w:rsidR="00545A71" w:rsidRDefault="00545A71" w:rsidP="007A7372">
            <w:pPr>
              <w:jc w:val="center"/>
              <w:rPr>
                <w:color w:val="000000"/>
                <w:sz w:val="20"/>
                <w:szCs w:val="20"/>
              </w:rPr>
            </w:pPr>
            <w:r>
              <w:rPr>
                <w:color w:val="000000"/>
                <w:sz w:val="20"/>
                <w:szCs w:val="20"/>
              </w:rPr>
              <w:t>90.69</w:t>
            </w:r>
          </w:p>
        </w:tc>
        <w:tc>
          <w:tcPr>
            <w:tcW w:w="1300" w:type="dxa"/>
            <w:tcBorders>
              <w:top w:val="nil"/>
              <w:left w:val="nil"/>
              <w:bottom w:val="single" w:sz="4" w:space="0" w:color="auto"/>
              <w:right w:val="single" w:sz="4" w:space="0" w:color="auto"/>
            </w:tcBorders>
            <w:shd w:val="clear" w:color="auto" w:fill="auto"/>
            <w:noWrap/>
            <w:vAlign w:val="center"/>
            <w:hideMark/>
          </w:tcPr>
          <w:p w14:paraId="6A9ADCA1" w14:textId="77777777" w:rsidR="00545A71" w:rsidRDefault="00545A71" w:rsidP="007A7372">
            <w:pPr>
              <w:jc w:val="center"/>
              <w:rPr>
                <w:color w:val="000000"/>
                <w:sz w:val="20"/>
                <w:szCs w:val="20"/>
              </w:rPr>
            </w:pPr>
            <w:r>
              <w:rPr>
                <w:color w:val="000000"/>
                <w:sz w:val="20"/>
                <w:szCs w:val="20"/>
              </w:rPr>
              <w:t>23.78</w:t>
            </w:r>
          </w:p>
        </w:tc>
        <w:tc>
          <w:tcPr>
            <w:tcW w:w="1300" w:type="dxa"/>
            <w:tcBorders>
              <w:top w:val="nil"/>
              <w:left w:val="nil"/>
              <w:bottom w:val="single" w:sz="4" w:space="0" w:color="auto"/>
              <w:right w:val="single" w:sz="4" w:space="0" w:color="auto"/>
            </w:tcBorders>
            <w:shd w:val="clear" w:color="auto" w:fill="auto"/>
            <w:noWrap/>
            <w:vAlign w:val="center"/>
            <w:hideMark/>
          </w:tcPr>
          <w:p w14:paraId="520F0CEA" w14:textId="77777777" w:rsidR="00545A71" w:rsidRDefault="00545A71" w:rsidP="007A7372">
            <w:pPr>
              <w:jc w:val="center"/>
              <w:rPr>
                <w:color w:val="000000"/>
                <w:sz w:val="20"/>
                <w:szCs w:val="20"/>
              </w:rPr>
            </w:pPr>
            <w:r>
              <w:rPr>
                <w:color w:val="000000"/>
                <w:sz w:val="20"/>
                <w:szCs w:val="20"/>
              </w:rPr>
              <w:t>184.62</w:t>
            </w:r>
          </w:p>
        </w:tc>
        <w:tc>
          <w:tcPr>
            <w:tcW w:w="1300" w:type="dxa"/>
            <w:tcBorders>
              <w:top w:val="nil"/>
              <w:left w:val="nil"/>
              <w:bottom w:val="single" w:sz="4" w:space="0" w:color="auto"/>
              <w:right w:val="single" w:sz="4" w:space="0" w:color="auto"/>
            </w:tcBorders>
            <w:shd w:val="clear" w:color="auto" w:fill="auto"/>
            <w:noWrap/>
            <w:vAlign w:val="center"/>
            <w:hideMark/>
          </w:tcPr>
          <w:p w14:paraId="266F5396" w14:textId="77777777" w:rsidR="00545A71" w:rsidRDefault="00545A71" w:rsidP="007A7372">
            <w:pPr>
              <w:jc w:val="center"/>
              <w:rPr>
                <w:color w:val="000000"/>
                <w:sz w:val="20"/>
                <w:szCs w:val="20"/>
              </w:rPr>
            </w:pPr>
            <w:r>
              <w:rPr>
                <w:color w:val="000000"/>
                <w:sz w:val="20"/>
                <w:szCs w:val="20"/>
              </w:rPr>
              <w:t>-4.94</w:t>
            </w:r>
          </w:p>
        </w:tc>
        <w:tc>
          <w:tcPr>
            <w:tcW w:w="1300" w:type="dxa"/>
            <w:tcBorders>
              <w:top w:val="nil"/>
              <w:left w:val="nil"/>
              <w:bottom w:val="single" w:sz="4" w:space="0" w:color="auto"/>
              <w:right w:val="single" w:sz="4" w:space="0" w:color="auto"/>
            </w:tcBorders>
            <w:shd w:val="clear" w:color="auto" w:fill="auto"/>
            <w:noWrap/>
            <w:vAlign w:val="center"/>
            <w:hideMark/>
          </w:tcPr>
          <w:p w14:paraId="17E66E85" w14:textId="77777777" w:rsidR="00545A71" w:rsidRDefault="00545A71" w:rsidP="007A7372">
            <w:pPr>
              <w:jc w:val="center"/>
              <w:rPr>
                <w:color w:val="000000"/>
                <w:sz w:val="20"/>
                <w:szCs w:val="20"/>
              </w:rPr>
            </w:pPr>
            <w:r>
              <w:rPr>
                <w:color w:val="000000"/>
                <w:sz w:val="20"/>
                <w:szCs w:val="20"/>
              </w:rPr>
              <w:t>-30.22</w:t>
            </w:r>
          </w:p>
        </w:tc>
      </w:tr>
      <w:tr w:rsidR="00545A71" w14:paraId="21339324"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73B684F"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4D1D79BD" w14:textId="77777777" w:rsidR="00545A71" w:rsidRDefault="00545A71" w:rsidP="007A7372">
            <w:pPr>
              <w:jc w:val="center"/>
              <w:rPr>
                <w:color w:val="000000"/>
                <w:sz w:val="20"/>
                <w:szCs w:val="20"/>
              </w:rPr>
            </w:pPr>
            <w:r>
              <w:rPr>
                <w:color w:val="000000"/>
                <w:sz w:val="20"/>
                <w:szCs w:val="20"/>
              </w:rPr>
              <w:t>23.80</w:t>
            </w:r>
          </w:p>
        </w:tc>
        <w:tc>
          <w:tcPr>
            <w:tcW w:w="1300" w:type="dxa"/>
            <w:tcBorders>
              <w:top w:val="nil"/>
              <w:left w:val="nil"/>
              <w:bottom w:val="single" w:sz="4" w:space="0" w:color="auto"/>
              <w:right w:val="single" w:sz="4" w:space="0" w:color="auto"/>
            </w:tcBorders>
            <w:shd w:val="clear" w:color="auto" w:fill="auto"/>
            <w:noWrap/>
            <w:vAlign w:val="center"/>
            <w:hideMark/>
          </w:tcPr>
          <w:p w14:paraId="7ED415BB" w14:textId="77777777" w:rsidR="00545A71" w:rsidRDefault="00545A71" w:rsidP="007A7372">
            <w:pPr>
              <w:jc w:val="center"/>
              <w:rPr>
                <w:color w:val="000000"/>
                <w:sz w:val="20"/>
                <w:szCs w:val="20"/>
              </w:rPr>
            </w:pPr>
            <w:r>
              <w:rPr>
                <w:color w:val="000000"/>
                <w:sz w:val="20"/>
                <w:szCs w:val="20"/>
              </w:rPr>
              <w:t>215.38</w:t>
            </w:r>
          </w:p>
        </w:tc>
        <w:tc>
          <w:tcPr>
            <w:tcW w:w="1300" w:type="dxa"/>
            <w:tcBorders>
              <w:top w:val="nil"/>
              <w:left w:val="nil"/>
              <w:bottom w:val="single" w:sz="4" w:space="0" w:color="auto"/>
              <w:right w:val="single" w:sz="4" w:space="0" w:color="auto"/>
            </w:tcBorders>
            <w:shd w:val="clear" w:color="auto" w:fill="auto"/>
            <w:noWrap/>
            <w:vAlign w:val="center"/>
            <w:hideMark/>
          </w:tcPr>
          <w:p w14:paraId="2952B17A" w14:textId="77777777" w:rsidR="00545A71" w:rsidRDefault="00545A71" w:rsidP="007A7372">
            <w:pPr>
              <w:jc w:val="center"/>
              <w:rPr>
                <w:color w:val="000000"/>
                <w:sz w:val="20"/>
                <w:szCs w:val="20"/>
              </w:rPr>
            </w:pPr>
            <w:r>
              <w:rPr>
                <w:color w:val="000000"/>
                <w:sz w:val="20"/>
                <w:szCs w:val="20"/>
              </w:rPr>
              <w:t>-4.93</w:t>
            </w:r>
          </w:p>
        </w:tc>
        <w:tc>
          <w:tcPr>
            <w:tcW w:w="1300" w:type="dxa"/>
            <w:tcBorders>
              <w:top w:val="nil"/>
              <w:left w:val="nil"/>
              <w:bottom w:val="single" w:sz="4" w:space="0" w:color="auto"/>
              <w:right w:val="single" w:sz="4" w:space="0" w:color="auto"/>
            </w:tcBorders>
            <w:shd w:val="clear" w:color="auto" w:fill="auto"/>
            <w:noWrap/>
            <w:vAlign w:val="center"/>
            <w:hideMark/>
          </w:tcPr>
          <w:p w14:paraId="646F699D" w14:textId="77777777" w:rsidR="00545A71" w:rsidRDefault="00545A71" w:rsidP="007A7372">
            <w:pPr>
              <w:jc w:val="center"/>
              <w:rPr>
                <w:color w:val="000000"/>
                <w:sz w:val="20"/>
                <w:szCs w:val="20"/>
              </w:rPr>
            </w:pPr>
            <w:r>
              <w:rPr>
                <w:color w:val="000000"/>
                <w:sz w:val="20"/>
                <w:szCs w:val="20"/>
              </w:rPr>
              <w:t>-30.23</w:t>
            </w:r>
          </w:p>
        </w:tc>
      </w:tr>
      <w:tr w:rsidR="00545A71" w14:paraId="5BA06059"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2A07D28" w14:textId="77777777" w:rsidR="00545A71" w:rsidRDefault="00545A71" w:rsidP="007A7372">
            <w:pPr>
              <w:jc w:val="center"/>
              <w:rPr>
                <w:color w:val="000000"/>
                <w:sz w:val="20"/>
                <w:szCs w:val="20"/>
              </w:rPr>
            </w:pPr>
            <w:r>
              <w:rPr>
                <w:color w:val="000000"/>
                <w:sz w:val="20"/>
                <w:szCs w:val="20"/>
              </w:rPr>
              <w:t>90.61</w:t>
            </w:r>
          </w:p>
        </w:tc>
        <w:tc>
          <w:tcPr>
            <w:tcW w:w="1300" w:type="dxa"/>
            <w:tcBorders>
              <w:top w:val="nil"/>
              <w:left w:val="nil"/>
              <w:bottom w:val="single" w:sz="4" w:space="0" w:color="auto"/>
              <w:right w:val="single" w:sz="4" w:space="0" w:color="auto"/>
            </w:tcBorders>
            <w:shd w:val="clear" w:color="auto" w:fill="auto"/>
            <w:noWrap/>
            <w:vAlign w:val="center"/>
            <w:hideMark/>
          </w:tcPr>
          <w:p w14:paraId="71EE4065" w14:textId="77777777" w:rsidR="00545A71" w:rsidRDefault="00545A71" w:rsidP="007A7372">
            <w:pPr>
              <w:jc w:val="center"/>
              <w:rPr>
                <w:color w:val="000000"/>
                <w:sz w:val="20"/>
                <w:szCs w:val="20"/>
              </w:rPr>
            </w:pPr>
            <w:r>
              <w:rPr>
                <w:color w:val="000000"/>
                <w:sz w:val="20"/>
                <w:szCs w:val="20"/>
              </w:rPr>
              <w:t>23.81</w:t>
            </w:r>
          </w:p>
        </w:tc>
        <w:tc>
          <w:tcPr>
            <w:tcW w:w="1300" w:type="dxa"/>
            <w:tcBorders>
              <w:top w:val="nil"/>
              <w:left w:val="nil"/>
              <w:bottom w:val="single" w:sz="4" w:space="0" w:color="auto"/>
              <w:right w:val="single" w:sz="4" w:space="0" w:color="auto"/>
            </w:tcBorders>
            <w:shd w:val="clear" w:color="auto" w:fill="auto"/>
            <w:noWrap/>
            <w:vAlign w:val="center"/>
            <w:hideMark/>
          </w:tcPr>
          <w:p w14:paraId="5C294CDD" w14:textId="77777777" w:rsidR="00545A71" w:rsidRDefault="00545A71" w:rsidP="007A7372">
            <w:pPr>
              <w:jc w:val="center"/>
              <w:rPr>
                <w:color w:val="000000"/>
                <w:sz w:val="20"/>
                <w:szCs w:val="20"/>
              </w:rPr>
            </w:pPr>
            <w:r>
              <w:rPr>
                <w:color w:val="000000"/>
                <w:sz w:val="20"/>
                <w:szCs w:val="20"/>
              </w:rPr>
              <w:t>270.77</w:t>
            </w:r>
          </w:p>
        </w:tc>
        <w:tc>
          <w:tcPr>
            <w:tcW w:w="1300" w:type="dxa"/>
            <w:tcBorders>
              <w:top w:val="nil"/>
              <w:left w:val="nil"/>
              <w:bottom w:val="single" w:sz="4" w:space="0" w:color="auto"/>
              <w:right w:val="single" w:sz="4" w:space="0" w:color="auto"/>
            </w:tcBorders>
            <w:shd w:val="clear" w:color="auto" w:fill="auto"/>
            <w:noWrap/>
            <w:vAlign w:val="center"/>
            <w:hideMark/>
          </w:tcPr>
          <w:p w14:paraId="3776A2F6" w14:textId="77777777" w:rsidR="00545A71" w:rsidRDefault="00545A71" w:rsidP="007A7372">
            <w:pPr>
              <w:jc w:val="center"/>
              <w:rPr>
                <w:color w:val="000000"/>
                <w:sz w:val="20"/>
                <w:szCs w:val="20"/>
              </w:rPr>
            </w:pPr>
            <w:r>
              <w:rPr>
                <w:color w:val="000000"/>
                <w:sz w:val="20"/>
                <w:szCs w:val="20"/>
              </w:rPr>
              <w:t>-5.06</w:t>
            </w:r>
          </w:p>
        </w:tc>
        <w:tc>
          <w:tcPr>
            <w:tcW w:w="1300" w:type="dxa"/>
            <w:tcBorders>
              <w:top w:val="nil"/>
              <w:left w:val="nil"/>
              <w:bottom w:val="single" w:sz="4" w:space="0" w:color="auto"/>
              <w:right w:val="single" w:sz="4" w:space="0" w:color="auto"/>
            </w:tcBorders>
            <w:shd w:val="clear" w:color="auto" w:fill="auto"/>
            <w:noWrap/>
            <w:vAlign w:val="center"/>
            <w:hideMark/>
          </w:tcPr>
          <w:p w14:paraId="5D5687B0" w14:textId="77777777" w:rsidR="00545A71" w:rsidRDefault="00545A71" w:rsidP="007A7372">
            <w:pPr>
              <w:jc w:val="center"/>
              <w:rPr>
                <w:color w:val="000000"/>
                <w:sz w:val="20"/>
                <w:szCs w:val="20"/>
              </w:rPr>
            </w:pPr>
            <w:r>
              <w:rPr>
                <w:color w:val="000000"/>
                <w:sz w:val="20"/>
                <w:szCs w:val="20"/>
              </w:rPr>
              <w:t>-31.09</w:t>
            </w:r>
          </w:p>
        </w:tc>
      </w:tr>
      <w:tr w:rsidR="00545A71" w14:paraId="1392A886"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29D2860" w14:textId="77777777" w:rsidR="00545A71" w:rsidRDefault="00545A71" w:rsidP="007A7372">
            <w:pPr>
              <w:jc w:val="center"/>
              <w:rPr>
                <w:color w:val="000000"/>
                <w:sz w:val="20"/>
                <w:szCs w:val="20"/>
              </w:rPr>
            </w:pPr>
            <w:r>
              <w:rPr>
                <w:color w:val="000000"/>
                <w:sz w:val="20"/>
                <w:szCs w:val="20"/>
              </w:rPr>
              <w:t>90.69</w:t>
            </w:r>
          </w:p>
        </w:tc>
        <w:tc>
          <w:tcPr>
            <w:tcW w:w="1300" w:type="dxa"/>
            <w:tcBorders>
              <w:top w:val="nil"/>
              <w:left w:val="nil"/>
              <w:bottom w:val="single" w:sz="4" w:space="0" w:color="auto"/>
              <w:right w:val="single" w:sz="4" w:space="0" w:color="auto"/>
            </w:tcBorders>
            <w:shd w:val="clear" w:color="auto" w:fill="auto"/>
            <w:noWrap/>
            <w:vAlign w:val="center"/>
            <w:hideMark/>
          </w:tcPr>
          <w:p w14:paraId="5222AFE2" w14:textId="77777777" w:rsidR="00545A71" w:rsidRDefault="00545A71" w:rsidP="007A7372">
            <w:pPr>
              <w:jc w:val="center"/>
              <w:rPr>
                <w:color w:val="000000"/>
                <w:sz w:val="20"/>
                <w:szCs w:val="20"/>
              </w:rPr>
            </w:pPr>
            <w:r>
              <w:rPr>
                <w:color w:val="000000"/>
                <w:sz w:val="20"/>
                <w:szCs w:val="20"/>
              </w:rPr>
              <w:t>23.78</w:t>
            </w:r>
          </w:p>
        </w:tc>
        <w:tc>
          <w:tcPr>
            <w:tcW w:w="1300" w:type="dxa"/>
            <w:tcBorders>
              <w:top w:val="nil"/>
              <w:left w:val="nil"/>
              <w:bottom w:val="single" w:sz="4" w:space="0" w:color="auto"/>
              <w:right w:val="single" w:sz="4" w:space="0" w:color="auto"/>
            </w:tcBorders>
            <w:shd w:val="clear" w:color="auto" w:fill="auto"/>
            <w:noWrap/>
            <w:vAlign w:val="center"/>
            <w:hideMark/>
          </w:tcPr>
          <w:p w14:paraId="17C2561C" w14:textId="77777777" w:rsidR="00545A71" w:rsidRDefault="00545A71" w:rsidP="007A7372">
            <w:pPr>
              <w:jc w:val="center"/>
              <w:rPr>
                <w:color w:val="000000"/>
                <w:sz w:val="20"/>
                <w:szCs w:val="20"/>
              </w:rPr>
            </w:pPr>
            <w:r>
              <w:rPr>
                <w:color w:val="000000"/>
                <w:sz w:val="20"/>
                <w:szCs w:val="20"/>
              </w:rPr>
              <w:t>203.08</w:t>
            </w:r>
          </w:p>
        </w:tc>
        <w:tc>
          <w:tcPr>
            <w:tcW w:w="1300" w:type="dxa"/>
            <w:tcBorders>
              <w:top w:val="nil"/>
              <w:left w:val="nil"/>
              <w:bottom w:val="single" w:sz="4" w:space="0" w:color="auto"/>
              <w:right w:val="single" w:sz="4" w:space="0" w:color="auto"/>
            </w:tcBorders>
            <w:shd w:val="clear" w:color="auto" w:fill="auto"/>
            <w:noWrap/>
            <w:vAlign w:val="center"/>
            <w:hideMark/>
          </w:tcPr>
          <w:p w14:paraId="156E1DF5" w14:textId="77777777" w:rsidR="00545A71" w:rsidRDefault="00545A71" w:rsidP="007A7372">
            <w:pPr>
              <w:jc w:val="center"/>
              <w:rPr>
                <w:color w:val="000000"/>
                <w:sz w:val="20"/>
                <w:szCs w:val="20"/>
              </w:rPr>
            </w:pPr>
            <w:r>
              <w:rPr>
                <w:color w:val="000000"/>
                <w:sz w:val="20"/>
                <w:szCs w:val="20"/>
              </w:rPr>
              <w:t>-4.87</w:t>
            </w:r>
          </w:p>
        </w:tc>
        <w:tc>
          <w:tcPr>
            <w:tcW w:w="1300" w:type="dxa"/>
            <w:tcBorders>
              <w:top w:val="nil"/>
              <w:left w:val="nil"/>
              <w:bottom w:val="single" w:sz="4" w:space="0" w:color="auto"/>
              <w:right w:val="single" w:sz="4" w:space="0" w:color="auto"/>
            </w:tcBorders>
            <w:shd w:val="clear" w:color="auto" w:fill="auto"/>
            <w:noWrap/>
            <w:vAlign w:val="center"/>
            <w:hideMark/>
          </w:tcPr>
          <w:p w14:paraId="3C7FF2CE" w14:textId="77777777" w:rsidR="00545A71" w:rsidRDefault="00545A71" w:rsidP="007A7372">
            <w:pPr>
              <w:jc w:val="center"/>
              <w:rPr>
                <w:color w:val="000000"/>
                <w:sz w:val="20"/>
                <w:szCs w:val="20"/>
              </w:rPr>
            </w:pPr>
            <w:r>
              <w:rPr>
                <w:color w:val="000000"/>
                <w:sz w:val="20"/>
                <w:szCs w:val="20"/>
              </w:rPr>
              <w:t>-29.49</w:t>
            </w:r>
          </w:p>
        </w:tc>
      </w:tr>
      <w:tr w:rsidR="00545A71" w14:paraId="1CD71722"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C57CE6E" w14:textId="77777777" w:rsidR="00545A71" w:rsidRDefault="00545A71" w:rsidP="007A7372">
            <w:pPr>
              <w:jc w:val="center"/>
              <w:rPr>
                <w:color w:val="000000"/>
                <w:sz w:val="20"/>
                <w:szCs w:val="20"/>
              </w:rPr>
            </w:pPr>
            <w:r>
              <w:rPr>
                <w:color w:val="000000"/>
                <w:sz w:val="20"/>
                <w:szCs w:val="20"/>
              </w:rPr>
              <w:t>90.64</w:t>
            </w:r>
          </w:p>
        </w:tc>
        <w:tc>
          <w:tcPr>
            <w:tcW w:w="1300" w:type="dxa"/>
            <w:tcBorders>
              <w:top w:val="nil"/>
              <w:left w:val="nil"/>
              <w:bottom w:val="single" w:sz="4" w:space="0" w:color="auto"/>
              <w:right w:val="single" w:sz="4" w:space="0" w:color="auto"/>
            </w:tcBorders>
            <w:shd w:val="clear" w:color="auto" w:fill="auto"/>
            <w:noWrap/>
            <w:vAlign w:val="center"/>
            <w:hideMark/>
          </w:tcPr>
          <w:p w14:paraId="4F97432D" w14:textId="77777777" w:rsidR="00545A71" w:rsidRDefault="00545A71" w:rsidP="007A7372">
            <w:pPr>
              <w:jc w:val="center"/>
              <w:rPr>
                <w:color w:val="000000"/>
                <w:sz w:val="20"/>
                <w:szCs w:val="20"/>
              </w:rPr>
            </w:pPr>
            <w:r>
              <w:rPr>
                <w:color w:val="000000"/>
                <w:sz w:val="20"/>
                <w:szCs w:val="20"/>
              </w:rPr>
              <w:t>23.78</w:t>
            </w:r>
          </w:p>
        </w:tc>
        <w:tc>
          <w:tcPr>
            <w:tcW w:w="1300" w:type="dxa"/>
            <w:tcBorders>
              <w:top w:val="nil"/>
              <w:left w:val="nil"/>
              <w:bottom w:val="single" w:sz="4" w:space="0" w:color="auto"/>
              <w:right w:val="single" w:sz="4" w:space="0" w:color="auto"/>
            </w:tcBorders>
            <w:shd w:val="clear" w:color="auto" w:fill="auto"/>
            <w:noWrap/>
            <w:vAlign w:val="center"/>
            <w:hideMark/>
          </w:tcPr>
          <w:p w14:paraId="78F900DE" w14:textId="77777777" w:rsidR="00545A71" w:rsidRDefault="00545A71" w:rsidP="007A7372">
            <w:pPr>
              <w:jc w:val="center"/>
              <w:rPr>
                <w:color w:val="000000"/>
                <w:sz w:val="20"/>
                <w:szCs w:val="20"/>
              </w:rPr>
            </w:pPr>
            <w:r>
              <w:rPr>
                <w:color w:val="000000"/>
                <w:sz w:val="20"/>
                <w:szCs w:val="20"/>
              </w:rPr>
              <w:t>230.77</w:t>
            </w:r>
          </w:p>
        </w:tc>
        <w:tc>
          <w:tcPr>
            <w:tcW w:w="1300" w:type="dxa"/>
            <w:tcBorders>
              <w:top w:val="nil"/>
              <w:left w:val="nil"/>
              <w:bottom w:val="single" w:sz="4" w:space="0" w:color="auto"/>
              <w:right w:val="single" w:sz="4" w:space="0" w:color="auto"/>
            </w:tcBorders>
            <w:shd w:val="clear" w:color="auto" w:fill="auto"/>
            <w:noWrap/>
            <w:vAlign w:val="center"/>
            <w:hideMark/>
          </w:tcPr>
          <w:p w14:paraId="03A33798" w14:textId="77777777" w:rsidR="00545A71" w:rsidRDefault="00545A71" w:rsidP="007A7372">
            <w:pPr>
              <w:jc w:val="center"/>
              <w:rPr>
                <w:color w:val="000000"/>
                <w:sz w:val="20"/>
                <w:szCs w:val="20"/>
              </w:rPr>
            </w:pPr>
            <w:r>
              <w:rPr>
                <w:color w:val="000000"/>
                <w:sz w:val="20"/>
                <w:szCs w:val="20"/>
              </w:rPr>
              <w:t>-4.20</w:t>
            </w:r>
          </w:p>
        </w:tc>
        <w:tc>
          <w:tcPr>
            <w:tcW w:w="1300" w:type="dxa"/>
            <w:tcBorders>
              <w:top w:val="nil"/>
              <w:left w:val="nil"/>
              <w:bottom w:val="single" w:sz="4" w:space="0" w:color="auto"/>
              <w:right w:val="single" w:sz="4" w:space="0" w:color="auto"/>
            </w:tcBorders>
            <w:shd w:val="clear" w:color="auto" w:fill="auto"/>
            <w:noWrap/>
            <w:vAlign w:val="center"/>
            <w:hideMark/>
          </w:tcPr>
          <w:p w14:paraId="279867E9" w14:textId="77777777" w:rsidR="00545A71" w:rsidRDefault="00545A71" w:rsidP="007A7372">
            <w:pPr>
              <w:jc w:val="center"/>
              <w:rPr>
                <w:color w:val="000000"/>
                <w:sz w:val="20"/>
                <w:szCs w:val="20"/>
              </w:rPr>
            </w:pPr>
            <w:r>
              <w:rPr>
                <w:color w:val="000000"/>
                <w:sz w:val="20"/>
                <w:szCs w:val="20"/>
              </w:rPr>
              <w:t>-24.03</w:t>
            </w:r>
          </w:p>
        </w:tc>
      </w:tr>
      <w:tr w:rsidR="00545A71" w14:paraId="4BF07597"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29F43C1" w14:textId="77777777" w:rsidR="00545A71" w:rsidRDefault="00545A71" w:rsidP="007A7372">
            <w:pPr>
              <w:jc w:val="center"/>
              <w:rPr>
                <w:color w:val="000000"/>
                <w:sz w:val="20"/>
                <w:szCs w:val="20"/>
              </w:rPr>
            </w:pPr>
            <w:r>
              <w:rPr>
                <w:color w:val="000000"/>
                <w:sz w:val="20"/>
                <w:szCs w:val="20"/>
              </w:rPr>
              <w:t>90.66</w:t>
            </w:r>
          </w:p>
        </w:tc>
        <w:tc>
          <w:tcPr>
            <w:tcW w:w="1300" w:type="dxa"/>
            <w:tcBorders>
              <w:top w:val="nil"/>
              <w:left w:val="nil"/>
              <w:bottom w:val="single" w:sz="4" w:space="0" w:color="auto"/>
              <w:right w:val="single" w:sz="4" w:space="0" w:color="auto"/>
            </w:tcBorders>
            <w:shd w:val="clear" w:color="auto" w:fill="auto"/>
            <w:noWrap/>
            <w:vAlign w:val="center"/>
            <w:hideMark/>
          </w:tcPr>
          <w:p w14:paraId="32F6F2C5"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46CC3720" w14:textId="77777777" w:rsidR="00545A71" w:rsidRDefault="00545A71" w:rsidP="007A7372">
            <w:pPr>
              <w:jc w:val="center"/>
              <w:rPr>
                <w:color w:val="000000"/>
                <w:sz w:val="20"/>
                <w:szCs w:val="20"/>
              </w:rPr>
            </w:pPr>
            <w:r>
              <w:rPr>
                <w:color w:val="000000"/>
                <w:sz w:val="20"/>
                <w:szCs w:val="20"/>
              </w:rPr>
              <w:t>276.92</w:t>
            </w:r>
          </w:p>
        </w:tc>
        <w:tc>
          <w:tcPr>
            <w:tcW w:w="1300" w:type="dxa"/>
            <w:tcBorders>
              <w:top w:val="nil"/>
              <w:left w:val="nil"/>
              <w:bottom w:val="single" w:sz="4" w:space="0" w:color="auto"/>
              <w:right w:val="single" w:sz="4" w:space="0" w:color="auto"/>
            </w:tcBorders>
            <w:shd w:val="clear" w:color="auto" w:fill="auto"/>
            <w:noWrap/>
            <w:vAlign w:val="center"/>
            <w:hideMark/>
          </w:tcPr>
          <w:p w14:paraId="236BA303" w14:textId="77777777" w:rsidR="00545A71" w:rsidRDefault="00545A71" w:rsidP="007A7372">
            <w:pPr>
              <w:jc w:val="center"/>
              <w:rPr>
                <w:color w:val="000000"/>
                <w:sz w:val="20"/>
                <w:szCs w:val="20"/>
              </w:rPr>
            </w:pPr>
            <w:r>
              <w:rPr>
                <w:color w:val="000000"/>
                <w:sz w:val="20"/>
                <w:szCs w:val="20"/>
              </w:rPr>
              <w:t>-5.79</w:t>
            </w:r>
          </w:p>
        </w:tc>
        <w:tc>
          <w:tcPr>
            <w:tcW w:w="1300" w:type="dxa"/>
            <w:tcBorders>
              <w:top w:val="nil"/>
              <w:left w:val="nil"/>
              <w:bottom w:val="single" w:sz="4" w:space="0" w:color="auto"/>
              <w:right w:val="single" w:sz="4" w:space="0" w:color="auto"/>
            </w:tcBorders>
            <w:shd w:val="clear" w:color="auto" w:fill="auto"/>
            <w:noWrap/>
            <w:vAlign w:val="center"/>
            <w:hideMark/>
          </w:tcPr>
          <w:p w14:paraId="73598281" w14:textId="77777777" w:rsidR="00545A71" w:rsidRDefault="00545A71" w:rsidP="007A7372">
            <w:pPr>
              <w:jc w:val="center"/>
              <w:rPr>
                <w:color w:val="000000"/>
                <w:sz w:val="20"/>
                <w:szCs w:val="20"/>
              </w:rPr>
            </w:pPr>
            <w:r>
              <w:rPr>
                <w:color w:val="000000"/>
                <w:sz w:val="20"/>
                <w:szCs w:val="20"/>
              </w:rPr>
              <w:t>-37.54</w:t>
            </w:r>
          </w:p>
        </w:tc>
      </w:tr>
      <w:tr w:rsidR="00545A71" w14:paraId="3B3ADF4C"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2DBFCE4"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2C81AB45"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059433E3" w14:textId="77777777" w:rsidR="00545A71" w:rsidRDefault="00545A71" w:rsidP="007A7372">
            <w:pPr>
              <w:jc w:val="center"/>
              <w:rPr>
                <w:color w:val="000000"/>
                <w:sz w:val="20"/>
                <w:szCs w:val="20"/>
              </w:rPr>
            </w:pPr>
            <w:r>
              <w:rPr>
                <w:color w:val="000000"/>
                <w:sz w:val="20"/>
                <w:szCs w:val="20"/>
              </w:rPr>
              <w:t>178.46</w:t>
            </w:r>
          </w:p>
        </w:tc>
        <w:tc>
          <w:tcPr>
            <w:tcW w:w="1300" w:type="dxa"/>
            <w:tcBorders>
              <w:top w:val="nil"/>
              <w:left w:val="nil"/>
              <w:bottom w:val="single" w:sz="4" w:space="0" w:color="auto"/>
              <w:right w:val="single" w:sz="4" w:space="0" w:color="auto"/>
            </w:tcBorders>
            <w:shd w:val="clear" w:color="auto" w:fill="auto"/>
            <w:noWrap/>
            <w:vAlign w:val="center"/>
            <w:hideMark/>
          </w:tcPr>
          <w:p w14:paraId="21973953" w14:textId="77777777" w:rsidR="00545A71" w:rsidRDefault="00545A71" w:rsidP="007A7372">
            <w:pPr>
              <w:jc w:val="center"/>
              <w:rPr>
                <w:color w:val="000000"/>
                <w:sz w:val="20"/>
                <w:szCs w:val="20"/>
              </w:rPr>
            </w:pPr>
            <w:r>
              <w:rPr>
                <w:color w:val="000000"/>
                <w:sz w:val="20"/>
                <w:szCs w:val="20"/>
              </w:rPr>
              <w:t>-4.37</w:t>
            </w:r>
          </w:p>
        </w:tc>
        <w:tc>
          <w:tcPr>
            <w:tcW w:w="1300" w:type="dxa"/>
            <w:tcBorders>
              <w:top w:val="nil"/>
              <w:left w:val="nil"/>
              <w:bottom w:val="single" w:sz="4" w:space="0" w:color="auto"/>
              <w:right w:val="single" w:sz="4" w:space="0" w:color="auto"/>
            </w:tcBorders>
            <w:shd w:val="clear" w:color="auto" w:fill="auto"/>
            <w:noWrap/>
            <w:vAlign w:val="center"/>
            <w:hideMark/>
          </w:tcPr>
          <w:p w14:paraId="417EDEEC" w14:textId="77777777" w:rsidR="00545A71" w:rsidRDefault="00545A71" w:rsidP="007A7372">
            <w:pPr>
              <w:jc w:val="center"/>
              <w:rPr>
                <w:color w:val="000000"/>
                <w:sz w:val="20"/>
                <w:szCs w:val="20"/>
              </w:rPr>
            </w:pPr>
            <w:r>
              <w:rPr>
                <w:color w:val="000000"/>
                <w:sz w:val="20"/>
                <w:szCs w:val="20"/>
              </w:rPr>
              <w:t>-25.72</w:t>
            </w:r>
          </w:p>
        </w:tc>
      </w:tr>
      <w:tr w:rsidR="00545A71" w14:paraId="18D65F28"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C953F19" w14:textId="77777777" w:rsidR="00545A71" w:rsidRDefault="00545A71" w:rsidP="007A7372">
            <w:pPr>
              <w:jc w:val="center"/>
              <w:rPr>
                <w:color w:val="000000"/>
                <w:sz w:val="20"/>
                <w:szCs w:val="20"/>
              </w:rPr>
            </w:pPr>
            <w:r>
              <w:rPr>
                <w:color w:val="000000"/>
                <w:sz w:val="20"/>
                <w:szCs w:val="20"/>
              </w:rPr>
              <w:t>90.71</w:t>
            </w:r>
          </w:p>
        </w:tc>
        <w:tc>
          <w:tcPr>
            <w:tcW w:w="1300" w:type="dxa"/>
            <w:tcBorders>
              <w:top w:val="nil"/>
              <w:left w:val="nil"/>
              <w:bottom w:val="single" w:sz="4" w:space="0" w:color="auto"/>
              <w:right w:val="single" w:sz="4" w:space="0" w:color="auto"/>
            </w:tcBorders>
            <w:shd w:val="clear" w:color="auto" w:fill="auto"/>
            <w:noWrap/>
            <w:vAlign w:val="center"/>
            <w:hideMark/>
          </w:tcPr>
          <w:p w14:paraId="64A28FC6" w14:textId="77777777" w:rsidR="00545A71" w:rsidRDefault="00545A71" w:rsidP="007A7372">
            <w:pPr>
              <w:jc w:val="center"/>
              <w:rPr>
                <w:color w:val="000000"/>
                <w:sz w:val="20"/>
                <w:szCs w:val="20"/>
              </w:rPr>
            </w:pPr>
            <w:r>
              <w:rPr>
                <w:color w:val="000000"/>
                <w:sz w:val="20"/>
                <w:szCs w:val="20"/>
              </w:rPr>
              <w:t>23.67</w:t>
            </w:r>
          </w:p>
        </w:tc>
        <w:tc>
          <w:tcPr>
            <w:tcW w:w="1300" w:type="dxa"/>
            <w:tcBorders>
              <w:top w:val="nil"/>
              <w:left w:val="nil"/>
              <w:bottom w:val="single" w:sz="4" w:space="0" w:color="auto"/>
              <w:right w:val="single" w:sz="4" w:space="0" w:color="auto"/>
            </w:tcBorders>
            <w:shd w:val="clear" w:color="auto" w:fill="auto"/>
            <w:noWrap/>
            <w:vAlign w:val="center"/>
            <w:hideMark/>
          </w:tcPr>
          <w:p w14:paraId="4B729C22" w14:textId="77777777" w:rsidR="00545A71" w:rsidRDefault="00545A71" w:rsidP="007A7372">
            <w:pPr>
              <w:jc w:val="center"/>
              <w:rPr>
                <w:color w:val="000000"/>
                <w:sz w:val="20"/>
                <w:szCs w:val="20"/>
              </w:rPr>
            </w:pPr>
            <w:r>
              <w:rPr>
                <w:color w:val="000000"/>
                <w:sz w:val="20"/>
                <w:szCs w:val="20"/>
              </w:rPr>
              <w:t>215.38</w:t>
            </w:r>
          </w:p>
        </w:tc>
        <w:tc>
          <w:tcPr>
            <w:tcW w:w="1300" w:type="dxa"/>
            <w:tcBorders>
              <w:top w:val="nil"/>
              <w:left w:val="nil"/>
              <w:bottom w:val="single" w:sz="4" w:space="0" w:color="auto"/>
              <w:right w:val="single" w:sz="4" w:space="0" w:color="auto"/>
            </w:tcBorders>
            <w:shd w:val="clear" w:color="auto" w:fill="auto"/>
            <w:noWrap/>
            <w:vAlign w:val="center"/>
            <w:hideMark/>
          </w:tcPr>
          <w:p w14:paraId="06DCB233" w14:textId="77777777" w:rsidR="00545A71" w:rsidRDefault="00545A71" w:rsidP="007A7372">
            <w:pPr>
              <w:jc w:val="center"/>
              <w:rPr>
                <w:color w:val="000000"/>
                <w:sz w:val="20"/>
                <w:szCs w:val="20"/>
              </w:rPr>
            </w:pPr>
            <w:r>
              <w:rPr>
                <w:color w:val="000000"/>
                <w:sz w:val="20"/>
                <w:szCs w:val="20"/>
              </w:rPr>
              <w:t>-4.00</w:t>
            </w:r>
          </w:p>
        </w:tc>
        <w:tc>
          <w:tcPr>
            <w:tcW w:w="1300" w:type="dxa"/>
            <w:tcBorders>
              <w:top w:val="nil"/>
              <w:left w:val="nil"/>
              <w:bottom w:val="single" w:sz="4" w:space="0" w:color="auto"/>
              <w:right w:val="single" w:sz="4" w:space="0" w:color="auto"/>
            </w:tcBorders>
            <w:shd w:val="clear" w:color="auto" w:fill="auto"/>
            <w:noWrap/>
            <w:vAlign w:val="center"/>
            <w:hideMark/>
          </w:tcPr>
          <w:p w14:paraId="5BAD0CF1" w14:textId="77777777" w:rsidR="00545A71" w:rsidRDefault="00545A71" w:rsidP="007A7372">
            <w:pPr>
              <w:jc w:val="center"/>
              <w:rPr>
                <w:color w:val="000000"/>
                <w:sz w:val="20"/>
                <w:szCs w:val="20"/>
              </w:rPr>
            </w:pPr>
            <w:r>
              <w:rPr>
                <w:color w:val="000000"/>
                <w:sz w:val="20"/>
                <w:szCs w:val="20"/>
              </w:rPr>
              <w:t>-22.35</w:t>
            </w:r>
          </w:p>
        </w:tc>
      </w:tr>
      <w:tr w:rsidR="00545A71" w14:paraId="41C8E5AB"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30D40B1"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5E77CB39" w14:textId="77777777" w:rsidR="00545A71" w:rsidRDefault="00545A71" w:rsidP="007A7372">
            <w:pPr>
              <w:jc w:val="center"/>
              <w:rPr>
                <w:color w:val="000000"/>
                <w:sz w:val="20"/>
                <w:szCs w:val="20"/>
              </w:rPr>
            </w:pPr>
            <w:r>
              <w:rPr>
                <w:color w:val="000000"/>
                <w:sz w:val="20"/>
                <w:szCs w:val="20"/>
              </w:rPr>
              <w:t>23.75</w:t>
            </w:r>
          </w:p>
        </w:tc>
        <w:tc>
          <w:tcPr>
            <w:tcW w:w="1300" w:type="dxa"/>
            <w:tcBorders>
              <w:top w:val="nil"/>
              <w:left w:val="nil"/>
              <w:bottom w:val="single" w:sz="4" w:space="0" w:color="auto"/>
              <w:right w:val="single" w:sz="4" w:space="0" w:color="auto"/>
            </w:tcBorders>
            <w:shd w:val="clear" w:color="auto" w:fill="auto"/>
            <w:noWrap/>
            <w:vAlign w:val="center"/>
            <w:hideMark/>
          </w:tcPr>
          <w:p w14:paraId="34BC2C8A"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32057403" w14:textId="77777777" w:rsidR="00545A71" w:rsidRDefault="00545A71" w:rsidP="007A7372">
            <w:pPr>
              <w:jc w:val="center"/>
              <w:rPr>
                <w:color w:val="000000"/>
                <w:sz w:val="20"/>
                <w:szCs w:val="20"/>
              </w:rPr>
            </w:pPr>
            <w:r>
              <w:rPr>
                <w:color w:val="000000"/>
                <w:sz w:val="20"/>
                <w:szCs w:val="20"/>
              </w:rPr>
              <w:t>-4.92</w:t>
            </w:r>
          </w:p>
        </w:tc>
        <w:tc>
          <w:tcPr>
            <w:tcW w:w="1300" w:type="dxa"/>
            <w:tcBorders>
              <w:top w:val="nil"/>
              <w:left w:val="nil"/>
              <w:bottom w:val="single" w:sz="4" w:space="0" w:color="auto"/>
              <w:right w:val="single" w:sz="4" w:space="0" w:color="auto"/>
            </w:tcBorders>
            <w:shd w:val="clear" w:color="auto" w:fill="auto"/>
            <w:noWrap/>
            <w:vAlign w:val="center"/>
            <w:hideMark/>
          </w:tcPr>
          <w:p w14:paraId="164074AE" w14:textId="77777777" w:rsidR="00545A71" w:rsidRDefault="00545A71" w:rsidP="007A7372">
            <w:pPr>
              <w:jc w:val="center"/>
              <w:rPr>
                <w:color w:val="000000"/>
                <w:sz w:val="20"/>
                <w:szCs w:val="20"/>
              </w:rPr>
            </w:pPr>
            <w:r>
              <w:rPr>
                <w:color w:val="000000"/>
                <w:sz w:val="20"/>
                <w:szCs w:val="20"/>
              </w:rPr>
              <w:t>-30.16</w:t>
            </w:r>
          </w:p>
        </w:tc>
      </w:tr>
      <w:tr w:rsidR="00545A71" w14:paraId="3C6912FA"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31F9C46" w14:textId="77777777" w:rsidR="00545A71" w:rsidRDefault="00545A71" w:rsidP="007A7372">
            <w:pPr>
              <w:jc w:val="center"/>
              <w:rPr>
                <w:color w:val="000000"/>
                <w:sz w:val="20"/>
                <w:szCs w:val="20"/>
              </w:rPr>
            </w:pPr>
            <w:r>
              <w:rPr>
                <w:color w:val="000000"/>
                <w:sz w:val="20"/>
                <w:szCs w:val="20"/>
              </w:rPr>
              <w:t>90.60</w:t>
            </w:r>
          </w:p>
        </w:tc>
        <w:tc>
          <w:tcPr>
            <w:tcW w:w="1300" w:type="dxa"/>
            <w:tcBorders>
              <w:top w:val="nil"/>
              <w:left w:val="nil"/>
              <w:bottom w:val="single" w:sz="4" w:space="0" w:color="auto"/>
              <w:right w:val="single" w:sz="4" w:space="0" w:color="auto"/>
            </w:tcBorders>
            <w:shd w:val="clear" w:color="auto" w:fill="auto"/>
            <w:noWrap/>
            <w:vAlign w:val="center"/>
            <w:hideMark/>
          </w:tcPr>
          <w:p w14:paraId="7EBB0A62" w14:textId="77777777" w:rsidR="00545A71" w:rsidRDefault="00545A71" w:rsidP="007A7372">
            <w:pPr>
              <w:jc w:val="center"/>
              <w:rPr>
                <w:color w:val="000000"/>
                <w:sz w:val="20"/>
                <w:szCs w:val="20"/>
              </w:rPr>
            </w:pPr>
            <w:r>
              <w:rPr>
                <w:color w:val="000000"/>
                <w:sz w:val="20"/>
                <w:szCs w:val="20"/>
              </w:rPr>
              <w:t>23.82</w:t>
            </w:r>
          </w:p>
        </w:tc>
        <w:tc>
          <w:tcPr>
            <w:tcW w:w="1300" w:type="dxa"/>
            <w:tcBorders>
              <w:top w:val="nil"/>
              <w:left w:val="nil"/>
              <w:bottom w:val="single" w:sz="4" w:space="0" w:color="auto"/>
              <w:right w:val="single" w:sz="4" w:space="0" w:color="auto"/>
            </w:tcBorders>
            <w:shd w:val="clear" w:color="auto" w:fill="auto"/>
            <w:noWrap/>
            <w:vAlign w:val="center"/>
            <w:hideMark/>
          </w:tcPr>
          <w:p w14:paraId="688A5373"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1DB05ABD" w14:textId="77777777" w:rsidR="00545A71" w:rsidRDefault="00545A71" w:rsidP="007A7372">
            <w:pPr>
              <w:jc w:val="center"/>
              <w:rPr>
                <w:color w:val="000000"/>
                <w:sz w:val="20"/>
                <w:szCs w:val="20"/>
              </w:rPr>
            </w:pPr>
            <w:r>
              <w:rPr>
                <w:color w:val="000000"/>
                <w:sz w:val="20"/>
                <w:szCs w:val="20"/>
              </w:rPr>
              <w:t>-2.99</w:t>
            </w:r>
          </w:p>
        </w:tc>
        <w:tc>
          <w:tcPr>
            <w:tcW w:w="1300" w:type="dxa"/>
            <w:tcBorders>
              <w:top w:val="nil"/>
              <w:left w:val="nil"/>
              <w:bottom w:val="single" w:sz="4" w:space="0" w:color="auto"/>
              <w:right w:val="single" w:sz="4" w:space="0" w:color="auto"/>
            </w:tcBorders>
            <w:shd w:val="clear" w:color="auto" w:fill="auto"/>
            <w:noWrap/>
            <w:vAlign w:val="center"/>
            <w:hideMark/>
          </w:tcPr>
          <w:p w14:paraId="1195D716" w14:textId="77777777" w:rsidR="00545A71" w:rsidRDefault="00545A71" w:rsidP="007A7372">
            <w:pPr>
              <w:jc w:val="center"/>
              <w:rPr>
                <w:color w:val="000000"/>
                <w:sz w:val="20"/>
                <w:szCs w:val="20"/>
              </w:rPr>
            </w:pPr>
            <w:r>
              <w:rPr>
                <w:color w:val="000000"/>
                <w:sz w:val="20"/>
                <w:szCs w:val="20"/>
              </w:rPr>
              <w:t>-15.03</w:t>
            </w:r>
          </w:p>
        </w:tc>
      </w:tr>
      <w:tr w:rsidR="00545A71" w14:paraId="43D50EAB"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609CC33" w14:textId="77777777" w:rsidR="00545A71" w:rsidRDefault="00545A71" w:rsidP="007A7372">
            <w:pPr>
              <w:jc w:val="center"/>
              <w:rPr>
                <w:color w:val="000000"/>
                <w:sz w:val="20"/>
                <w:szCs w:val="20"/>
              </w:rPr>
            </w:pPr>
            <w:r>
              <w:rPr>
                <w:color w:val="000000"/>
                <w:sz w:val="20"/>
                <w:szCs w:val="20"/>
              </w:rPr>
              <w:t>90.63</w:t>
            </w:r>
          </w:p>
        </w:tc>
        <w:tc>
          <w:tcPr>
            <w:tcW w:w="1300" w:type="dxa"/>
            <w:tcBorders>
              <w:top w:val="nil"/>
              <w:left w:val="nil"/>
              <w:bottom w:val="single" w:sz="4" w:space="0" w:color="auto"/>
              <w:right w:val="single" w:sz="4" w:space="0" w:color="auto"/>
            </w:tcBorders>
            <w:shd w:val="clear" w:color="auto" w:fill="auto"/>
            <w:noWrap/>
            <w:vAlign w:val="center"/>
            <w:hideMark/>
          </w:tcPr>
          <w:p w14:paraId="60EB9006"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48012BAB" w14:textId="77777777" w:rsidR="00545A71" w:rsidRDefault="00545A71" w:rsidP="007A7372">
            <w:pPr>
              <w:jc w:val="center"/>
              <w:rPr>
                <w:color w:val="000000"/>
                <w:sz w:val="20"/>
                <w:szCs w:val="20"/>
              </w:rPr>
            </w:pPr>
            <w:r>
              <w:rPr>
                <w:color w:val="000000"/>
                <w:sz w:val="20"/>
                <w:szCs w:val="20"/>
              </w:rPr>
              <w:t>250.77</w:t>
            </w:r>
          </w:p>
        </w:tc>
        <w:tc>
          <w:tcPr>
            <w:tcW w:w="1300" w:type="dxa"/>
            <w:tcBorders>
              <w:top w:val="nil"/>
              <w:left w:val="nil"/>
              <w:bottom w:val="single" w:sz="4" w:space="0" w:color="auto"/>
              <w:right w:val="single" w:sz="4" w:space="0" w:color="auto"/>
            </w:tcBorders>
            <w:shd w:val="clear" w:color="auto" w:fill="auto"/>
            <w:noWrap/>
            <w:vAlign w:val="center"/>
            <w:hideMark/>
          </w:tcPr>
          <w:p w14:paraId="6FF511C4" w14:textId="77777777" w:rsidR="00545A71" w:rsidRDefault="00545A71" w:rsidP="007A7372">
            <w:pPr>
              <w:jc w:val="center"/>
              <w:rPr>
                <w:color w:val="000000"/>
                <w:sz w:val="20"/>
                <w:szCs w:val="20"/>
              </w:rPr>
            </w:pPr>
            <w:r>
              <w:rPr>
                <w:color w:val="000000"/>
                <w:sz w:val="20"/>
                <w:szCs w:val="20"/>
              </w:rPr>
              <w:t>-4.92</w:t>
            </w:r>
          </w:p>
        </w:tc>
        <w:tc>
          <w:tcPr>
            <w:tcW w:w="1300" w:type="dxa"/>
            <w:tcBorders>
              <w:top w:val="nil"/>
              <w:left w:val="nil"/>
              <w:bottom w:val="single" w:sz="4" w:space="0" w:color="auto"/>
              <w:right w:val="single" w:sz="4" w:space="0" w:color="auto"/>
            </w:tcBorders>
            <w:shd w:val="clear" w:color="auto" w:fill="auto"/>
            <w:noWrap/>
            <w:vAlign w:val="center"/>
            <w:hideMark/>
          </w:tcPr>
          <w:p w14:paraId="27B77375" w14:textId="77777777" w:rsidR="00545A71" w:rsidRDefault="00545A71" w:rsidP="007A7372">
            <w:pPr>
              <w:jc w:val="center"/>
              <w:rPr>
                <w:color w:val="000000"/>
                <w:sz w:val="20"/>
                <w:szCs w:val="20"/>
              </w:rPr>
            </w:pPr>
            <w:r>
              <w:rPr>
                <w:color w:val="000000"/>
                <w:sz w:val="20"/>
                <w:szCs w:val="20"/>
              </w:rPr>
              <w:t>-30.72</w:t>
            </w:r>
          </w:p>
        </w:tc>
      </w:tr>
      <w:tr w:rsidR="00545A71" w14:paraId="6F185ADA"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FA094AE"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2E74B9E5"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4F0C4222" w14:textId="77777777" w:rsidR="00545A71" w:rsidRDefault="00545A71" w:rsidP="007A7372">
            <w:pPr>
              <w:jc w:val="center"/>
              <w:rPr>
                <w:color w:val="000000"/>
                <w:sz w:val="20"/>
                <w:szCs w:val="20"/>
              </w:rPr>
            </w:pPr>
            <w:r>
              <w:rPr>
                <w:color w:val="000000"/>
                <w:sz w:val="20"/>
                <w:szCs w:val="20"/>
              </w:rPr>
              <w:t>200.00</w:t>
            </w:r>
          </w:p>
        </w:tc>
        <w:tc>
          <w:tcPr>
            <w:tcW w:w="1300" w:type="dxa"/>
            <w:tcBorders>
              <w:top w:val="nil"/>
              <w:left w:val="nil"/>
              <w:bottom w:val="single" w:sz="4" w:space="0" w:color="auto"/>
              <w:right w:val="single" w:sz="4" w:space="0" w:color="auto"/>
            </w:tcBorders>
            <w:shd w:val="clear" w:color="auto" w:fill="auto"/>
            <w:noWrap/>
            <w:vAlign w:val="center"/>
            <w:hideMark/>
          </w:tcPr>
          <w:p w14:paraId="2451F82E" w14:textId="77777777" w:rsidR="00545A71" w:rsidRDefault="00545A71" w:rsidP="007A7372">
            <w:pPr>
              <w:jc w:val="center"/>
              <w:rPr>
                <w:color w:val="000000"/>
                <w:sz w:val="20"/>
                <w:szCs w:val="20"/>
              </w:rPr>
            </w:pPr>
            <w:r>
              <w:rPr>
                <w:color w:val="000000"/>
                <w:sz w:val="20"/>
                <w:szCs w:val="20"/>
              </w:rPr>
              <w:t>-4.71</w:t>
            </w:r>
          </w:p>
        </w:tc>
        <w:tc>
          <w:tcPr>
            <w:tcW w:w="1300" w:type="dxa"/>
            <w:tcBorders>
              <w:top w:val="nil"/>
              <w:left w:val="nil"/>
              <w:bottom w:val="single" w:sz="4" w:space="0" w:color="auto"/>
              <w:right w:val="single" w:sz="4" w:space="0" w:color="auto"/>
            </w:tcBorders>
            <w:shd w:val="clear" w:color="auto" w:fill="auto"/>
            <w:noWrap/>
            <w:vAlign w:val="center"/>
            <w:hideMark/>
          </w:tcPr>
          <w:p w14:paraId="77AAD0C7" w14:textId="77777777" w:rsidR="00545A71" w:rsidRDefault="00545A71" w:rsidP="007A7372">
            <w:pPr>
              <w:jc w:val="center"/>
              <w:rPr>
                <w:color w:val="000000"/>
                <w:sz w:val="20"/>
                <w:szCs w:val="20"/>
              </w:rPr>
            </w:pPr>
            <w:r>
              <w:rPr>
                <w:color w:val="000000"/>
                <w:sz w:val="20"/>
                <w:szCs w:val="20"/>
              </w:rPr>
              <w:t>-28.71</w:t>
            </w:r>
          </w:p>
        </w:tc>
      </w:tr>
      <w:tr w:rsidR="00545A71" w14:paraId="79F9612A"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4624114" w14:textId="77777777" w:rsidR="00545A71" w:rsidRDefault="00545A71" w:rsidP="007A7372">
            <w:pPr>
              <w:jc w:val="center"/>
              <w:rPr>
                <w:color w:val="000000"/>
                <w:sz w:val="20"/>
                <w:szCs w:val="20"/>
              </w:rPr>
            </w:pPr>
            <w:r>
              <w:rPr>
                <w:color w:val="000000"/>
                <w:sz w:val="20"/>
                <w:szCs w:val="20"/>
              </w:rPr>
              <w:t>90.64</w:t>
            </w:r>
          </w:p>
        </w:tc>
        <w:tc>
          <w:tcPr>
            <w:tcW w:w="1300" w:type="dxa"/>
            <w:tcBorders>
              <w:top w:val="nil"/>
              <w:left w:val="nil"/>
              <w:bottom w:val="single" w:sz="4" w:space="0" w:color="auto"/>
              <w:right w:val="single" w:sz="4" w:space="0" w:color="auto"/>
            </w:tcBorders>
            <w:shd w:val="clear" w:color="auto" w:fill="auto"/>
            <w:noWrap/>
            <w:vAlign w:val="center"/>
            <w:hideMark/>
          </w:tcPr>
          <w:p w14:paraId="186754B0" w14:textId="77777777" w:rsidR="00545A71" w:rsidRDefault="00545A71" w:rsidP="007A7372">
            <w:pPr>
              <w:jc w:val="center"/>
              <w:rPr>
                <w:color w:val="000000"/>
                <w:sz w:val="20"/>
                <w:szCs w:val="20"/>
              </w:rPr>
            </w:pPr>
            <w:r>
              <w:rPr>
                <w:color w:val="000000"/>
                <w:sz w:val="20"/>
                <w:szCs w:val="20"/>
              </w:rPr>
              <w:t>23.80</w:t>
            </w:r>
          </w:p>
        </w:tc>
        <w:tc>
          <w:tcPr>
            <w:tcW w:w="1300" w:type="dxa"/>
            <w:tcBorders>
              <w:top w:val="nil"/>
              <w:left w:val="nil"/>
              <w:bottom w:val="single" w:sz="4" w:space="0" w:color="auto"/>
              <w:right w:val="single" w:sz="4" w:space="0" w:color="auto"/>
            </w:tcBorders>
            <w:shd w:val="clear" w:color="auto" w:fill="auto"/>
            <w:noWrap/>
            <w:vAlign w:val="center"/>
            <w:hideMark/>
          </w:tcPr>
          <w:p w14:paraId="4F28B529" w14:textId="77777777" w:rsidR="00545A71" w:rsidRDefault="00545A71" w:rsidP="007A7372">
            <w:pPr>
              <w:jc w:val="center"/>
              <w:rPr>
                <w:color w:val="000000"/>
                <w:sz w:val="20"/>
                <w:szCs w:val="20"/>
              </w:rPr>
            </w:pPr>
            <w:r>
              <w:rPr>
                <w:color w:val="000000"/>
                <w:sz w:val="20"/>
                <w:szCs w:val="20"/>
              </w:rPr>
              <w:t>184.62</w:t>
            </w:r>
          </w:p>
        </w:tc>
        <w:tc>
          <w:tcPr>
            <w:tcW w:w="1300" w:type="dxa"/>
            <w:tcBorders>
              <w:top w:val="nil"/>
              <w:left w:val="nil"/>
              <w:bottom w:val="single" w:sz="4" w:space="0" w:color="auto"/>
              <w:right w:val="single" w:sz="4" w:space="0" w:color="auto"/>
            </w:tcBorders>
            <w:shd w:val="clear" w:color="auto" w:fill="auto"/>
            <w:noWrap/>
            <w:vAlign w:val="center"/>
            <w:hideMark/>
          </w:tcPr>
          <w:p w14:paraId="67BABBD6" w14:textId="77777777" w:rsidR="00545A71" w:rsidRDefault="00545A71" w:rsidP="007A7372">
            <w:pPr>
              <w:jc w:val="center"/>
              <w:rPr>
                <w:color w:val="000000"/>
                <w:sz w:val="20"/>
                <w:szCs w:val="20"/>
              </w:rPr>
            </w:pPr>
            <w:r>
              <w:rPr>
                <w:color w:val="000000"/>
                <w:sz w:val="20"/>
                <w:szCs w:val="20"/>
              </w:rPr>
              <w:t>-5.71</w:t>
            </w:r>
          </w:p>
        </w:tc>
        <w:tc>
          <w:tcPr>
            <w:tcW w:w="1300" w:type="dxa"/>
            <w:tcBorders>
              <w:top w:val="nil"/>
              <w:left w:val="nil"/>
              <w:bottom w:val="single" w:sz="4" w:space="0" w:color="auto"/>
              <w:right w:val="single" w:sz="4" w:space="0" w:color="auto"/>
            </w:tcBorders>
            <w:shd w:val="clear" w:color="auto" w:fill="auto"/>
            <w:noWrap/>
            <w:vAlign w:val="center"/>
            <w:hideMark/>
          </w:tcPr>
          <w:p w14:paraId="01C4E7B3" w14:textId="77777777" w:rsidR="00545A71" w:rsidRDefault="00545A71" w:rsidP="007A7372">
            <w:pPr>
              <w:jc w:val="center"/>
              <w:rPr>
                <w:color w:val="000000"/>
                <w:sz w:val="20"/>
                <w:szCs w:val="20"/>
              </w:rPr>
            </w:pPr>
            <w:r>
              <w:rPr>
                <w:color w:val="000000"/>
                <w:sz w:val="20"/>
                <w:szCs w:val="20"/>
              </w:rPr>
              <w:t>-36.71</w:t>
            </w:r>
          </w:p>
        </w:tc>
      </w:tr>
      <w:tr w:rsidR="00545A71" w14:paraId="3290BA07"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F118FBA"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0FC3D313"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66854728" w14:textId="77777777" w:rsidR="00545A71" w:rsidRDefault="00545A71" w:rsidP="007A7372">
            <w:pPr>
              <w:jc w:val="center"/>
              <w:rPr>
                <w:color w:val="000000"/>
                <w:sz w:val="20"/>
                <w:szCs w:val="20"/>
              </w:rPr>
            </w:pPr>
            <w:r>
              <w:rPr>
                <w:color w:val="000000"/>
                <w:sz w:val="20"/>
                <w:szCs w:val="20"/>
              </w:rPr>
              <w:t>233.85</w:t>
            </w:r>
          </w:p>
        </w:tc>
        <w:tc>
          <w:tcPr>
            <w:tcW w:w="1300" w:type="dxa"/>
            <w:tcBorders>
              <w:top w:val="nil"/>
              <w:left w:val="nil"/>
              <w:bottom w:val="single" w:sz="4" w:space="0" w:color="auto"/>
              <w:right w:val="single" w:sz="4" w:space="0" w:color="auto"/>
            </w:tcBorders>
            <w:shd w:val="clear" w:color="auto" w:fill="auto"/>
            <w:noWrap/>
            <w:vAlign w:val="center"/>
            <w:hideMark/>
          </w:tcPr>
          <w:p w14:paraId="2207BFC5" w14:textId="77777777" w:rsidR="00545A71" w:rsidRDefault="00545A71" w:rsidP="007A7372">
            <w:pPr>
              <w:jc w:val="center"/>
              <w:rPr>
                <w:color w:val="000000"/>
                <w:sz w:val="20"/>
                <w:szCs w:val="20"/>
              </w:rPr>
            </w:pPr>
            <w:r>
              <w:rPr>
                <w:color w:val="000000"/>
                <w:sz w:val="20"/>
                <w:szCs w:val="20"/>
              </w:rPr>
              <w:t>-5.20</w:t>
            </w:r>
          </w:p>
        </w:tc>
        <w:tc>
          <w:tcPr>
            <w:tcW w:w="1300" w:type="dxa"/>
            <w:tcBorders>
              <w:top w:val="nil"/>
              <w:left w:val="nil"/>
              <w:bottom w:val="single" w:sz="4" w:space="0" w:color="auto"/>
              <w:right w:val="single" w:sz="4" w:space="0" w:color="auto"/>
            </w:tcBorders>
            <w:shd w:val="clear" w:color="auto" w:fill="auto"/>
            <w:noWrap/>
            <w:vAlign w:val="center"/>
            <w:hideMark/>
          </w:tcPr>
          <w:p w14:paraId="1E54B42C" w14:textId="77777777" w:rsidR="00545A71" w:rsidRDefault="00545A71" w:rsidP="007A7372">
            <w:pPr>
              <w:jc w:val="center"/>
              <w:rPr>
                <w:color w:val="000000"/>
                <w:sz w:val="20"/>
                <w:szCs w:val="20"/>
              </w:rPr>
            </w:pPr>
            <w:r>
              <w:rPr>
                <w:color w:val="000000"/>
                <w:sz w:val="20"/>
                <w:szCs w:val="20"/>
              </w:rPr>
              <w:t>-32.07</w:t>
            </w:r>
          </w:p>
        </w:tc>
      </w:tr>
      <w:tr w:rsidR="00545A71" w14:paraId="2BD88108"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53D614D" w14:textId="77777777" w:rsidR="00545A71" w:rsidRDefault="00545A71" w:rsidP="007A7372">
            <w:pPr>
              <w:jc w:val="center"/>
              <w:rPr>
                <w:color w:val="000000"/>
                <w:sz w:val="20"/>
                <w:szCs w:val="20"/>
              </w:rPr>
            </w:pPr>
            <w:r>
              <w:rPr>
                <w:color w:val="000000"/>
                <w:sz w:val="20"/>
                <w:szCs w:val="20"/>
              </w:rPr>
              <w:t>90.65</w:t>
            </w:r>
          </w:p>
        </w:tc>
        <w:tc>
          <w:tcPr>
            <w:tcW w:w="1300" w:type="dxa"/>
            <w:tcBorders>
              <w:top w:val="nil"/>
              <w:left w:val="nil"/>
              <w:bottom w:val="single" w:sz="4" w:space="0" w:color="auto"/>
              <w:right w:val="single" w:sz="4" w:space="0" w:color="auto"/>
            </w:tcBorders>
            <w:shd w:val="clear" w:color="auto" w:fill="auto"/>
            <w:noWrap/>
            <w:vAlign w:val="center"/>
            <w:hideMark/>
          </w:tcPr>
          <w:p w14:paraId="4ECAC11B" w14:textId="77777777" w:rsidR="00545A71" w:rsidRDefault="00545A71" w:rsidP="007A7372">
            <w:pPr>
              <w:jc w:val="center"/>
              <w:rPr>
                <w:color w:val="000000"/>
                <w:sz w:val="20"/>
                <w:szCs w:val="20"/>
              </w:rPr>
            </w:pPr>
            <w:r>
              <w:rPr>
                <w:color w:val="000000"/>
                <w:sz w:val="20"/>
                <w:szCs w:val="20"/>
              </w:rPr>
              <w:t>23.77</w:t>
            </w:r>
          </w:p>
        </w:tc>
        <w:tc>
          <w:tcPr>
            <w:tcW w:w="1300" w:type="dxa"/>
            <w:tcBorders>
              <w:top w:val="nil"/>
              <w:left w:val="nil"/>
              <w:bottom w:val="single" w:sz="4" w:space="0" w:color="auto"/>
              <w:right w:val="single" w:sz="4" w:space="0" w:color="auto"/>
            </w:tcBorders>
            <w:shd w:val="clear" w:color="auto" w:fill="auto"/>
            <w:noWrap/>
            <w:vAlign w:val="center"/>
            <w:hideMark/>
          </w:tcPr>
          <w:p w14:paraId="535F05A5" w14:textId="77777777" w:rsidR="00545A71" w:rsidRDefault="00545A71" w:rsidP="007A7372">
            <w:pPr>
              <w:jc w:val="center"/>
              <w:rPr>
                <w:color w:val="000000"/>
                <w:sz w:val="20"/>
                <w:szCs w:val="20"/>
              </w:rPr>
            </w:pPr>
            <w:r>
              <w:rPr>
                <w:color w:val="000000"/>
                <w:sz w:val="20"/>
                <w:szCs w:val="20"/>
              </w:rPr>
              <w:t>230.77</w:t>
            </w:r>
          </w:p>
        </w:tc>
        <w:tc>
          <w:tcPr>
            <w:tcW w:w="1300" w:type="dxa"/>
            <w:tcBorders>
              <w:top w:val="nil"/>
              <w:left w:val="nil"/>
              <w:bottom w:val="single" w:sz="4" w:space="0" w:color="auto"/>
              <w:right w:val="single" w:sz="4" w:space="0" w:color="auto"/>
            </w:tcBorders>
            <w:shd w:val="clear" w:color="auto" w:fill="auto"/>
            <w:noWrap/>
            <w:vAlign w:val="center"/>
            <w:hideMark/>
          </w:tcPr>
          <w:p w14:paraId="7F6866CD" w14:textId="77777777" w:rsidR="00545A71" w:rsidRDefault="00545A71" w:rsidP="007A7372">
            <w:pPr>
              <w:jc w:val="center"/>
              <w:rPr>
                <w:color w:val="000000"/>
                <w:sz w:val="20"/>
                <w:szCs w:val="20"/>
              </w:rPr>
            </w:pPr>
            <w:r>
              <w:rPr>
                <w:color w:val="000000"/>
                <w:sz w:val="20"/>
                <w:szCs w:val="20"/>
              </w:rPr>
              <w:t>-4.75</w:t>
            </w:r>
          </w:p>
        </w:tc>
        <w:tc>
          <w:tcPr>
            <w:tcW w:w="1300" w:type="dxa"/>
            <w:tcBorders>
              <w:top w:val="nil"/>
              <w:left w:val="nil"/>
              <w:bottom w:val="single" w:sz="4" w:space="0" w:color="auto"/>
              <w:right w:val="single" w:sz="4" w:space="0" w:color="auto"/>
            </w:tcBorders>
            <w:shd w:val="clear" w:color="auto" w:fill="auto"/>
            <w:noWrap/>
            <w:vAlign w:val="center"/>
            <w:hideMark/>
          </w:tcPr>
          <w:p w14:paraId="633CBAD6" w14:textId="77777777" w:rsidR="00545A71" w:rsidRDefault="00545A71" w:rsidP="007A7372">
            <w:pPr>
              <w:jc w:val="center"/>
              <w:rPr>
                <w:color w:val="000000"/>
                <w:sz w:val="20"/>
                <w:szCs w:val="20"/>
              </w:rPr>
            </w:pPr>
            <w:r>
              <w:rPr>
                <w:color w:val="000000"/>
                <w:sz w:val="20"/>
                <w:szCs w:val="20"/>
              </w:rPr>
              <w:t>-28.72</w:t>
            </w:r>
          </w:p>
        </w:tc>
      </w:tr>
      <w:tr w:rsidR="00545A71" w14:paraId="7223E2E6"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BDAC8DA"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03582ED6" w14:textId="77777777" w:rsidR="00545A71" w:rsidRDefault="00545A71" w:rsidP="007A7372">
            <w:pPr>
              <w:jc w:val="center"/>
              <w:rPr>
                <w:color w:val="000000"/>
                <w:sz w:val="20"/>
                <w:szCs w:val="20"/>
              </w:rPr>
            </w:pPr>
            <w:r>
              <w:rPr>
                <w:color w:val="000000"/>
                <w:sz w:val="20"/>
                <w:szCs w:val="20"/>
              </w:rPr>
              <w:t>23.80</w:t>
            </w:r>
          </w:p>
        </w:tc>
        <w:tc>
          <w:tcPr>
            <w:tcW w:w="1300" w:type="dxa"/>
            <w:tcBorders>
              <w:top w:val="nil"/>
              <w:left w:val="nil"/>
              <w:bottom w:val="single" w:sz="4" w:space="0" w:color="auto"/>
              <w:right w:val="single" w:sz="4" w:space="0" w:color="auto"/>
            </w:tcBorders>
            <w:shd w:val="clear" w:color="auto" w:fill="auto"/>
            <w:noWrap/>
            <w:vAlign w:val="center"/>
            <w:hideMark/>
          </w:tcPr>
          <w:p w14:paraId="690980D6" w14:textId="77777777" w:rsidR="00545A71" w:rsidRDefault="00545A71" w:rsidP="007A7372">
            <w:pPr>
              <w:jc w:val="center"/>
              <w:rPr>
                <w:color w:val="000000"/>
                <w:sz w:val="20"/>
                <w:szCs w:val="20"/>
              </w:rPr>
            </w:pPr>
            <w:r>
              <w:rPr>
                <w:color w:val="000000"/>
                <w:sz w:val="20"/>
                <w:szCs w:val="20"/>
              </w:rPr>
              <w:t>215.38</w:t>
            </w:r>
          </w:p>
        </w:tc>
        <w:tc>
          <w:tcPr>
            <w:tcW w:w="1300" w:type="dxa"/>
            <w:tcBorders>
              <w:top w:val="nil"/>
              <w:left w:val="nil"/>
              <w:bottom w:val="single" w:sz="4" w:space="0" w:color="auto"/>
              <w:right w:val="single" w:sz="4" w:space="0" w:color="auto"/>
            </w:tcBorders>
            <w:shd w:val="clear" w:color="auto" w:fill="auto"/>
            <w:noWrap/>
            <w:vAlign w:val="center"/>
            <w:hideMark/>
          </w:tcPr>
          <w:p w14:paraId="2CA07B51" w14:textId="77777777" w:rsidR="00545A71" w:rsidRDefault="00545A71" w:rsidP="007A7372">
            <w:pPr>
              <w:jc w:val="center"/>
              <w:rPr>
                <w:color w:val="000000"/>
                <w:sz w:val="20"/>
                <w:szCs w:val="20"/>
              </w:rPr>
            </w:pPr>
            <w:r>
              <w:rPr>
                <w:color w:val="000000"/>
                <w:sz w:val="20"/>
                <w:szCs w:val="20"/>
              </w:rPr>
              <w:t>-5.14</w:t>
            </w:r>
          </w:p>
        </w:tc>
        <w:tc>
          <w:tcPr>
            <w:tcW w:w="1300" w:type="dxa"/>
            <w:tcBorders>
              <w:top w:val="nil"/>
              <w:left w:val="nil"/>
              <w:bottom w:val="single" w:sz="4" w:space="0" w:color="auto"/>
              <w:right w:val="single" w:sz="4" w:space="0" w:color="auto"/>
            </w:tcBorders>
            <w:shd w:val="clear" w:color="auto" w:fill="auto"/>
            <w:noWrap/>
            <w:vAlign w:val="center"/>
            <w:hideMark/>
          </w:tcPr>
          <w:p w14:paraId="23A7A9A5" w14:textId="77777777" w:rsidR="00545A71" w:rsidRDefault="00545A71" w:rsidP="007A7372">
            <w:pPr>
              <w:jc w:val="center"/>
              <w:rPr>
                <w:color w:val="000000"/>
                <w:sz w:val="20"/>
                <w:szCs w:val="20"/>
              </w:rPr>
            </w:pPr>
            <w:r>
              <w:rPr>
                <w:color w:val="000000"/>
                <w:sz w:val="20"/>
                <w:szCs w:val="20"/>
              </w:rPr>
              <w:t>-31.12</w:t>
            </w:r>
          </w:p>
        </w:tc>
      </w:tr>
      <w:tr w:rsidR="00545A71" w14:paraId="54F7556A"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5C48817" w14:textId="77777777" w:rsidR="00545A71" w:rsidRDefault="00545A71" w:rsidP="007A7372">
            <w:pPr>
              <w:jc w:val="center"/>
              <w:rPr>
                <w:color w:val="000000"/>
                <w:sz w:val="20"/>
                <w:szCs w:val="20"/>
              </w:rPr>
            </w:pPr>
            <w:r>
              <w:rPr>
                <w:color w:val="000000"/>
                <w:sz w:val="20"/>
                <w:szCs w:val="20"/>
              </w:rPr>
              <w:t>90.66</w:t>
            </w:r>
          </w:p>
        </w:tc>
        <w:tc>
          <w:tcPr>
            <w:tcW w:w="1300" w:type="dxa"/>
            <w:tcBorders>
              <w:top w:val="nil"/>
              <w:left w:val="nil"/>
              <w:bottom w:val="single" w:sz="4" w:space="0" w:color="auto"/>
              <w:right w:val="single" w:sz="4" w:space="0" w:color="auto"/>
            </w:tcBorders>
            <w:shd w:val="clear" w:color="auto" w:fill="auto"/>
            <w:noWrap/>
            <w:vAlign w:val="center"/>
            <w:hideMark/>
          </w:tcPr>
          <w:p w14:paraId="3FA5C1FB" w14:textId="77777777" w:rsidR="00545A71" w:rsidRDefault="00545A71" w:rsidP="007A7372">
            <w:pPr>
              <w:jc w:val="center"/>
              <w:rPr>
                <w:color w:val="000000"/>
                <w:sz w:val="20"/>
                <w:szCs w:val="20"/>
              </w:rPr>
            </w:pPr>
            <w:r>
              <w:rPr>
                <w:color w:val="000000"/>
                <w:sz w:val="20"/>
                <w:szCs w:val="20"/>
              </w:rPr>
              <w:t>23.78</w:t>
            </w:r>
          </w:p>
        </w:tc>
        <w:tc>
          <w:tcPr>
            <w:tcW w:w="1300" w:type="dxa"/>
            <w:tcBorders>
              <w:top w:val="nil"/>
              <w:left w:val="nil"/>
              <w:bottom w:val="single" w:sz="4" w:space="0" w:color="auto"/>
              <w:right w:val="single" w:sz="4" w:space="0" w:color="auto"/>
            </w:tcBorders>
            <w:shd w:val="clear" w:color="auto" w:fill="auto"/>
            <w:noWrap/>
            <w:vAlign w:val="center"/>
            <w:hideMark/>
          </w:tcPr>
          <w:p w14:paraId="550F9C0A" w14:textId="77777777" w:rsidR="00545A71" w:rsidRDefault="00545A71" w:rsidP="007A7372">
            <w:pPr>
              <w:jc w:val="center"/>
              <w:rPr>
                <w:color w:val="000000"/>
                <w:sz w:val="20"/>
                <w:szCs w:val="20"/>
              </w:rPr>
            </w:pPr>
            <w:r>
              <w:rPr>
                <w:color w:val="000000"/>
                <w:sz w:val="20"/>
                <w:szCs w:val="20"/>
              </w:rPr>
              <w:t>200.00</w:t>
            </w:r>
          </w:p>
        </w:tc>
        <w:tc>
          <w:tcPr>
            <w:tcW w:w="1300" w:type="dxa"/>
            <w:tcBorders>
              <w:top w:val="nil"/>
              <w:left w:val="nil"/>
              <w:bottom w:val="single" w:sz="4" w:space="0" w:color="auto"/>
              <w:right w:val="single" w:sz="4" w:space="0" w:color="auto"/>
            </w:tcBorders>
            <w:shd w:val="clear" w:color="auto" w:fill="auto"/>
            <w:noWrap/>
            <w:vAlign w:val="center"/>
            <w:hideMark/>
          </w:tcPr>
          <w:p w14:paraId="52E20E03" w14:textId="77777777" w:rsidR="00545A71" w:rsidRDefault="00545A71" w:rsidP="007A7372">
            <w:pPr>
              <w:jc w:val="center"/>
              <w:rPr>
                <w:color w:val="000000"/>
                <w:sz w:val="20"/>
                <w:szCs w:val="20"/>
              </w:rPr>
            </w:pPr>
            <w:r>
              <w:rPr>
                <w:color w:val="000000"/>
                <w:sz w:val="20"/>
                <w:szCs w:val="20"/>
              </w:rPr>
              <w:t>-5.50</w:t>
            </w:r>
          </w:p>
        </w:tc>
        <w:tc>
          <w:tcPr>
            <w:tcW w:w="1300" w:type="dxa"/>
            <w:tcBorders>
              <w:top w:val="nil"/>
              <w:left w:val="nil"/>
              <w:bottom w:val="single" w:sz="4" w:space="0" w:color="auto"/>
              <w:right w:val="single" w:sz="4" w:space="0" w:color="auto"/>
            </w:tcBorders>
            <w:shd w:val="clear" w:color="auto" w:fill="auto"/>
            <w:noWrap/>
            <w:vAlign w:val="center"/>
            <w:hideMark/>
          </w:tcPr>
          <w:p w14:paraId="454075E3" w14:textId="77777777" w:rsidR="00545A71" w:rsidRDefault="00545A71" w:rsidP="007A7372">
            <w:pPr>
              <w:jc w:val="center"/>
              <w:rPr>
                <w:color w:val="000000"/>
                <w:sz w:val="20"/>
                <w:szCs w:val="20"/>
              </w:rPr>
            </w:pPr>
            <w:r>
              <w:rPr>
                <w:color w:val="000000"/>
                <w:sz w:val="20"/>
                <w:szCs w:val="20"/>
              </w:rPr>
              <w:t>-33.91</w:t>
            </w:r>
          </w:p>
        </w:tc>
      </w:tr>
      <w:tr w:rsidR="00545A71" w14:paraId="2A3DA2A0"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F949615" w14:textId="77777777" w:rsidR="00545A71" w:rsidRDefault="00545A71" w:rsidP="007A7372">
            <w:pPr>
              <w:jc w:val="center"/>
              <w:rPr>
                <w:color w:val="000000"/>
                <w:sz w:val="20"/>
                <w:szCs w:val="20"/>
              </w:rPr>
            </w:pPr>
            <w:r>
              <w:rPr>
                <w:color w:val="000000"/>
                <w:sz w:val="20"/>
                <w:szCs w:val="20"/>
              </w:rPr>
              <w:t>90.59</w:t>
            </w:r>
          </w:p>
        </w:tc>
        <w:tc>
          <w:tcPr>
            <w:tcW w:w="1300" w:type="dxa"/>
            <w:tcBorders>
              <w:top w:val="nil"/>
              <w:left w:val="nil"/>
              <w:bottom w:val="single" w:sz="4" w:space="0" w:color="auto"/>
              <w:right w:val="single" w:sz="4" w:space="0" w:color="auto"/>
            </w:tcBorders>
            <w:shd w:val="clear" w:color="auto" w:fill="auto"/>
            <w:noWrap/>
            <w:vAlign w:val="center"/>
            <w:hideMark/>
          </w:tcPr>
          <w:p w14:paraId="724E5D8C" w14:textId="77777777" w:rsidR="00545A71" w:rsidRDefault="00545A71" w:rsidP="007A7372">
            <w:pPr>
              <w:jc w:val="center"/>
              <w:rPr>
                <w:color w:val="000000"/>
                <w:sz w:val="20"/>
                <w:szCs w:val="20"/>
              </w:rPr>
            </w:pPr>
            <w:r>
              <w:rPr>
                <w:color w:val="000000"/>
                <w:sz w:val="20"/>
                <w:szCs w:val="20"/>
              </w:rPr>
              <w:t>23.77</w:t>
            </w:r>
          </w:p>
        </w:tc>
        <w:tc>
          <w:tcPr>
            <w:tcW w:w="1300" w:type="dxa"/>
            <w:tcBorders>
              <w:top w:val="nil"/>
              <w:left w:val="nil"/>
              <w:bottom w:val="single" w:sz="4" w:space="0" w:color="auto"/>
              <w:right w:val="single" w:sz="4" w:space="0" w:color="auto"/>
            </w:tcBorders>
            <w:shd w:val="clear" w:color="auto" w:fill="auto"/>
            <w:noWrap/>
            <w:vAlign w:val="center"/>
            <w:hideMark/>
          </w:tcPr>
          <w:p w14:paraId="4367AD5C" w14:textId="77777777" w:rsidR="00545A71" w:rsidRDefault="00545A71" w:rsidP="007A7372">
            <w:pPr>
              <w:jc w:val="center"/>
              <w:rPr>
                <w:color w:val="000000"/>
                <w:sz w:val="20"/>
                <w:szCs w:val="20"/>
              </w:rPr>
            </w:pPr>
            <w:r>
              <w:rPr>
                <w:color w:val="000000"/>
                <w:sz w:val="20"/>
                <w:szCs w:val="20"/>
              </w:rPr>
              <w:t>215.38</w:t>
            </w:r>
          </w:p>
        </w:tc>
        <w:tc>
          <w:tcPr>
            <w:tcW w:w="1300" w:type="dxa"/>
            <w:tcBorders>
              <w:top w:val="nil"/>
              <w:left w:val="nil"/>
              <w:bottom w:val="single" w:sz="4" w:space="0" w:color="auto"/>
              <w:right w:val="single" w:sz="4" w:space="0" w:color="auto"/>
            </w:tcBorders>
            <w:shd w:val="clear" w:color="auto" w:fill="auto"/>
            <w:noWrap/>
            <w:vAlign w:val="center"/>
            <w:hideMark/>
          </w:tcPr>
          <w:p w14:paraId="7B7272AB" w14:textId="77777777" w:rsidR="00545A71" w:rsidRDefault="00545A71" w:rsidP="007A7372">
            <w:pPr>
              <w:jc w:val="center"/>
              <w:rPr>
                <w:color w:val="000000"/>
                <w:sz w:val="20"/>
                <w:szCs w:val="20"/>
              </w:rPr>
            </w:pPr>
            <w:r>
              <w:rPr>
                <w:color w:val="000000"/>
                <w:sz w:val="20"/>
                <w:szCs w:val="20"/>
              </w:rPr>
              <w:t>-5.60</w:t>
            </w:r>
          </w:p>
        </w:tc>
        <w:tc>
          <w:tcPr>
            <w:tcW w:w="1300" w:type="dxa"/>
            <w:tcBorders>
              <w:top w:val="nil"/>
              <w:left w:val="nil"/>
              <w:bottom w:val="single" w:sz="4" w:space="0" w:color="auto"/>
              <w:right w:val="single" w:sz="4" w:space="0" w:color="auto"/>
            </w:tcBorders>
            <w:shd w:val="clear" w:color="auto" w:fill="auto"/>
            <w:noWrap/>
            <w:vAlign w:val="center"/>
            <w:hideMark/>
          </w:tcPr>
          <w:p w14:paraId="70A5F890" w14:textId="77777777" w:rsidR="00545A71" w:rsidRDefault="00545A71" w:rsidP="007A7372">
            <w:pPr>
              <w:jc w:val="center"/>
              <w:rPr>
                <w:color w:val="000000"/>
                <w:sz w:val="20"/>
                <w:szCs w:val="20"/>
              </w:rPr>
            </w:pPr>
            <w:r>
              <w:rPr>
                <w:color w:val="000000"/>
                <w:sz w:val="20"/>
                <w:szCs w:val="20"/>
              </w:rPr>
              <w:t>-34.86</w:t>
            </w:r>
          </w:p>
        </w:tc>
      </w:tr>
      <w:tr w:rsidR="00545A71" w14:paraId="7894996A"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994A6C6" w14:textId="77777777" w:rsidR="00545A71" w:rsidRDefault="00545A71" w:rsidP="007A7372">
            <w:pPr>
              <w:jc w:val="center"/>
              <w:rPr>
                <w:color w:val="000000"/>
                <w:sz w:val="20"/>
                <w:szCs w:val="20"/>
              </w:rPr>
            </w:pPr>
            <w:r>
              <w:rPr>
                <w:color w:val="000000"/>
                <w:sz w:val="20"/>
                <w:szCs w:val="20"/>
              </w:rPr>
              <w:t>90.64</w:t>
            </w:r>
          </w:p>
        </w:tc>
        <w:tc>
          <w:tcPr>
            <w:tcW w:w="1300" w:type="dxa"/>
            <w:tcBorders>
              <w:top w:val="nil"/>
              <w:left w:val="nil"/>
              <w:bottom w:val="single" w:sz="4" w:space="0" w:color="auto"/>
              <w:right w:val="single" w:sz="4" w:space="0" w:color="auto"/>
            </w:tcBorders>
            <w:shd w:val="clear" w:color="auto" w:fill="auto"/>
            <w:noWrap/>
            <w:vAlign w:val="center"/>
            <w:hideMark/>
          </w:tcPr>
          <w:p w14:paraId="76CEBAD1" w14:textId="77777777" w:rsidR="00545A71" w:rsidRDefault="00545A71" w:rsidP="007A7372">
            <w:pPr>
              <w:jc w:val="center"/>
              <w:rPr>
                <w:color w:val="000000"/>
                <w:sz w:val="20"/>
                <w:szCs w:val="20"/>
              </w:rPr>
            </w:pPr>
            <w:r>
              <w:rPr>
                <w:color w:val="000000"/>
                <w:sz w:val="20"/>
                <w:szCs w:val="20"/>
              </w:rPr>
              <w:t>23.84</w:t>
            </w:r>
          </w:p>
        </w:tc>
        <w:tc>
          <w:tcPr>
            <w:tcW w:w="1300" w:type="dxa"/>
            <w:tcBorders>
              <w:top w:val="nil"/>
              <w:left w:val="nil"/>
              <w:bottom w:val="single" w:sz="4" w:space="0" w:color="auto"/>
              <w:right w:val="single" w:sz="4" w:space="0" w:color="auto"/>
            </w:tcBorders>
            <w:shd w:val="clear" w:color="auto" w:fill="auto"/>
            <w:noWrap/>
            <w:vAlign w:val="center"/>
            <w:hideMark/>
          </w:tcPr>
          <w:p w14:paraId="73E1C94D" w14:textId="77777777" w:rsidR="00545A71" w:rsidRDefault="00545A71" w:rsidP="007A7372">
            <w:pPr>
              <w:jc w:val="center"/>
              <w:rPr>
                <w:color w:val="000000"/>
                <w:sz w:val="20"/>
                <w:szCs w:val="20"/>
              </w:rPr>
            </w:pPr>
            <w:r>
              <w:rPr>
                <w:color w:val="000000"/>
                <w:sz w:val="20"/>
                <w:szCs w:val="20"/>
              </w:rPr>
              <w:t>215.38</w:t>
            </w:r>
          </w:p>
        </w:tc>
        <w:tc>
          <w:tcPr>
            <w:tcW w:w="1300" w:type="dxa"/>
            <w:tcBorders>
              <w:top w:val="nil"/>
              <w:left w:val="nil"/>
              <w:bottom w:val="single" w:sz="4" w:space="0" w:color="auto"/>
              <w:right w:val="single" w:sz="4" w:space="0" w:color="auto"/>
            </w:tcBorders>
            <w:shd w:val="clear" w:color="auto" w:fill="auto"/>
            <w:noWrap/>
            <w:vAlign w:val="center"/>
            <w:hideMark/>
          </w:tcPr>
          <w:p w14:paraId="37F48609" w14:textId="77777777" w:rsidR="00545A71" w:rsidRDefault="00545A71" w:rsidP="007A7372">
            <w:pPr>
              <w:jc w:val="center"/>
              <w:rPr>
                <w:color w:val="000000"/>
                <w:sz w:val="20"/>
                <w:szCs w:val="20"/>
              </w:rPr>
            </w:pPr>
            <w:r>
              <w:rPr>
                <w:color w:val="000000"/>
                <w:sz w:val="20"/>
                <w:szCs w:val="20"/>
              </w:rPr>
              <w:t>-6.07</w:t>
            </w:r>
          </w:p>
        </w:tc>
        <w:tc>
          <w:tcPr>
            <w:tcW w:w="1300" w:type="dxa"/>
            <w:tcBorders>
              <w:top w:val="nil"/>
              <w:left w:val="nil"/>
              <w:bottom w:val="single" w:sz="4" w:space="0" w:color="auto"/>
              <w:right w:val="single" w:sz="4" w:space="0" w:color="auto"/>
            </w:tcBorders>
            <w:shd w:val="clear" w:color="auto" w:fill="auto"/>
            <w:noWrap/>
            <w:vAlign w:val="center"/>
            <w:hideMark/>
          </w:tcPr>
          <w:p w14:paraId="3AC6D2DF" w14:textId="77777777" w:rsidR="00545A71" w:rsidRDefault="00545A71" w:rsidP="007A7372">
            <w:pPr>
              <w:jc w:val="center"/>
              <w:rPr>
                <w:color w:val="000000"/>
                <w:sz w:val="20"/>
                <w:szCs w:val="20"/>
              </w:rPr>
            </w:pPr>
            <w:r>
              <w:rPr>
                <w:color w:val="000000"/>
                <w:sz w:val="20"/>
                <w:szCs w:val="20"/>
              </w:rPr>
              <w:t>-36.42</w:t>
            </w:r>
          </w:p>
        </w:tc>
      </w:tr>
      <w:tr w:rsidR="00545A71" w14:paraId="6A0318E2"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7CE60A1" w14:textId="77777777" w:rsidR="00545A71" w:rsidRDefault="00545A71" w:rsidP="007A7372">
            <w:pPr>
              <w:jc w:val="center"/>
              <w:rPr>
                <w:color w:val="000000"/>
                <w:sz w:val="20"/>
                <w:szCs w:val="20"/>
              </w:rPr>
            </w:pPr>
            <w:r>
              <w:rPr>
                <w:color w:val="000000"/>
                <w:sz w:val="20"/>
                <w:szCs w:val="20"/>
              </w:rPr>
              <w:t>90.65</w:t>
            </w:r>
          </w:p>
        </w:tc>
        <w:tc>
          <w:tcPr>
            <w:tcW w:w="1300" w:type="dxa"/>
            <w:tcBorders>
              <w:top w:val="nil"/>
              <w:left w:val="nil"/>
              <w:bottom w:val="single" w:sz="4" w:space="0" w:color="auto"/>
              <w:right w:val="single" w:sz="4" w:space="0" w:color="auto"/>
            </w:tcBorders>
            <w:shd w:val="clear" w:color="auto" w:fill="auto"/>
            <w:noWrap/>
            <w:vAlign w:val="center"/>
            <w:hideMark/>
          </w:tcPr>
          <w:p w14:paraId="435DFAB2"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07676266" w14:textId="77777777" w:rsidR="00545A71" w:rsidRDefault="00545A71" w:rsidP="007A7372">
            <w:pPr>
              <w:jc w:val="center"/>
              <w:rPr>
                <w:color w:val="000000"/>
                <w:sz w:val="20"/>
                <w:szCs w:val="20"/>
              </w:rPr>
            </w:pPr>
            <w:r>
              <w:rPr>
                <w:color w:val="000000"/>
                <w:sz w:val="20"/>
                <w:szCs w:val="20"/>
              </w:rPr>
              <w:t>169.23</w:t>
            </w:r>
          </w:p>
        </w:tc>
        <w:tc>
          <w:tcPr>
            <w:tcW w:w="1300" w:type="dxa"/>
            <w:tcBorders>
              <w:top w:val="nil"/>
              <w:left w:val="nil"/>
              <w:bottom w:val="single" w:sz="4" w:space="0" w:color="auto"/>
              <w:right w:val="single" w:sz="4" w:space="0" w:color="auto"/>
            </w:tcBorders>
            <w:shd w:val="clear" w:color="auto" w:fill="auto"/>
            <w:noWrap/>
            <w:vAlign w:val="center"/>
            <w:hideMark/>
          </w:tcPr>
          <w:p w14:paraId="24368D77" w14:textId="77777777" w:rsidR="00545A71" w:rsidRDefault="00545A71" w:rsidP="007A7372">
            <w:pPr>
              <w:jc w:val="center"/>
              <w:rPr>
                <w:color w:val="000000"/>
                <w:sz w:val="20"/>
                <w:szCs w:val="20"/>
              </w:rPr>
            </w:pPr>
            <w:r>
              <w:rPr>
                <w:color w:val="000000"/>
                <w:sz w:val="20"/>
                <w:szCs w:val="20"/>
              </w:rPr>
              <w:t>-5.51</w:t>
            </w:r>
          </w:p>
        </w:tc>
        <w:tc>
          <w:tcPr>
            <w:tcW w:w="1300" w:type="dxa"/>
            <w:tcBorders>
              <w:top w:val="nil"/>
              <w:left w:val="nil"/>
              <w:bottom w:val="single" w:sz="4" w:space="0" w:color="auto"/>
              <w:right w:val="single" w:sz="4" w:space="0" w:color="auto"/>
            </w:tcBorders>
            <w:shd w:val="clear" w:color="auto" w:fill="auto"/>
            <w:noWrap/>
            <w:vAlign w:val="center"/>
            <w:hideMark/>
          </w:tcPr>
          <w:p w14:paraId="5BDDE0BA" w14:textId="77777777" w:rsidR="00545A71" w:rsidRDefault="00545A71" w:rsidP="007A7372">
            <w:pPr>
              <w:jc w:val="center"/>
              <w:rPr>
                <w:color w:val="000000"/>
                <w:sz w:val="20"/>
                <w:szCs w:val="20"/>
              </w:rPr>
            </w:pPr>
            <w:r>
              <w:rPr>
                <w:color w:val="000000"/>
                <w:sz w:val="20"/>
                <w:szCs w:val="20"/>
              </w:rPr>
              <w:t>-33.74</w:t>
            </w:r>
          </w:p>
        </w:tc>
      </w:tr>
      <w:tr w:rsidR="00545A71" w14:paraId="0CC1927F"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3DE83BA" w14:textId="77777777" w:rsidR="00545A71" w:rsidRDefault="00545A71" w:rsidP="007A7372">
            <w:pPr>
              <w:jc w:val="center"/>
              <w:rPr>
                <w:color w:val="000000"/>
                <w:sz w:val="20"/>
                <w:szCs w:val="20"/>
              </w:rPr>
            </w:pPr>
            <w:r>
              <w:rPr>
                <w:color w:val="000000"/>
                <w:sz w:val="20"/>
                <w:szCs w:val="20"/>
              </w:rPr>
              <w:t>90.67</w:t>
            </w:r>
          </w:p>
        </w:tc>
        <w:tc>
          <w:tcPr>
            <w:tcW w:w="1300" w:type="dxa"/>
            <w:tcBorders>
              <w:top w:val="nil"/>
              <w:left w:val="nil"/>
              <w:bottom w:val="single" w:sz="4" w:space="0" w:color="auto"/>
              <w:right w:val="single" w:sz="4" w:space="0" w:color="auto"/>
            </w:tcBorders>
            <w:shd w:val="clear" w:color="auto" w:fill="auto"/>
            <w:noWrap/>
            <w:vAlign w:val="center"/>
            <w:hideMark/>
          </w:tcPr>
          <w:p w14:paraId="5A702014"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1A8B913C" w14:textId="77777777" w:rsidR="00545A71" w:rsidRDefault="00545A71" w:rsidP="007A7372">
            <w:pPr>
              <w:jc w:val="center"/>
              <w:rPr>
                <w:color w:val="000000"/>
                <w:sz w:val="20"/>
                <w:szCs w:val="20"/>
              </w:rPr>
            </w:pPr>
            <w:r>
              <w:rPr>
                <w:color w:val="000000"/>
                <w:sz w:val="20"/>
                <w:szCs w:val="20"/>
              </w:rPr>
              <w:t>215.38</w:t>
            </w:r>
          </w:p>
        </w:tc>
        <w:tc>
          <w:tcPr>
            <w:tcW w:w="1300" w:type="dxa"/>
            <w:tcBorders>
              <w:top w:val="nil"/>
              <w:left w:val="nil"/>
              <w:bottom w:val="single" w:sz="4" w:space="0" w:color="auto"/>
              <w:right w:val="single" w:sz="4" w:space="0" w:color="auto"/>
            </w:tcBorders>
            <w:shd w:val="clear" w:color="auto" w:fill="auto"/>
            <w:noWrap/>
            <w:vAlign w:val="center"/>
            <w:hideMark/>
          </w:tcPr>
          <w:p w14:paraId="774F68D6" w14:textId="77777777" w:rsidR="00545A71" w:rsidRDefault="00545A71" w:rsidP="007A7372">
            <w:pPr>
              <w:jc w:val="center"/>
              <w:rPr>
                <w:color w:val="000000"/>
                <w:sz w:val="20"/>
                <w:szCs w:val="20"/>
              </w:rPr>
            </w:pPr>
            <w:r>
              <w:rPr>
                <w:color w:val="000000"/>
                <w:sz w:val="20"/>
                <w:szCs w:val="20"/>
              </w:rPr>
              <w:t>-5.67</w:t>
            </w:r>
          </w:p>
        </w:tc>
        <w:tc>
          <w:tcPr>
            <w:tcW w:w="1300" w:type="dxa"/>
            <w:tcBorders>
              <w:top w:val="nil"/>
              <w:left w:val="nil"/>
              <w:bottom w:val="single" w:sz="4" w:space="0" w:color="auto"/>
              <w:right w:val="single" w:sz="4" w:space="0" w:color="auto"/>
            </w:tcBorders>
            <w:shd w:val="clear" w:color="auto" w:fill="auto"/>
            <w:noWrap/>
            <w:vAlign w:val="center"/>
            <w:hideMark/>
          </w:tcPr>
          <w:p w14:paraId="3C75C2DE" w14:textId="77777777" w:rsidR="00545A71" w:rsidRDefault="00545A71" w:rsidP="007A7372">
            <w:pPr>
              <w:jc w:val="center"/>
              <w:rPr>
                <w:color w:val="000000"/>
                <w:sz w:val="20"/>
                <w:szCs w:val="20"/>
              </w:rPr>
            </w:pPr>
            <w:r>
              <w:rPr>
                <w:color w:val="000000"/>
                <w:sz w:val="20"/>
                <w:szCs w:val="20"/>
              </w:rPr>
              <w:t>-35.29</w:t>
            </w:r>
          </w:p>
        </w:tc>
      </w:tr>
      <w:tr w:rsidR="00545A71" w14:paraId="1861C04D"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91DCF6D" w14:textId="77777777" w:rsidR="00545A71" w:rsidRDefault="00545A71" w:rsidP="007A7372">
            <w:pPr>
              <w:jc w:val="center"/>
              <w:rPr>
                <w:color w:val="000000"/>
                <w:sz w:val="20"/>
                <w:szCs w:val="20"/>
              </w:rPr>
            </w:pPr>
            <w:r>
              <w:rPr>
                <w:color w:val="000000"/>
                <w:sz w:val="20"/>
                <w:szCs w:val="20"/>
              </w:rPr>
              <w:lastRenderedPageBreak/>
              <w:t>90.66</w:t>
            </w:r>
          </w:p>
        </w:tc>
        <w:tc>
          <w:tcPr>
            <w:tcW w:w="1300" w:type="dxa"/>
            <w:tcBorders>
              <w:top w:val="nil"/>
              <w:left w:val="nil"/>
              <w:bottom w:val="single" w:sz="4" w:space="0" w:color="auto"/>
              <w:right w:val="single" w:sz="4" w:space="0" w:color="auto"/>
            </w:tcBorders>
            <w:shd w:val="clear" w:color="auto" w:fill="auto"/>
            <w:noWrap/>
            <w:vAlign w:val="center"/>
            <w:hideMark/>
          </w:tcPr>
          <w:p w14:paraId="07AB78C5" w14:textId="77777777" w:rsidR="00545A71" w:rsidRDefault="00545A71" w:rsidP="007A7372">
            <w:pPr>
              <w:jc w:val="center"/>
              <w:rPr>
                <w:color w:val="000000"/>
                <w:sz w:val="20"/>
                <w:szCs w:val="20"/>
              </w:rPr>
            </w:pPr>
            <w:r>
              <w:rPr>
                <w:color w:val="000000"/>
                <w:sz w:val="20"/>
                <w:szCs w:val="20"/>
              </w:rPr>
              <w:t>23.78</w:t>
            </w:r>
          </w:p>
        </w:tc>
        <w:tc>
          <w:tcPr>
            <w:tcW w:w="1300" w:type="dxa"/>
            <w:tcBorders>
              <w:top w:val="nil"/>
              <w:left w:val="nil"/>
              <w:bottom w:val="single" w:sz="4" w:space="0" w:color="auto"/>
              <w:right w:val="single" w:sz="4" w:space="0" w:color="auto"/>
            </w:tcBorders>
            <w:shd w:val="clear" w:color="auto" w:fill="auto"/>
            <w:noWrap/>
            <w:vAlign w:val="center"/>
            <w:hideMark/>
          </w:tcPr>
          <w:p w14:paraId="5844CDE5"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629BAA19" w14:textId="77777777" w:rsidR="00545A71" w:rsidRDefault="00545A71" w:rsidP="007A7372">
            <w:pPr>
              <w:jc w:val="center"/>
              <w:rPr>
                <w:color w:val="000000"/>
                <w:sz w:val="20"/>
                <w:szCs w:val="20"/>
              </w:rPr>
            </w:pPr>
            <w:r>
              <w:rPr>
                <w:color w:val="000000"/>
                <w:sz w:val="20"/>
                <w:szCs w:val="20"/>
              </w:rPr>
              <w:t>-5.50</w:t>
            </w:r>
          </w:p>
        </w:tc>
        <w:tc>
          <w:tcPr>
            <w:tcW w:w="1300" w:type="dxa"/>
            <w:tcBorders>
              <w:top w:val="nil"/>
              <w:left w:val="nil"/>
              <w:bottom w:val="single" w:sz="4" w:space="0" w:color="auto"/>
              <w:right w:val="single" w:sz="4" w:space="0" w:color="auto"/>
            </w:tcBorders>
            <w:shd w:val="clear" w:color="auto" w:fill="auto"/>
            <w:noWrap/>
            <w:vAlign w:val="center"/>
            <w:hideMark/>
          </w:tcPr>
          <w:p w14:paraId="08D96E1B" w14:textId="77777777" w:rsidR="00545A71" w:rsidRDefault="00545A71" w:rsidP="007A7372">
            <w:pPr>
              <w:jc w:val="center"/>
              <w:rPr>
                <w:color w:val="000000"/>
                <w:sz w:val="20"/>
                <w:szCs w:val="20"/>
              </w:rPr>
            </w:pPr>
            <w:r>
              <w:rPr>
                <w:color w:val="000000"/>
                <w:sz w:val="20"/>
                <w:szCs w:val="20"/>
              </w:rPr>
              <w:t>-33.89</w:t>
            </w:r>
          </w:p>
        </w:tc>
      </w:tr>
      <w:tr w:rsidR="00545A71" w14:paraId="78806314"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91B102D" w14:textId="77777777" w:rsidR="00545A71" w:rsidRDefault="00545A71" w:rsidP="007A7372">
            <w:pPr>
              <w:jc w:val="center"/>
              <w:rPr>
                <w:color w:val="000000"/>
                <w:sz w:val="20"/>
                <w:szCs w:val="20"/>
              </w:rPr>
            </w:pPr>
            <w:r>
              <w:rPr>
                <w:color w:val="000000"/>
                <w:sz w:val="20"/>
                <w:szCs w:val="20"/>
              </w:rPr>
              <w:t>90.72</w:t>
            </w:r>
          </w:p>
        </w:tc>
        <w:tc>
          <w:tcPr>
            <w:tcW w:w="1300" w:type="dxa"/>
            <w:tcBorders>
              <w:top w:val="nil"/>
              <w:left w:val="nil"/>
              <w:bottom w:val="single" w:sz="4" w:space="0" w:color="auto"/>
              <w:right w:val="single" w:sz="4" w:space="0" w:color="auto"/>
            </w:tcBorders>
            <w:shd w:val="clear" w:color="auto" w:fill="auto"/>
            <w:noWrap/>
            <w:vAlign w:val="center"/>
            <w:hideMark/>
          </w:tcPr>
          <w:p w14:paraId="1E48961F" w14:textId="77777777" w:rsidR="00545A71" w:rsidRDefault="00545A71" w:rsidP="007A7372">
            <w:pPr>
              <w:jc w:val="center"/>
              <w:rPr>
                <w:color w:val="000000"/>
                <w:sz w:val="20"/>
                <w:szCs w:val="20"/>
              </w:rPr>
            </w:pPr>
            <w:r>
              <w:rPr>
                <w:color w:val="000000"/>
                <w:sz w:val="20"/>
                <w:szCs w:val="20"/>
              </w:rPr>
              <w:t>23.72</w:t>
            </w:r>
          </w:p>
        </w:tc>
        <w:tc>
          <w:tcPr>
            <w:tcW w:w="1300" w:type="dxa"/>
            <w:tcBorders>
              <w:top w:val="nil"/>
              <w:left w:val="nil"/>
              <w:bottom w:val="single" w:sz="4" w:space="0" w:color="auto"/>
              <w:right w:val="single" w:sz="4" w:space="0" w:color="auto"/>
            </w:tcBorders>
            <w:shd w:val="clear" w:color="auto" w:fill="auto"/>
            <w:noWrap/>
            <w:vAlign w:val="center"/>
            <w:hideMark/>
          </w:tcPr>
          <w:p w14:paraId="61B3DBD5" w14:textId="77777777" w:rsidR="00545A71" w:rsidRDefault="00545A71" w:rsidP="007A7372">
            <w:pPr>
              <w:jc w:val="center"/>
              <w:rPr>
                <w:color w:val="000000"/>
                <w:sz w:val="20"/>
                <w:szCs w:val="20"/>
              </w:rPr>
            </w:pPr>
            <w:r>
              <w:rPr>
                <w:color w:val="000000"/>
                <w:sz w:val="20"/>
                <w:szCs w:val="20"/>
              </w:rPr>
              <w:t>307.38</w:t>
            </w:r>
          </w:p>
        </w:tc>
        <w:tc>
          <w:tcPr>
            <w:tcW w:w="1300" w:type="dxa"/>
            <w:tcBorders>
              <w:top w:val="nil"/>
              <w:left w:val="nil"/>
              <w:bottom w:val="single" w:sz="4" w:space="0" w:color="auto"/>
              <w:right w:val="single" w:sz="4" w:space="0" w:color="auto"/>
            </w:tcBorders>
            <w:shd w:val="clear" w:color="auto" w:fill="auto"/>
            <w:noWrap/>
            <w:vAlign w:val="center"/>
            <w:hideMark/>
          </w:tcPr>
          <w:p w14:paraId="4C05598A" w14:textId="77777777" w:rsidR="00545A71" w:rsidRDefault="00545A71" w:rsidP="007A7372">
            <w:pPr>
              <w:jc w:val="center"/>
              <w:rPr>
                <w:color w:val="000000"/>
                <w:sz w:val="20"/>
                <w:szCs w:val="20"/>
              </w:rPr>
            </w:pPr>
            <w:r>
              <w:rPr>
                <w:color w:val="000000"/>
                <w:sz w:val="20"/>
                <w:szCs w:val="20"/>
              </w:rPr>
              <w:t>-5.39</w:t>
            </w:r>
          </w:p>
        </w:tc>
        <w:tc>
          <w:tcPr>
            <w:tcW w:w="1300" w:type="dxa"/>
            <w:tcBorders>
              <w:top w:val="nil"/>
              <w:left w:val="nil"/>
              <w:bottom w:val="single" w:sz="4" w:space="0" w:color="auto"/>
              <w:right w:val="single" w:sz="4" w:space="0" w:color="auto"/>
            </w:tcBorders>
            <w:shd w:val="clear" w:color="auto" w:fill="auto"/>
            <w:noWrap/>
            <w:vAlign w:val="center"/>
            <w:hideMark/>
          </w:tcPr>
          <w:p w14:paraId="0448D0D6" w14:textId="77777777" w:rsidR="00545A71" w:rsidRDefault="00545A71" w:rsidP="007A7372">
            <w:pPr>
              <w:jc w:val="center"/>
              <w:rPr>
                <w:color w:val="000000"/>
                <w:sz w:val="20"/>
                <w:szCs w:val="20"/>
              </w:rPr>
            </w:pPr>
            <w:r>
              <w:rPr>
                <w:color w:val="000000"/>
                <w:sz w:val="20"/>
                <w:szCs w:val="20"/>
              </w:rPr>
              <w:t>-32.68</w:t>
            </w:r>
          </w:p>
        </w:tc>
      </w:tr>
      <w:tr w:rsidR="00545A71" w14:paraId="179CDEDD"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065DF16"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0F2C53B2" w14:textId="77777777" w:rsidR="00545A71" w:rsidRDefault="00545A71" w:rsidP="007A7372">
            <w:pPr>
              <w:jc w:val="center"/>
              <w:rPr>
                <w:color w:val="000000"/>
                <w:sz w:val="20"/>
                <w:szCs w:val="20"/>
              </w:rPr>
            </w:pPr>
            <w:r>
              <w:rPr>
                <w:color w:val="000000"/>
                <w:sz w:val="20"/>
                <w:szCs w:val="20"/>
              </w:rPr>
              <w:t>23.75</w:t>
            </w:r>
          </w:p>
        </w:tc>
        <w:tc>
          <w:tcPr>
            <w:tcW w:w="1300" w:type="dxa"/>
            <w:tcBorders>
              <w:top w:val="nil"/>
              <w:left w:val="nil"/>
              <w:bottom w:val="single" w:sz="4" w:space="0" w:color="auto"/>
              <w:right w:val="single" w:sz="4" w:space="0" w:color="auto"/>
            </w:tcBorders>
            <w:shd w:val="clear" w:color="auto" w:fill="auto"/>
            <w:noWrap/>
            <w:vAlign w:val="center"/>
            <w:hideMark/>
          </w:tcPr>
          <w:p w14:paraId="32937B27" w14:textId="77777777" w:rsidR="00545A71" w:rsidRDefault="00545A71" w:rsidP="007A7372">
            <w:pPr>
              <w:jc w:val="center"/>
              <w:rPr>
                <w:color w:val="000000"/>
                <w:sz w:val="20"/>
                <w:szCs w:val="20"/>
              </w:rPr>
            </w:pPr>
            <w:r>
              <w:rPr>
                <w:color w:val="000000"/>
                <w:sz w:val="20"/>
                <w:szCs w:val="20"/>
              </w:rPr>
              <w:t>190.77</w:t>
            </w:r>
          </w:p>
        </w:tc>
        <w:tc>
          <w:tcPr>
            <w:tcW w:w="1300" w:type="dxa"/>
            <w:tcBorders>
              <w:top w:val="nil"/>
              <w:left w:val="nil"/>
              <w:bottom w:val="single" w:sz="4" w:space="0" w:color="auto"/>
              <w:right w:val="single" w:sz="4" w:space="0" w:color="auto"/>
            </w:tcBorders>
            <w:shd w:val="clear" w:color="auto" w:fill="auto"/>
            <w:noWrap/>
            <w:vAlign w:val="center"/>
            <w:hideMark/>
          </w:tcPr>
          <w:p w14:paraId="5EE85671" w14:textId="77777777" w:rsidR="00545A71" w:rsidRDefault="00545A71" w:rsidP="007A7372">
            <w:pPr>
              <w:jc w:val="center"/>
              <w:rPr>
                <w:color w:val="000000"/>
                <w:sz w:val="20"/>
                <w:szCs w:val="20"/>
              </w:rPr>
            </w:pPr>
            <w:r>
              <w:rPr>
                <w:color w:val="000000"/>
                <w:sz w:val="20"/>
                <w:szCs w:val="20"/>
              </w:rPr>
              <w:t>-4.77</w:t>
            </w:r>
          </w:p>
        </w:tc>
        <w:tc>
          <w:tcPr>
            <w:tcW w:w="1300" w:type="dxa"/>
            <w:tcBorders>
              <w:top w:val="nil"/>
              <w:left w:val="nil"/>
              <w:bottom w:val="single" w:sz="4" w:space="0" w:color="auto"/>
              <w:right w:val="single" w:sz="4" w:space="0" w:color="auto"/>
            </w:tcBorders>
            <w:shd w:val="clear" w:color="auto" w:fill="auto"/>
            <w:noWrap/>
            <w:vAlign w:val="center"/>
            <w:hideMark/>
          </w:tcPr>
          <w:p w14:paraId="12490DA3" w14:textId="77777777" w:rsidR="00545A71" w:rsidRDefault="00545A71" w:rsidP="007A7372">
            <w:pPr>
              <w:jc w:val="center"/>
              <w:rPr>
                <w:color w:val="000000"/>
                <w:sz w:val="20"/>
                <w:szCs w:val="20"/>
              </w:rPr>
            </w:pPr>
            <w:r>
              <w:rPr>
                <w:color w:val="000000"/>
                <w:sz w:val="20"/>
                <w:szCs w:val="20"/>
              </w:rPr>
              <w:t>-28.45</w:t>
            </w:r>
          </w:p>
        </w:tc>
      </w:tr>
      <w:tr w:rsidR="00545A71" w14:paraId="432F4569"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81E840C" w14:textId="77777777" w:rsidR="00545A71" w:rsidRDefault="00545A71" w:rsidP="007A7372">
            <w:pPr>
              <w:jc w:val="center"/>
              <w:rPr>
                <w:color w:val="000000"/>
                <w:sz w:val="20"/>
                <w:szCs w:val="20"/>
              </w:rPr>
            </w:pPr>
            <w:r>
              <w:rPr>
                <w:color w:val="000000"/>
                <w:sz w:val="20"/>
                <w:szCs w:val="20"/>
              </w:rPr>
              <w:t>90.65</w:t>
            </w:r>
          </w:p>
        </w:tc>
        <w:tc>
          <w:tcPr>
            <w:tcW w:w="1300" w:type="dxa"/>
            <w:tcBorders>
              <w:top w:val="nil"/>
              <w:left w:val="nil"/>
              <w:bottom w:val="single" w:sz="4" w:space="0" w:color="auto"/>
              <w:right w:val="single" w:sz="4" w:space="0" w:color="auto"/>
            </w:tcBorders>
            <w:shd w:val="clear" w:color="auto" w:fill="auto"/>
            <w:noWrap/>
            <w:vAlign w:val="center"/>
            <w:hideMark/>
          </w:tcPr>
          <w:p w14:paraId="45BCB04D"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72C46232" w14:textId="77777777" w:rsidR="00545A71" w:rsidRDefault="00545A71" w:rsidP="007A7372">
            <w:pPr>
              <w:jc w:val="center"/>
              <w:rPr>
                <w:color w:val="000000"/>
                <w:sz w:val="20"/>
                <w:szCs w:val="20"/>
              </w:rPr>
            </w:pPr>
            <w:r>
              <w:rPr>
                <w:color w:val="000000"/>
                <w:sz w:val="20"/>
                <w:szCs w:val="20"/>
              </w:rPr>
              <w:t>190.77</w:t>
            </w:r>
          </w:p>
        </w:tc>
        <w:tc>
          <w:tcPr>
            <w:tcW w:w="1300" w:type="dxa"/>
            <w:tcBorders>
              <w:top w:val="nil"/>
              <w:left w:val="nil"/>
              <w:bottom w:val="single" w:sz="4" w:space="0" w:color="auto"/>
              <w:right w:val="single" w:sz="4" w:space="0" w:color="auto"/>
            </w:tcBorders>
            <w:shd w:val="clear" w:color="auto" w:fill="auto"/>
            <w:noWrap/>
            <w:vAlign w:val="center"/>
            <w:hideMark/>
          </w:tcPr>
          <w:p w14:paraId="72F80B67" w14:textId="77777777" w:rsidR="00545A71" w:rsidRDefault="00545A71" w:rsidP="007A7372">
            <w:pPr>
              <w:jc w:val="center"/>
              <w:rPr>
                <w:color w:val="000000"/>
                <w:sz w:val="20"/>
                <w:szCs w:val="20"/>
              </w:rPr>
            </w:pPr>
            <w:r>
              <w:rPr>
                <w:color w:val="000000"/>
                <w:sz w:val="20"/>
                <w:szCs w:val="20"/>
              </w:rPr>
              <w:t>-5.67</w:t>
            </w:r>
          </w:p>
        </w:tc>
        <w:tc>
          <w:tcPr>
            <w:tcW w:w="1300" w:type="dxa"/>
            <w:tcBorders>
              <w:top w:val="nil"/>
              <w:left w:val="nil"/>
              <w:bottom w:val="single" w:sz="4" w:space="0" w:color="auto"/>
              <w:right w:val="single" w:sz="4" w:space="0" w:color="auto"/>
            </w:tcBorders>
            <w:shd w:val="clear" w:color="auto" w:fill="auto"/>
            <w:noWrap/>
            <w:vAlign w:val="center"/>
            <w:hideMark/>
          </w:tcPr>
          <w:p w14:paraId="30DA5658" w14:textId="77777777" w:rsidR="00545A71" w:rsidRDefault="00545A71" w:rsidP="007A7372">
            <w:pPr>
              <w:jc w:val="center"/>
              <w:rPr>
                <w:color w:val="000000"/>
                <w:sz w:val="20"/>
                <w:szCs w:val="20"/>
              </w:rPr>
            </w:pPr>
            <w:r>
              <w:rPr>
                <w:color w:val="000000"/>
                <w:sz w:val="20"/>
                <w:szCs w:val="20"/>
              </w:rPr>
              <w:t>-35.70</w:t>
            </w:r>
          </w:p>
        </w:tc>
      </w:tr>
      <w:tr w:rsidR="00545A71" w14:paraId="05BC36AC"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786A603" w14:textId="77777777" w:rsidR="00545A71" w:rsidRDefault="00545A71" w:rsidP="007A7372">
            <w:pPr>
              <w:jc w:val="center"/>
              <w:rPr>
                <w:color w:val="000000"/>
                <w:sz w:val="20"/>
                <w:szCs w:val="20"/>
              </w:rPr>
            </w:pPr>
            <w:r>
              <w:rPr>
                <w:color w:val="000000"/>
                <w:sz w:val="20"/>
                <w:szCs w:val="20"/>
              </w:rPr>
              <w:t>90.68</w:t>
            </w:r>
          </w:p>
        </w:tc>
        <w:tc>
          <w:tcPr>
            <w:tcW w:w="1300" w:type="dxa"/>
            <w:tcBorders>
              <w:top w:val="nil"/>
              <w:left w:val="nil"/>
              <w:bottom w:val="single" w:sz="4" w:space="0" w:color="auto"/>
              <w:right w:val="single" w:sz="4" w:space="0" w:color="auto"/>
            </w:tcBorders>
            <w:shd w:val="clear" w:color="auto" w:fill="auto"/>
            <w:noWrap/>
            <w:vAlign w:val="center"/>
            <w:hideMark/>
          </w:tcPr>
          <w:p w14:paraId="539B84E6" w14:textId="77777777" w:rsidR="00545A71" w:rsidRDefault="00545A71" w:rsidP="007A7372">
            <w:pPr>
              <w:jc w:val="center"/>
              <w:rPr>
                <w:color w:val="000000"/>
                <w:sz w:val="20"/>
                <w:szCs w:val="20"/>
              </w:rPr>
            </w:pPr>
            <w:r>
              <w:rPr>
                <w:color w:val="000000"/>
                <w:sz w:val="20"/>
                <w:szCs w:val="20"/>
              </w:rPr>
              <w:t>23.78</w:t>
            </w:r>
          </w:p>
        </w:tc>
        <w:tc>
          <w:tcPr>
            <w:tcW w:w="1300" w:type="dxa"/>
            <w:tcBorders>
              <w:top w:val="nil"/>
              <w:left w:val="nil"/>
              <w:bottom w:val="single" w:sz="4" w:space="0" w:color="auto"/>
              <w:right w:val="single" w:sz="4" w:space="0" w:color="auto"/>
            </w:tcBorders>
            <w:shd w:val="clear" w:color="auto" w:fill="auto"/>
            <w:noWrap/>
            <w:vAlign w:val="center"/>
            <w:hideMark/>
          </w:tcPr>
          <w:p w14:paraId="10465428" w14:textId="77777777" w:rsidR="00545A71" w:rsidRDefault="00545A71" w:rsidP="007A7372">
            <w:pPr>
              <w:jc w:val="center"/>
              <w:rPr>
                <w:color w:val="000000"/>
                <w:sz w:val="20"/>
                <w:szCs w:val="20"/>
              </w:rPr>
            </w:pPr>
            <w:r>
              <w:rPr>
                <w:color w:val="000000"/>
                <w:sz w:val="20"/>
                <w:szCs w:val="20"/>
              </w:rPr>
              <w:t>230.77</w:t>
            </w:r>
          </w:p>
        </w:tc>
        <w:tc>
          <w:tcPr>
            <w:tcW w:w="1300" w:type="dxa"/>
            <w:tcBorders>
              <w:top w:val="nil"/>
              <w:left w:val="nil"/>
              <w:bottom w:val="single" w:sz="4" w:space="0" w:color="auto"/>
              <w:right w:val="single" w:sz="4" w:space="0" w:color="auto"/>
            </w:tcBorders>
            <w:shd w:val="clear" w:color="auto" w:fill="auto"/>
            <w:noWrap/>
            <w:vAlign w:val="center"/>
            <w:hideMark/>
          </w:tcPr>
          <w:p w14:paraId="75174BE2" w14:textId="77777777" w:rsidR="00545A71" w:rsidRDefault="00545A71" w:rsidP="007A7372">
            <w:pPr>
              <w:jc w:val="center"/>
              <w:rPr>
                <w:color w:val="000000"/>
                <w:sz w:val="20"/>
                <w:szCs w:val="20"/>
              </w:rPr>
            </w:pPr>
            <w:r>
              <w:rPr>
                <w:color w:val="000000"/>
                <w:sz w:val="20"/>
                <w:szCs w:val="20"/>
              </w:rPr>
              <w:t>-5.30</w:t>
            </w:r>
          </w:p>
        </w:tc>
        <w:tc>
          <w:tcPr>
            <w:tcW w:w="1300" w:type="dxa"/>
            <w:tcBorders>
              <w:top w:val="nil"/>
              <w:left w:val="nil"/>
              <w:bottom w:val="single" w:sz="4" w:space="0" w:color="auto"/>
              <w:right w:val="single" w:sz="4" w:space="0" w:color="auto"/>
            </w:tcBorders>
            <w:shd w:val="clear" w:color="auto" w:fill="auto"/>
            <w:noWrap/>
            <w:vAlign w:val="center"/>
            <w:hideMark/>
          </w:tcPr>
          <w:p w14:paraId="19C716A3" w14:textId="77777777" w:rsidR="00545A71" w:rsidRDefault="00545A71" w:rsidP="007A7372">
            <w:pPr>
              <w:jc w:val="center"/>
              <w:rPr>
                <w:color w:val="000000"/>
                <w:sz w:val="20"/>
                <w:szCs w:val="20"/>
              </w:rPr>
            </w:pPr>
            <w:r>
              <w:rPr>
                <w:color w:val="000000"/>
                <w:sz w:val="20"/>
                <w:szCs w:val="20"/>
              </w:rPr>
              <w:t>-32.53</w:t>
            </w:r>
          </w:p>
        </w:tc>
      </w:tr>
      <w:tr w:rsidR="00545A71" w14:paraId="6C0708F4"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08A1497"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6C44AFDB" w14:textId="77777777" w:rsidR="00545A71" w:rsidRDefault="00545A71" w:rsidP="007A7372">
            <w:pPr>
              <w:jc w:val="center"/>
              <w:rPr>
                <w:color w:val="000000"/>
                <w:sz w:val="20"/>
                <w:szCs w:val="20"/>
              </w:rPr>
            </w:pPr>
            <w:r>
              <w:rPr>
                <w:color w:val="000000"/>
                <w:sz w:val="20"/>
                <w:szCs w:val="20"/>
              </w:rPr>
              <w:t>23.75</w:t>
            </w:r>
          </w:p>
        </w:tc>
        <w:tc>
          <w:tcPr>
            <w:tcW w:w="1300" w:type="dxa"/>
            <w:tcBorders>
              <w:top w:val="nil"/>
              <w:left w:val="nil"/>
              <w:bottom w:val="single" w:sz="4" w:space="0" w:color="auto"/>
              <w:right w:val="single" w:sz="4" w:space="0" w:color="auto"/>
            </w:tcBorders>
            <w:shd w:val="clear" w:color="auto" w:fill="auto"/>
            <w:noWrap/>
            <w:vAlign w:val="center"/>
            <w:hideMark/>
          </w:tcPr>
          <w:p w14:paraId="221B5DF2" w14:textId="77777777" w:rsidR="00545A71" w:rsidRDefault="00545A71" w:rsidP="007A7372">
            <w:pPr>
              <w:jc w:val="center"/>
              <w:rPr>
                <w:color w:val="000000"/>
                <w:sz w:val="20"/>
                <w:szCs w:val="20"/>
              </w:rPr>
            </w:pPr>
            <w:r>
              <w:rPr>
                <w:color w:val="000000"/>
                <w:sz w:val="20"/>
                <w:szCs w:val="20"/>
              </w:rPr>
              <w:t>203.08</w:t>
            </w:r>
          </w:p>
        </w:tc>
        <w:tc>
          <w:tcPr>
            <w:tcW w:w="1300" w:type="dxa"/>
            <w:tcBorders>
              <w:top w:val="nil"/>
              <w:left w:val="nil"/>
              <w:bottom w:val="single" w:sz="4" w:space="0" w:color="auto"/>
              <w:right w:val="single" w:sz="4" w:space="0" w:color="auto"/>
            </w:tcBorders>
            <w:shd w:val="clear" w:color="auto" w:fill="auto"/>
            <w:noWrap/>
            <w:vAlign w:val="center"/>
            <w:hideMark/>
          </w:tcPr>
          <w:p w14:paraId="0EEFCA49" w14:textId="77777777" w:rsidR="00545A71" w:rsidRDefault="00545A71" w:rsidP="007A7372">
            <w:pPr>
              <w:jc w:val="center"/>
              <w:rPr>
                <w:color w:val="000000"/>
                <w:sz w:val="20"/>
                <w:szCs w:val="20"/>
              </w:rPr>
            </w:pPr>
            <w:r>
              <w:rPr>
                <w:color w:val="000000"/>
                <w:sz w:val="20"/>
                <w:szCs w:val="20"/>
              </w:rPr>
              <w:t>-4.94</w:t>
            </w:r>
          </w:p>
        </w:tc>
        <w:tc>
          <w:tcPr>
            <w:tcW w:w="1300" w:type="dxa"/>
            <w:tcBorders>
              <w:top w:val="nil"/>
              <w:left w:val="nil"/>
              <w:bottom w:val="single" w:sz="4" w:space="0" w:color="auto"/>
              <w:right w:val="single" w:sz="4" w:space="0" w:color="auto"/>
            </w:tcBorders>
            <w:shd w:val="clear" w:color="auto" w:fill="auto"/>
            <w:noWrap/>
            <w:vAlign w:val="center"/>
            <w:hideMark/>
          </w:tcPr>
          <w:p w14:paraId="202FFCEE" w14:textId="77777777" w:rsidR="00545A71" w:rsidRDefault="00545A71" w:rsidP="007A7372">
            <w:pPr>
              <w:jc w:val="center"/>
              <w:rPr>
                <w:color w:val="000000"/>
                <w:sz w:val="20"/>
                <w:szCs w:val="20"/>
              </w:rPr>
            </w:pPr>
            <w:r>
              <w:rPr>
                <w:color w:val="000000"/>
                <w:sz w:val="20"/>
                <w:szCs w:val="20"/>
              </w:rPr>
              <w:t>-29.25</w:t>
            </w:r>
          </w:p>
        </w:tc>
      </w:tr>
      <w:tr w:rsidR="00545A71" w14:paraId="2BD1A0A1"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4EF7851" w14:textId="77777777" w:rsidR="00545A71" w:rsidRDefault="00545A71" w:rsidP="007A7372">
            <w:pPr>
              <w:jc w:val="center"/>
              <w:rPr>
                <w:color w:val="000000"/>
                <w:sz w:val="20"/>
                <w:szCs w:val="20"/>
              </w:rPr>
            </w:pPr>
            <w:r>
              <w:rPr>
                <w:color w:val="000000"/>
                <w:sz w:val="20"/>
                <w:szCs w:val="20"/>
              </w:rPr>
              <w:t>90.68</w:t>
            </w:r>
          </w:p>
        </w:tc>
        <w:tc>
          <w:tcPr>
            <w:tcW w:w="1300" w:type="dxa"/>
            <w:tcBorders>
              <w:top w:val="nil"/>
              <w:left w:val="nil"/>
              <w:bottom w:val="single" w:sz="4" w:space="0" w:color="auto"/>
              <w:right w:val="single" w:sz="4" w:space="0" w:color="auto"/>
            </w:tcBorders>
            <w:shd w:val="clear" w:color="auto" w:fill="auto"/>
            <w:noWrap/>
            <w:vAlign w:val="center"/>
            <w:hideMark/>
          </w:tcPr>
          <w:p w14:paraId="51E7A90C" w14:textId="77777777" w:rsidR="00545A71" w:rsidRDefault="00545A71" w:rsidP="007A7372">
            <w:pPr>
              <w:jc w:val="center"/>
              <w:rPr>
                <w:color w:val="000000"/>
                <w:sz w:val="20"/>
                <w:szCs w:val="20"/>
              </w:rPr>
            </w:pPr>
            <w:r>
              <w:rPr>
                <w:color w:val="000000"/>
                <w:sz w:val="20"/>
                <w:szCs w:val="20"/>
              </w:rPr>
              <w:t>23.75</w:t>
            </w:r>
          </w:p>
        </w:tc>
        <w:tc>
          <w:tcPr>
            <w:tcW w:w="1300" w:type="dxa"/>
            <w:tcBorders>
              <w:top w:val="nil"/>
              <w:left w:val="nil"/>
              <w:bottom w:val="single" w:sz="4" w:space="0" w:color="auto"/>
              <w:right w:val="single" w:sz="4" w:space="0" w:color="auto"/>
            </w:tcBorders>
            <w:shd w:val="clear" w:color="auto" w:fill="auto"/>
            <w:noWrap/>
            <w:vAlign w:val="center"/>
            <w:hideMark/>
          </w:tcPr>
          <w:p w14:paraId="3F4D013C"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08352667" w14:textId="77777777" w:rsidR="00545A71" w:rsidRDefault="00545A71" w:rsidP="007A7372">
            <w:pPr>
              <w:jc w:val="center"/>
              <w:rPr>
                <w:color w:val="000000"/>
                <w:sz w:val="20"/>
                <w:szCs w:val="20"/>
              </w:rPr>
            </w:pPr>
            <w:r>
              <w:rPr>
                <w:color w:val="000000"/>
                <w:sz w:val="20"/>
                <w:szCs w:val="20"/>
              </w:rPr>
              <w:t>-4.99</w:t>
            </w:r>
          </w:p>
        </w:tc>
        <w:tc>
          <w:tcPr>
            <w:tcW w:w="1300" w:type="dxa"/>
            <w:tcBorders>
              <w:top w:val="nil"/>
              <w:left w:val="nil"/>
              <w:bottom w:val="single" w:sz="4" w:space="0" w:color="auto"/>
              <w:right w:val="single" w:sz="4" w:space="0" w:color="auto"/>
            </w:tcBorders>
            <w:shd w:val="clear" w:color="auto" w:fill="auto"/>
            <w:noWrap/>
            <w:vAlign w:val="center"/>
            <w:hideMark/>
          </w:tcPr>
          <w:p w14:paraId="7A0EFB75" w14:textId="77777777" w:rsidR="00545A71" w:rsidRDefault="00545A71" w:rsidP="007A7372">
            <w:pPr>
              <w:jc w:val="center"/>
              <w:rPr>
                <w:color w:val="000000"/>
                <w:sz w:val="20"/>
                <w:szCs w:val="20"/>
              </w:rPr>
            </w:pPr>
            <w:r>
              <w:rPr>
                <w:color w:val="000000"/>
                <w:sz w:val="20"/>
                <w:szCs w:val="20"/>
              </w:rPr>
              <w:t>-29.96</w:t>
            </w:r>
          </w:p>
        </w:tc>
      </w:tr>
      <w:tr w:rsidR="00545A71" w14:paraId="274F8626"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40C1456" w14:textId="77777777" w:rsidR="00545A71" w:rsidRDefault="00545A71" w:rsidP="007A7372">
            <w:pPr>
              <w:jc w:val="center"/>
              <w:rPr>
                <w:color w:val="000000"/>
                <w:sz w:val="20"/>
                <w:szCs w:val="20"/>
              </w:rPr>
            </w:pPr>
            <w:r>
              <w:rPr>
                <w:color w:val="000000"/>
                <w:sz w:val="20"/>
                <w:szCs w:val="20"/>
              </w:rPr>
              <w:t>90.63</w:t>
            </w:r>
          </w:p>
        </w:tc>
        <w:tc>
          <w:tcPr>
            <w:tcW w:w="1300" w:type="dxa"/>
            <w:tcBorders>
              <w:top w:val="nil"/>
              <w:left w:val="nil"/>
              <w:bottom w:val="single" w:sz="4" w:space="0" w:color="auto"/>
              <w:right w:val="single" w:sz="4" w:space="0" w:color="auto"/>
            </w:tcBorders>
            <w:shd w:val="clear" w:color="auto" w:fill="auto"/>
            <w:noWrap/>
            <w:vAlign w:val="center"/>
            <w:hideMark/>
          </w:tcPr>
          <w:p w14:paraId="7E74E488" w14:textId="77777777" w:rsidR="00545A71" w:rsidRDefault="00545A71" w:rsidP="007A7372">
            <w:pPr>
              <w:jc w:val="center"/>
              <w:rPr>
                <w:color w:val="000000"/>
                <w:sz w:val="20"/>
                <w:szCs w:val="20"/>
              </w:rPr>
            </w:pPr>
            <w:r>
              <w:rPr>
                <w:color w:val="000000"/>
                <w:sz w:val="20"/>
                <w:szCs w:val="20"/>
              </w:rPr>
              <w:t>23.76</w:t>
            </w:r>
          </w:p>
        </w:tc>
        <w:tc>
          <w:tcPr>
            <w:tcW w:w="1300" w:type="dxa"/>
            <w:tcBorders>
              <w:top w:val="nil"/>
              <w:left w:val="nil"/>
              <w:bottom w:val="single" w:sz="4" w:space="0" w:color="auto"/>
              <w:right w:val="single" w:sz="4" w:space="0" w:color="auto"/>
            </w:tcBorders>
            <w:shd w:val="clear" w:color="auto" w:fill="auto"/>
            <w:noWrap/>
            <w:vAlign w:val="center"/>
            <w:hideMark/>
          </w:tcPr>
          <w:p w14:paraId="65702592" w14:textId="77777777" w:rsidR="00545A71" w:rsidRDefault="00545A71" w:rsidP="007A7372">
            <w:pPr>
              <w:jc w:val="center"/>
              <w:rPr>
                <w:color w:val="000000"/>
                <w:sz w:val="20"/>
                <w:szCs w:val="20"/>
              </w:rPr>
            </w:pPr>
            <w:r>
              <w:rPr>
                <w:color w:val="000000"/>
                <w:sz w:val="20"/>
                <w:szCs w:val="20"/>
              </w:rPr>
              <w:t>184.62</w:t>
            </w:r>
          </w:p>
        </w:tc>
        <w:tc>
          <w:tcPr>
            <w:tcW w:w="1300" w:type="dxa"/>
            <w:tcBorders>
              <w:top w:val="nil"/>
              <w:left w:val="nil"/>
              <w:bottom w:val="single" w:sz="4" w:space="0" w:color="auto"/>
              <w:right w:val="single" w:sz="4" w:space="0" w:color="auto"/>
            </w:tcBorders>
            <w:shd w:val="clear" w:color="auto" w:fill="auto"/>
            <w:noWrap/>
            <w:vAlign w:val="center"/>
            <w:hideMark/>
          </w:tcPr>
          <w:p w14:paraId="1A5E4F19" w14:textId="77777777" w:rsidR="00545A71" w:rsidRDefault="00545A71" w:rsidP="007A7372">
            <w:pPr>
              <w:jc w:val="center"/>
              <w:rPr>
                <w:color w:val="000000"/>
                <w:sz w:val="20"/>
                <w:szCs w:val="20"/>
              </w:rPr>
            </w:pPr>
            <w:r>
              <w:rPr>
                <w:color w:val="000000"/>
                <w:sz w:val="20"/>
                <w:szCs w:val="20"/>
              </w:rPr>
              <w:t>-5.56</w:t>
            </w:r>
          </w:p>
        </w:tc>
        <w:tc>
          <w:tcPr>
            <w:tcW w:w="1300" w:type="dxa"/>
            <w:tcBorders>
              <w:top w:val="nil"/>
              <w:left w:val="nil"/>
              <w:bottom w:val="single" w:sz="4" w:space="0" w:color="auto"/>
              <w:right w:val="single" w:sz="4" w:space="0" w:color="auto"/>
            </w:tcBorders>
            <w:shd w:val="clear" w:color="auto" w:fill="auto"/>
            <w:noWrap/>
            <w:vAlign w:val="center"/>
            <w:hideMark/>
          </w:tcPr>
          <w:p w14:paraId="2F0D2BA1" w14:textId="77777777" w:rsidR="00545A71" w:rsidRDefault="00545A71" w:rsidP="007A7372">
            <w:pPr>
              <w:jc w:val="center"/>
              <w:rPr>
                <w:color w:val="000000"/>
                <w:sz w:val="20"/>
                <w:szCs w:val="20"/>
              </w:rPr>
            </w:pPr>
            <w:r>
              <w:rPr>
                <w:color w:val="000000"/>
                <w:sz w:val="20"/>
                <w:szCs w:val="20"/>
              </w:rPr>
              <w:t>-34.41</w:t>
            </w:r>
          </w:p>
        </w:tc>
      </w:tr>
      <w:tr w:rsidR="00545A71" w14:paraId="331119E9"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0DA1E4C" w14:textId="77777777" w:rsidR="00545A71" w:rsidRDefault="00545A71" w:rsidP="007A7372">
            <w:pPr>
              <w:jc w:val="center"/>
              <w:rPr>
                <w:color w:val="000000"/>
                <w:sz w:val="20"/>
                <w:szCs w:val="20"/>
              </w:rPr>
            </w:pPr>
            <w:r>
              <w:rPr>
                <w:color w:val="000000"/>
                <w:sz w:val="20"/>
                <w:szCs w:val="20"/>
              </w:rPr>
              <w:t>90.66</w:t>
            </w:r>
          </w:p>
        </w:tc>
        <w:tc>
          <w:tcPr>
            <w:tcW w:w="1300" w:type="dxa"/>
            <w:tcBorders>
              <w:top w:val="nil"/>
              <w:left w:val="nil"/>
              <w:bottom w:val="single" w:sz="4" w:space="0" w:color="auto"/>
              <w:right w:val="single" w:sz="4" w:space="0" w:color="auto"/>
            </w:tcBorders>
            <w:shd w:val="clear" w:color="auto" w:fill="auto"/>
            <w:noWrap/>
            <w:vAlign w:val="center"/>
            <w:hideMark/>
          </w:tcPr>
          <w:p w14:paraId="3AC90FD1"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4E70A655"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52A9E9D0" w14:textId="77777777" w:rsidR="00545A71" w:rsidRDefault="00545A71" w:rsidP="007A7372">
            <w:pPr>
              <w:jc w:val="center"/>
              <w:rPr>
                <w:color w:val="000000"/>
                <w:sz w:val="20"/>
                <w:szCs w:val="20"/>
              </w:rPr>
            </w:pPr>
            <w:r>
              <w:rPr>
                <w:color w:val="000000"/>
                <w:sz w:val="20"/>
                <w:szCs w:val="20"/>
              </w:rPr>
              <w:t>-5.82</w:t>
            </w:r>
          </w:p>
        </w:tc>
        <w:tc>
          <w:tcPr>
            <w:tcW w:w="1300" w:type="dxa"/>
            <w:tcBorders>
              <w:top w:val="nil"/>
              <w:left w:val="nil"/>
              <w:bottom w:val="single" w:sz="4" w:space="0" w:color="auto"/>
              <w:right w:val="single" w:sz="4" w:space="0" w:color="auto"/>
            </w:tcBorders>
            <w:shd w:val="clear" w:color="auto" w:fill="auto"/>
            <w:noWrap/>
            <w:vAlign w:val="center"/>
            <w:hideMark/>
          </w:tcPr>
          <w:p w14:paraId="5B7BAFB8" w14:textId="77777777" w:rsidR="00545A71" w:rsidRDefault="00545A71" w:rsidP="007A7372">
            <w:pPr>
              <w:jc w:val="center"/>
              <w:rPr>
                <w:color w:val="000000"/>
                <w:sz w:val="20"/>
                <w:szCs w:val="20"/>
              </w:rPr>
            </w:pPr>
            <w:r>
              <w:rPr>
                <w:color w:val="000000"/>
                <w:sz w:val="20"/>
                <w:szCs w:val="20"/>
              </w:rPr>
              <w:t>-36.53</w:t>
            </w:r>
          </w:p>
        </w:tc>
      </w:tr>
      <w:tr w:rsidR="00545A71" w14:paraId="6510BA53"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21BC0FC" w14:textId="77777777" w:rsidR="00545A71" w:rsidRDefault="00545A71" w:rsidP="007A7372">
            <w:pPr>
              <w:jc w:val="center"/>
              <w:rPr>
                <w:color w:val="000000"/>
                <w:sz w:val="20"/>
                <w:szCs w:val="20"/>
              </w:rPr>
            </w:pPr>
            <w:r>
              <w:rPr>
                <w:color w:val="000000"/>
                <w:sz w:val="20"/>
                <w:szCs w:val="20"/>
              </w:rPr>
              <w:t>90.65</w:t>
            </w:r>
          </w:p>
        </w:tc>
        <w:tc>
          <w:tcPr>
            <w:tcW w:w="1300" w:type="dxa"/>
            <w:tcBorders>
              <w:top w:val="nil"/>
              <w:left w:val="nil"/>
              <w:bottom w:val="single" w:sz="4" w:space="0" w:color="auto"/>
              <w:right w:val="single" w:sz="4" w:space="0" w:color="auto"/>
            </w:tcBorders>
            <w:shd w:val="clear" w:color="auto" w:fill="auto"/>
            <w:noWrap/>
            <w:vAlign w:val="center"/>
            <w:hideMark/>
          </w:tcPr>
          <w:p w14:paraId="6DC74601" w14:textId="77777777" w:rsidR="00545A71" w:rsidRDefault="00545A71" w:rsidP="007A7372">
            <w:pPr>
              <w:jc w:val="center"/>
              <w:rPr>
                <w:color w:val="000000"/>
                <w:sz w:val="20"/>
                <w:szCs w:val="20"/>
              </w:rPr>
            </w:pPr>
            <w:r>
              <w:rPr>
                <w:color w:val="000000"/>
                <w:sz w:val="20"/>
                <w:szCs w:val="20"/>
              </w:rPr>
              <w:t>23.80</w:t>
            </w:r>
          </w:p>
        </w:tc>
        <w:tc>
          <w:tcPr>
            <w:tcW w:w="1300" w:type="dxa"/>
            <w:tcBorders>
              <w:top w:val="nil"/>
              <w:left w:val="nil"/>
              <w:bottom w:val="single" w:sz="4" w:space="0" w:color="auto"/>
              <w:right w:val="single" w:sz="4" w:space="0" w:color="auto"/>
            </w:tcBorders>
            <w:shd w:val="clear" w:color="auto" w:fill="auto"/>
            <w:noWrap/>
            <w:vAlign w:val="center"/>
            <w:hideMark/>
          </w:tcPr>
          <w:p w14:paraId="10D598FD" w14:textId="77777777" w:rsidR="00545A71" w:rsidRDefault="00545A71" w:rsidP="007A7372">
            <w:pPr>
              <w:jc w:val="center"/>
              <w:rPr>
                <w:color w:val="000000"/>
                <w:sz w:val="20"/>
                <w:szCs w:val="20"/>
              </w:rPr>
            </w:pPr>
            <w:r>
              <w:rPr>
                <w:color w:val="000000"/>
                <w:sz w:val="20"/>
                <w:szCs w:val="20"/>
              </w:rPr>
              <w:t>172.31</w:t>
            </w:r>
          </w:p>
        </w:tc>
        <w:tc>
          <w:tcPr>
            <w:tcW w:w="1300" w:type="dxa"/>
            <w:tcBorders>
              <w:top w:val="nil"/>
              <w:left w:val="nil"/>
              <w:bottom w:val="single" w:sz="4" w:space="0" w:color="auto"/>
              <w:right w:val="single" w:sz="4" w:space="0" w:color="auto"/>
            </w:tcBorders>
            <w:shd w:val="clear" w:color="auto" w:fill="auto"/>
            <w:noWrap/>
            <w:vAlign w:val="center"/>
            <w:hideMark/>
          </w:tcPr>
          <w:p w14:paraId="6D5AE8DD" w14:textId="77777777" w:rsidR="00545A71" w:rsidRDefault="00545A71" w:rsidP="007A7372">
            <w:pPr>
              <w:jc w:val="center"/>
              <w:rPr>
                <w:color w:val="000000"/>
                <w:sz w:val="20"/>
                <w:szCs w:val="20"/>
              </w:rPr>
            </w:pPr>
            <w:r>
              <w:rPr>
                <w:color w:val="000000"/>
                <w:sz w:val="20"/>
                <w:szCs w:val="20"/>
              </w:rPr>
              <w:t>-5.94</w:t>
            </w:r>
          </w:p>
        </w:tc>
        <w:tc>
          <w:tcPr>
            <w:tcW w:w="1300" w:type="dxa"/>
            <w:tcBorders>
              <w:top w:val="nil"/>
              <w:left w:val="nil"/>
              <w:bottom w:val="single" w:sz="4" w:space="0" w:color="auto"/>
              <w:right w:val="single" w:sz="4" w:space="0" w:color="auto"/>
            </w:tcBorders>
            <w:shd w:val="clear" w:color="auto" w:fill="auto"/>
            <w:noWrap/>
            <w:vAlign w:val="center"/>
            <w:hideMark/>
          </w:tcPr>
          <w:p w14:paraId="53A46703" w14:textId="77777777" w:rsidR="00545A71" w:rsidRDefault="00545A71" w:rsidP="007A7372">
            <w:pPr>
              <w:jc w:val="center"/>
              <w:rPr>
                <w:color w:val="000000"/>
                <w:sz w:val="20"/>
                <w:szCs w:val="20"/>
              </w:rPr>
            </w:pPr>
            <w:r>
              <w:rPr>
                <w:color w:val="000000"/>
                <w:sz w:val="20"/>
                <w:szCs w:val="20"/>
              </w:rPr>
              <w:t>-36.84</w:t>
            </w:r>
          </w:p>
        </w:tc>
      </w:tr>
      <w:tr w:rsidR="00545A71" w14:paraId="39246395"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DC8F2FE" w14:textId="77777777" w:rsidR="00545A71" w:rsidRDefault="00545A71" w:rsidP="007A7372">
            <w:pPr>
              <w:jc w:val="center"/>
              <w:rPr>
                <w:color w:val="000000"/>
                <w:sz w:val="20"/>
                <w:szCs w:val="20"/>
              </w:rPr>
            </w:pPr>
            <w:r>
              <w:rPr>
                <w:color w:val="000000"/>
                <w:sz w:val="20"/>
                <w:szCs w:val="20"/>
              </w:rPr>
              <w:t>90.66</w:t>
            </w:r>
          </w:p>
        </w:tc>
        <w:tc>
          <w:tcPr>
            <w:tcW w:w="1300" w:type="dxa"/>
            <w:tcBorders>
              <w:top w:val="nil"/>
              <w:left w:val="nil"/>
              <w:bottom w:val="single" w:sz="4" w:space="0" w:color="auto"/>
              <w:right w:val="single" w:sz="4" w:space="0" w:color="auto"/>
            </w:tcBorders>
            <w:shd w:val="clear" w:color="auto" w:fill="auto"/>
            <w:noWrap/>
            <w:vAlign w:val="center"/>
            <w:hideMark/>
          </w:tcPr>
          <w:p w14:paraId="311EE93E"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09E6C9BE" w14:textId="77777777" w:rsidR="00545A71" w:rsidRDefault="00545A71" w:rsidP="007A7372">
            <w:pPr>
              <w:jc w:val="center"/>
              <w:rPr>
                <w:color w:val="000000"/>
                <w:sz w:val="20"/>
                <w:szCs w:val="20"/>
              </w:rPr>
            </w:pPr>
            <w:r>
              <w:rPr>
                <w:color w:val="000000"/>
                <w:sz w:val="20"/>
                <w:szCs w:val="20"/>
              </w:rPr>
              <w:t>221.54</w:t>
            </w:r>
          </w:p>
        </w:tc>
        <w:tc>
          <w:tcPr>
            <w:tcW w:w="1300" w:type="dxa"/>
            <w:tcBorders>
              <w:top w:val="nil"/>
              <w:left w:val="nil"/>
              <w:bottom w:val="single" w:sz="4" w:space="0" w:color="auto"/>
              <w:right w:val="single" w:sz="4" w:space="0" w:color="auto"/>
            </w:tcBorders>
            <w:shd w:val="clear" w:color="auto" w:fill="auto"/>
            <w:noWrap/>
            <w:vAlign w:val="center"/>
            <w:hideMark/>
          </w:tcPr>
          <w:p w14:paraId="75D625CF" w14:textId="77777777" w:rsidR="00545A71" w:rsidRDefault="00545A71" w:rsidP="007A7372">
            <w:pPr>
              <w:jc w:val="center"/>
              <w:rPr>
                <w:color w:val="000000"/>
                <w:sz w:val="20"/>
                <w:szCs w:val="20"/>
              </w:rPr>
            </w:pPr>
            <w:r>
              <w:rPr>
                <w:color w:val="000000"/>
                <w:sz w:val="20"/>
                <w:szCs w:val="20"/>
              </w:rPr>
              <w:t>-5.81</w:t>
            </w:r>
          </w:p>
        </w:tc>
        <w:tc>
          <w:tcPr>
            <w:tcW w:w="1300" w:type="dxa"/>
            <w:tcBorders>
              <w:top w:val="nil"/>
              <w:left w:val="nil"/>
              <w:bottom w:val="single" w:sz="4" w:space="0" w:color="auto"/>
              <w:right w:val="single" w:sz="4" w:space="0" w:color="auto"/>
            </w:tcBorders>
            <w:shd w:val="clear" w:color="auto" w:fill="auto"/>
            <w:noWrap/>
            <w:vAlign w:val="center"/>
            <w:hideMark/>
          </w:tcPr>
          <w:p w14:paraId="33756159" w14:textId="77777777" w:rsidR="00545A71" w:rsidRDefault="00545A71" w:rsidP="007A7372">
            <w:pPr>
              <w:jc w:val="center"/>
              <w:rPr>
                <w:color w:val="000000"/>
                <w:sz w:val="20"/>
                <w:szCs w:val="20"/>
              </w:rPr>
            </w:pPr>
            <w:r>
              <w:rPr>
                <w:color w:val="000000"/>
                <w:sz w:val="20"/>
                <w:szCs w:val="20"/>
              </w:rPr>
              <w:t>-36.46</w:t>
            </w:r>
          </w:p>
        </w:tc>
      </w:tr>
      <w:tr w:rsidR="00545A71" w14:paraId="16915DED"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40D1336" w14:textId="77777777" w:rsidR="00545A71" w:rsidRDefault="00545A71" w:rsidP="007A7372">
            <w:pPr>
              <w:jc w:val="center"/>
              <w:rPr>
                <w:color w:val="000000"/>
                <w:sz w:val="20"/>
                <w:szCs w:val="20"/>
              </w:rPr>
            </w:pPr>
            <w:r>
              <w:rPr>
                <w:color w:val="000000"/>
                <w:sz w:val="20"/>
                <w:szCs w:val="20"/>
              </w:rPr>
              <w:t>90.66</w:t>
            </w:r>
          </w:p>
        </w:tc>
        <w:tc>
          <w:tcPr>
            <w:tcW w:w="1300" w:type="dxa"/>
            <w:tcBorders>
              <w:top w:val="nil"/>
              <w:left w:val="nil"/>
              <w:bottom w:val="single" w:sz="4" w:space="0" w:color="auto"/>
              <w:right w:val="single" w:sz="4" w:space="0" w:color="auto"/>
            </w:tcBorders>
            <w:shd w:val="clear" w:color="auto" w:fill="auto"/>
            <w:noWrap/>
            <w:vAlign w:val="center"/>
            <w:hideMark/>
          </w:tcPr>
          <w:p w14:paraId="44A6CE6A" w14:textId="77777777" w:rsidR="00545A71" w:rsidRDefault="00545A71" w:rsidP="007A7372">
            <w:pPr>
              <w:jc w:val="center"/>
              <w:rPr>
                <w:color w:val="000000"/>
                <w:sz w:val="20"/>
                <w:szCs w:val="20"/>
              </w:rPr>
            </w:pPr>
            <w:r>
              <w:rPr>
                <w:color w:val="000000"/>
                <w:sz w:val="20"/>
                <w:szCs w:val="20"/>
              </w:rPr>
              <w:t>23.77</w:t>
            </w:r>
          </w:p>
        </w:tc>
        <w:tc>
          <w:tcPr>
            <w:tcW w:w="1300" w:type="dxa"/>
            <w:tcBorders>
              <w:top w:val="nil"/>
              <w:left w:val="nil"/>
              <w:bottom w:val="single" w:sz="4" w:space="0" w:color="auto"/>
              <w:right w:val="single" w:sz="4" w:space="0" w:color="auto"/>
            </w:tcBorders>
            <w:shd w:val="clear" w:color="auto" w:fill="auto"/>
            <w:noWrap/>
            <w:vAlign w:val="center"/>
            <w:hideMark/>
          </w:tcPr>
          <w:p w14:paraId="4E49A381" w14:textId="77777777" w:rsidR="00545A71" w:rsidRDefault="00545A71" w:rsidP="007A7372">
            <w:pPr>
              <w:jc w:val="center"/>
              <w:rPr>
                <w:color w:val="000000"/>
                <w:sz w:val="20"/>
                <w:szCs w:val="20"/>
              </w:rPr>
            </w:pPr>
            <w:r>
              <w:rPr>
                <w:color w:val="000000"/>
                <w:sz w:val="20"/>
                <w:szCs w:val="20"/>
              </w:rPr>
              <w:t>215.38</w:t>
            </w:r>
          </w:p>
        </w:tc>
        <w:tc>
          <w:tcPr>
            <w:tcW w:w="1300" w:type="dxa"/>
            <w:tcBorders>
              <w:top w:val="nil"/>
              <w:left w:val="nil"/>
              <w:bottom w:val="single" w:sz="4" w:space="0" w:color="auto"/>
              <w:right w:val="single" w:sz="4" w:space="0" w:color="auto"/>
            </w:tcBorders>
            <w:shd w:val="clear" w:color="auto" w:fill="auto"/>
            <w:noWrap/>
            <w:vAlign w:val="center"/>
            <w:hideMark/>
          </w:tcPr>
          <w:p w14:paraId="7A127463" w14:textId="77777777" w:rsidR="00545A71" w:rsidRDefault="00545A71" w:rsidP="007A7372">
            <w:pPr>
              <w:jc w:val="center"/>
              <w:rPr>
                <w:color w:val="000000"/>
                <w:sz w:val="20"/>
                <w:szCs w:val="20"/>
              </w:rPr>
            </w:pPr>
            <w:r>
              <w:rPr>
                <w:color w:val="000000"/>
                <w:sz w:val="20"/>
                <w:szCs w:val="20"/>
              </w:rPr>
              <w:t>-4.44</w:t>
            </w:r>
          </w:p>
        </w:tc>
        <w:tc>
          <w:tcPr>
            <w:tcW w:w="1300" w:type="dxa"/>
            <w:tcBorders>
              <w:top w:val="nil"/>
              <w:left w:val="nil"/>
              <w:bottom w:val="single" w:sz="4" w:space="0" w:color="auto"/>
              <w:right w:val="single" w:sz="4" w:space="0" w:color="auto"/>
            </w:tcBorders>
            <w:shd w:val="clear" w:color="auto" w:fill="auto"/>
            <w:noWrap/>
            <w:vAlign w:val="center"/>
            <w:hideMark/>
          </w:tcPr>
          <w:p w14:paraId="3107E2B7" w14:textId="77777777" w:rsidR="00545A71" w:rsidRDefault="00545A71" w:rsidP="007A7372">
            <w:pPr>
              <w:jc w:val="center"/>
              <w:rPr>
                <w:color w:val="000000"/>
                <w:sz w:val="20"/>
                <w:szCs w:val="20"/>
              </w:rPr>
            </w:pPr>
            <w:r>
              <w:rPr>
                <w:color w:val="000000"/>
                <w:sz w:val="20"/>
                <w:szCs w:val="20"/>
              </w:rPr>
              <w:t>-25.56</w:t>
            </w:r>
          </w:p>
        </w:tc>
      </w:tr>
      <w:tr w:rsidR="00545A71" w14:paraId="7E4A0B4F"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1CCFF99" w14:textId="77777777" w:rsidR="00545A71" w:rsidRDefault="00545A71" w:rsidP="007A7372">
            <w:pPr>
              <w:jc w:val="center"/>
              <w:rPr>
                <w:color w:val="000000"/>
                <w:sz w:val="20"/>
                <w:szCs w:val="20"/>
              </w:rPr>
            </w:pPr>
            <w:r>
              <w:rPr>
                <w:color w:val="000000"/>
                <w:sz w:val="20"/>
                <w:szCs w:val="20"/>
              </w:rPr>
              <w:t>90.72</w:t>
            </w:r>
          </w:p>
        </w:tc>
        <w:tc>
          <w:tcPr>
            <w:tcW w:w="1300" w:type="dxa"/>
            <w:tcBorders>
              <w:top w:val="nil"/>
              <w:left w:val="nil"/>
              <w:bottom w:val="single" w:sz="4" w:space="0" w:color="auto"/>
              <w:right w:val="single" w:sz="4" w:space="0" w:color="auto"/>
            </w:tcBorders>
            <w:shd w:val="clear" w:color="auto" w:fill="auto"/>
            <w:noWrap/>
            <w:vAlign w:val="center"/>
            <w:hideMark/>
          </w:tcPr>
          <w:p w14:paraId="10767AC2" w14:textId="77777777" w:rsidR="00545A71" w:rsidRDefault="00545A71" w:rsidP="007A7372">
            <w:pPr>
              <w:jc w:val="center"/>
              <w:rPr>
                <w:color w:val="000000"/>
                <w:sz w:val="20"/>
                <w:szCs w:val="20"/>
              </w:rPr>
            </w:pPr>
            <w:r>
              <w:rPr>
                <w:color w:val="000000"/>
                <w:sz w:val="20"/>
                <w:szCs w:val="20"/>
              </w:rPr>
              <w:t>23.72</w:t>
            </w:r>
          </w:p>
        </w:tc>
        <w:tc>
          <w:tcPr>
            <w:tcW w:w="1300" w:type="dxa"/>
            <w:tcBorders>
              <w:top w:val="nil"/>
              <w:left w:val="nil"/>
              <w:bottom w:val="single" w:sz="4" w:space="0" w:color="auto"/>
              <w:right w:val="single" w:sz="4" w:space="0" w:color="auto"/>
            </w:tcBorders>
            <w:shd w:val="clear" w:color="auto" w:fill="auto"/>
            <w:noWrap/>
            <w:vAlign w:val="center"/>
            <w:hideMark/>
          </w:tcPr>
          <w:p w14:paraId="2C5026B7"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19EA03D7" w14:textId="77777777" w:rsidR="00545A71" w:rsidRDefault="00545A71" w:rsidP="007A7372">
            <w:pPr>
              <w:jc w:val="center"/>
              <w:rPr>
                <w:color w:val="000000"/>
                <w:sz w:val="20"/>
                <w:szCs w:val="20"/>
              </w:rPr>
            </w:pPr>
            <w:r>
              <w:rPr>
                <w:color w:val="000000"/>
                <w:sz w:val="20"/>
                <w:szCs w:val="20"/>
              </w:rPr>
              <w:t>-5.62</w:t>
            </w:r>
          </w:p>
        </w:tc>
        <w:tc>
          <w:tcPr>
            <w:tcW w:w="1300" w:type="dxa"/>
            <w:tcBorders>
              <w:top w:val="nil"/>
              <w:left w:val="nil"/>
              <w:bottom w:val="single" w:sz="4" w:space="0" w:color="auto"/>
              <w:right w:val="single" w:sz="4" w:space="0" w:color="auto"/>
            </w:tcBorders>
            <w:shd w:val="clear" w:color="auto" w:fill="auto"/>
            <w:noWrap/>
            <w:vAlign w:val="center"/>
            <w:hideMark/>
          </w:tcPr>
          <w:p w14:paraId="41A1FBEA" w14:textId="77777777" w:rsidR="00545A71" w:rsidRDefault="00545A71" w:rsidP="007A7372">
            <w:pPr>
              <w:jc w:val="center"/>
              <w:rPr>
                <w:color w:val="000000"/>
                <w:sz w:val="20"/>
                <w:szCs w:val="20"/>
              </w:rPr>
            </w:pPr>
            <w:r>
              <w:rPr>
                <w:color w:val="000000"/>
                <w:sz w:val="20"/>
                <w:szCs w:val="20"/>
              </w:rPr>
              <w:t>-34.68</w:t>
            </w:r>
          </w:p>
        </w:tc>
      </w:tr>
      <w:tr w:rsidR="00545A71" w14:paraId="4D5F90AD"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9A0C497" w14:textId="77777777" w:rsidR="00545A71" w:rsidRDefault="00545A71" w:rsidP="007A7372">
            <w:pPr>
              <w:jc w:val="center"/>
              <w:rPr>
                <w:color w:val="000000"/>
                <w:sz w:val="20"/>
                <w:szCs w:val="20"/>
              </w:rPr>
            </w:pPr>
            <w:r>
              <w:rPr>
                <w:color w:val="000000"/>
                <w:sz w:val="20"/>
                <w:szCs w:val="20"/>
              </w:rPr>
              <w:t>90.63</w:t>
            </w:r>
          </w:p>
        </w:tc>
        <w:tc>
          <w:tcPr>
            <w:tcW w:w="1300" w:type="dxa"/>
            <w:tcBorders>
              <w:top w:val="nil"/>
              <w:left w:val="nil"/>
              <w:bottom w:val="single" w:sz="4" w:space="0" w:color="auto"/>
              <w:right w:val="single" w:sz="4" w:space="0" w:color="auto"/>
            </w:tcBorders>
            <w:shd w:val="clear" w:color="auto" w:fill="auto"/>
            <w:noWrap/>
            <w:vAlign w:val="center"/>
            <w:hideMark/>
          </w:tcPr>
          <w:p w14:paraId="27A2CE77" w14:textId="77777777" w:rsidR="00545A71" w:rsidRDefault="00545A71" w:rsidP="007A7372">
            <w:pPr>
              <w:jc w:val="center"/>
              <w:rPr>
                <w:color w:val="000000"/>
                <w:sz w:val="20"/>
                <w:szCs w:val="20"/>
              </w:rPr>
            </w:pPr>
            <w:r>
              <w:rPr>
                <w:color w:val="000000"/>
                <w:sz w:val="20"/>
                <w:szCs w:val="20"/>
              </w:rPr>
              <w:t>23.76</w:t>
            </w:r>
          </w:p>
        </w:tc>
        <w:tc>
          <w:tcPr>
            <w:tcW w:w="1300" w:type="dxa"/>
            <w:tcBorders>
              <w:top w:val="nil"/>
              <w:left w:val="nil"/>
              <w:bottom w:val="single" w:sz="4" w:space="0" w:color="auto"/>
              <w:right w:val="single" w:sz="4" w:space="0" w:color="auto"/>
            </w:tcBorders>
            <w:shd w:val="clear" w:color="auto" w:fill="auto"/>
            <w:noWrap/>
            <w:vAlign w:val="center"/>
            <w:hideMark/>
          </w:tcPr>
          <w:p w14:paraId="2BD77D94" w14:textId="77777777" w:rsidR="00545A71" w:rsidRDefault="00545A71" w:rsidP="007A7372">
            <w:pPr>
              <w:jc w:val="center"/>
              <w:rPr>
                <w:color w:val="000000"/>
                <w:sz w:val="20"/>
                <w:szCs w:val="20"/>
              </w:rPr>
            </w:pPr>
            <w:r>
              <w:rPr>
                <w:color w:val="000000"/>
                <w:sz w:val="20"/>
                <w:szCs w:val="20"/>
              </w:rPr>
              <w:t>200.00</w:t>
            </w:r>
          </w:p>
        </w:tc>
        <w:tc>
          <w:tcPr>
            <w:tcW w:w="1300" w:type="dxa"/>
            <w:tcBorders>
              <w:top w:val="nil"/>
              <w:left w:val="nil"/>
              <w:bottom w:val="single" w:sz="4" w:space="0" w:color="auto"/>
              <w:right w:val="single" w:sz="4" w:space="0" w:color="auto"/>
            </w:tcBorders>
            <w:shd w:val="clear" w:color="auto" w:fill="auto"/>
            <w:noWrap/>
            <w:vAlign w:val="center"/>
            <w:hideMark/>
          </w:tcPr>
          <w:p w14:paraId="04F96226" w14:textId="77777777" w:rsidR="00545A71" w:rsidRDefault="00545A71" w:rsidP="007A7372">
            <w:pPr>
              <w:jc w:val="center"/>
              <w:rPr>
                <w:color w:val="000000"/>
                <w:sz w:val="20"/>
                <w:szCs w:val="20"/>
              </w:rPr>
            </w:pPr>
            <w:r>
              <w:rPr>
                <w:color w:val="000000"/>
                <w:sz w:val="20"/>
                <w:szCs w:val="20"/>
              </w:rPr>
              <w:t>-4.56</w:t>
            </w:r>
          </w:p>
        </w:tc>
        <w:tc>
          <w:tcPr>
            <w:tcW w:w="1300" w:type="dxa"/>
            <w:tcBorders>
              <w:top w:val="nil"/>
              <w:left w:val="nil"/>
              <w:bottom w:val="single" w:sz="4" w:space="0" w:color="auto"/>
              <w:right w:val="single" w:sz="4" w:space="0" w:color="auto"/>
            </w:tcBorders>
            <w:shd w:val="clear" w:color="auto" w:fill="auto"/>
            <w:noWrap/>
            <w:vAlign w:val="center"/>
            <w:hideMark/>
          </w:tcPr>
          <w:p w14:paraId="6E36F4F0" w14:textId="77777777" w:rsidR="00545A71" w:rsidRDefault="00545A71" w:rsidP="007A7372">
            <w:pPr>
              <w:jc w:val="center"/>
              <w:rPr>
                <w:color w:val="000000"/>
                <w:sz w:val="20"/>
                <w:szCs w:val="20"/>
              </w:rPr>
            </w:pPr>
            <w:r>
              <w:rPr>
                <w:color w:val="000000"/>
                <w:sz w:val="20"/>
                <w:szCs w:val="20"/>
              </w:rPr>
              <w:t>-26.16</w:t>
            </w:r>
          </w:p>
        </w:tc>
      </w:tr>
      <w:tr w:rsidR="00545A71" w14:paraId="011068B0"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63E0F7E" w14:textId="77777777" w:rsidR="00545A71" w:rsidRDefault="00545A71" w:rsidP="007A7372">
            <w:pPr>
              <w:jc w:val="center"/>
              <w:rPr>
                <w:color w:val="000000"/>
                <w:sz w:val="20"/>
                <w:szCs w:val="20"/>
              </w:rPr>
            </w:pPr>
            <w:r>
              <w:rPr>
                <w:color w:val="000000"/>
                <w:sz w:val="20"/>
                <w:szCs w:val="20"/>
              </w:rPr>
              <w:t>90.64</w:t>
            </w:r>
          </w:p>
        </w:tc>
        <w:tc>
          <w:tcPr>
            <w:tcW w:w="1300" w:type="dxa"/>
            <w:tcBorders>
              <w:top w:val="nil"/>
              <w:left w:val="nil"/>
              <w:bottom w:val="single" w:sz="4" w:space="0" w:color="auto"/>
              <w:right w:val="single" w:sz="4" w:space="0" w:color="auto"/>
            </w:tcBorders>
            <w:shd w:val="clear" w:color="auto" w:fill="auto"/>
            <w:noWrap/>
            <w:vAlign w:val="center"/>
            <w:hideMark/>
          </w:tcPr>
          <w:p w14:paraId="75E53C06" w14:textId="77777777" w:rsidR="00545A71" w:rsidRDefault="00545A71" w:rsidP="007A7372">
            <w:pPr>
              <w:jc w:val="center"/>
              <w:rPr>
                <w:color w:val="000000"/>
                <w:sz w:val="20"/>
                <w:szCs w:val="20"/>
              </w:rPr>
            </w:pPr>
            <w:r>
              <w:rPr>
                <w:color w:val="000000"/>
                <w:sz w:val="20"/>
                <w:szCs w:val="20"/>
              </w:rPr>
              <w:t>23.76</w:t>
            </w:r>
          </w:p>
        </w:tc>
        <w:tc>
          <w:tcPr>
            <w:tcW w:w="1300" w:type="dxa"/>
            <w:tcBorders>
              <w:top w:val="nil"/>
              <w:left w:val="nil"/>
              <w:bottom w:val="single" w:sz="4" w:space="0" w:color="auto"/>
              <w:right w:val="single" w:sz="4" w:space="0" w:color="auto"/>
            </w:tcBorders>
            <w:shd w:val="clear" w:color="auto" w:fill="auto"/>
            <w:noWrap/>
            <w:vAlign w:val="center"/>
            <w:hideMark/>
          </w:tcPr>
          <w:p w14:paraId="763C978E" w14:textId="77777777" w:rsidR="00545A71" w:rsidRDefault="00545A71" w:rsidP="007A7372">
            <w:pPr>
              <w:jc w:val="center"/>
              <w:rPr>
                <w:color w:val="000000"/>
                <w:sz w:val="20"/>
                <w:szCs w:val="20"/>
              </w:rPr>
            </w:pPr>
            <w:r>
              <w:rPr>
                <w:color w:val="000000"/>
                <w:sz w:val="20"/>
                <w:szCs w:val="20"/>
              </w:rPr>
              <w:t>184.62</w:t>
            </w:r>
          </w:p>
        </w:tc>
        <w:tc>
          <w:tcPr>
            <w:tcW w:w="1300" w:type="dxa"/>
            <w:tcBorders>
              <w:top w:val="nil"/>
              <w:left w:val="nil"/>
              <w:bottom w:val="single" w:sz="4" w:space="0" w:color="auto"/>
              <w:right w:val="single" w:sz="4" w:space="0" w:color="auto"/>
            </w:tcBorders>
            <w:shd w:val="clear" w:color="auto" w:fill="auto"/>
            <w:noWrap/>
            <w:vAlign w:val="center"/>
            <w:hideMark/>
          </w:tcPr>
          <w:p w14:paraId="0D8F19A7" w14:textId="77777777" w:rsidR="00545A71" w:rsidRDefault="00545A71" w:rsidP="007A7372">
            <w:pPr>
              <w:jc w:val="center"/>
              <w:rPr>
                <w:color w:val="000000"/>
                <w:sz w:val="20"/>
                <w:szCs w:val="20"/>
              </w:rPr>
            </w:pPr>
            <w:r>
              <w:rPr>
                <w:color w:val="000000"/>
                <w:sz w:val="20"/>
                <w:szCs w:val="20"/>
              </w:rPr>
              <w:t>-4.12</w:t>
            </w:r>
          </w:p>
        </w:tc>
        <w:tc>
          <w:tcPr>
            <w:tcW w:w="1300" w:type="dxa"/>
            <w:tcBorders>
              <w:top w:val="nil"/>
              <w:left w:val="nil"/>
              <w:bottom w:val="single" w:sz="4" w:space="0" w:color="auto"/>
              <w:right w:val="single" w:sz="4" w:space="0" w:color="auto"/>
            </w:tcBorders>
            <w:shd w:val="clear" w:color="auto" w:fill="auto"/>
            <w:noWrap/>
            <w:vAlign w:val="center"/>
            <w:hideMark/>
          </w:tcPr>
          <w:p w14:paraId="45D7C0E8" w14:textId="77777777" w:rsidR="00545A71" w:rsidRDefault="00545A71" w:rsidP="007A7372">
            <w:pPr>
              <w:jc w:val="center"/>
              <w:rPr>
                <w:color w:val="000000"/>
                <w:sz w:val="20"/>
                <w:szCs w:val="20"/>
              </w:rPr>
            </w:pPr>
            <w:r>
              <w:rPr>
                <w:color w:val="000000"/>
                <w:sz w:val="20"/>
                <w:szCs w:val="20"/>
              </w:rPr>
              <w:t>-22.52</w:t>
            </w:r>
          </w:p>
        </w:tc>
      </w:tr>
      <w:tr w:rsidR="00545A71" w14:paraId="735C3E17"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D8CEAB2" w14:textId="77777777" w:rsidR="00545A71" w:rsidRDefault="00545A71" w:rsidP="007A7372">
            <w:pPr>
              <w:jc w:val="center"/>
              <w:rPr>
                <w:color w:val="000000"/>
                <w:sz w:val="20"/>
                <w:szCs w:val="20"/>
              </w:rPr>
            </w:pPr>
            <w:r>
              <w:rPr>
                <w:color w:val="000000"/>
                <w:sz w:val="20"/>
                <w:szCs w:val="20"/>
              </w:rPr>
              <w:t>90.70</w:t>
            </w:r>
          </w:p>
        </w:tc>
        <w:tc>
          <w:tcPr>
            <w:tcW w:w="1300" w:type="dxa"/>
            <w:tcBorders>
              <w:top w:val="nil"/>
              <w:left w:val="nil"/>
              <w:bottom w:val="single" w:sz="4" w:space="0" w:color="auto"/>
              <w:right w:val="single" w:sz="4" w:space="0" w:color="auto"/>
            </w:tcBorders>
            <w:shd w:val="clear" w:color="auto" w:fill="auto"/>
            <w:noWrap/>
            <w:vAlign w:val="center"/>
            <w:hideMark/>
          </w:tcPr>
          <w:p w14:paraId="5214A8CC" w14:textId="77777777" w:rsidR="00545A71" w:rsidRDefault="00545A71" w:rsidP="007A7372">
            <w:pPr>
              <w:jc w:val="center"/>
              <w:rPr>
                <w:color w:val="000000"/>
                <w:sz w:val="20"/>
                <w:szCs w:val="20"/>
              </w:rPr>
            </w:pPr>
            <w:r>
              <w:rPr>
                <w:color w:val="000000"/>
                <w:sz w:val="20"/>
                <w:szCs w:val="20"/>
              </w:rPr>
              <w:t>23.80</w:t>
            </w:r>
          </w:p>
        </w:tc>
        <w:tc>
          <w:tcPr>
            <w:tcW w:w="1300" w:type="dxa"/>
            <w:tcBorders>
              <w:top w:val="nil"/>
              <w:left w:val="nil"/>
              <w:bottom w:val="single" w:sz="4" w:space="0" w:color="auto"/>
              <w:right w:val="single" w:sz="4" w:space="0" w:color="auto"/>
            </w:tcBorders>
            <w:shd w:val="clear" w:color="auto" w:fill="auto"/>
            <w:noWrap/>
            <w:vAlign w:val="center"/>
            <w:hideMark/>
          </w:tcPr>
          <w:p w14:paraId="7D9C8255" w14:textId="77777777" w:rsidR="00545A71" w:rsidRDefault="00545A71" w:rsidP="007A7372">
            <w:pPr>
              <w:jc w:val="center"/>
              <w:rPr>
                <w:color w:val="000000"/>
                <w:sz w:val="20"/>
                <w:szCs w:val="20"/>
              </w:rPr>
            </w:pPr>
            <w:r>
              <w:rPr>
                <w:color w:val="000000"/>
                <w:sz w:val="20"/>
                <w:szCs w:val="20"/>
              </w:rPr>
              <w:t>169.23</w:t>
            </w:r>
          </w:p>
        </w:tc>
        <w:tc>
          <w:tcPr>
            <w:tcW w:w="1300" w:type="dxa"/>
            <w:tcBorders>
              <w:top w:val="nil"/>
              <w:left w:val="nil"/>
              <w:bottom w:val="single" w:sz="4" w:space="0" w:color="auto"/>
              <w:right w:val="single" w:sz="4" w:space="0" w:color="auto"/>
            </w:tcBorders>
            <w:shd w:val="clear" w:color="auto" w:fill="auto"/>
            <w:noWrap/>
            <w:vAlign w:val="center"/>
            <w:hideMark/>
          </w:tcPr>
          <w:p w14:paraId="7840EA1E" w14:textId="77777777" w:rsidR="00545A71" w:rsidRDefault="00545A71" w:rsidP="007A7372">
            <w:pPr>
              <w:jc w:val="center"/>
              <w:rPr>
                <w:color w:val="000000"/>
                <w:sz w:val="20"/>
                <w:szCs w:val="20"/>
              </w:rPr>
            </w:pPr>
            <w:r>
              <w:rPr>
                <w:color w:val="000000"/>
                <w:sz w:val="20"/>
                <w:szCs w:val="20"/>
              </w:rPr>
              <w:t>-5.83</w:t>
            </w:r>
          </w:p>
        </w:tc>
        <w:tc>
          <w:tcPr>
            <w:tcW w:w="1300" w:type="dxa"/>
            <w:tcBorders>
              <w:top w:val="nil"/>
              <w:left w:val="nil"/>
              <w:bottom w:val="single" w:sz="4" w:space="0" w:color="auto"/>
              <w:right w:val="single" w:sz="4" w:space="0" w:color="auto"/>
            </w:tcBorders>
            <w:shd w:val="clear" w:color="auto" w:fill="auto"/>
            <w:noWrap/>
            <w:vAlign w:val="center"/>
            <w:hideMark/>
          </w:tcPr>
          <w:p w14:paraId="6D6268D2" w14:textId="77777777" w:rsidR="00545A71" w:rsidRDefault="00545A71" w:rsidP="007A7372">
            <w:pPr>
              <w:jc w:val="center"/>
              <w:rPr>
                <w:color w:val="000000"/>
                <w:sz w:val="20"/>
                <w:szCs w:val="20"/>
              </w:rPr>
            </w:pPr>
            <w:r>
              <w:rPr>
                <w:color w:val="000000"/>
                <w:sz w:val="20"/>
                <w:szCs w:val="20"/>
              </w:rPr>
              <w:t>-36.75</w:t>
            </w:r>
          </w:p>
        </w:tc>
      </w:tr>
      <w:tr w:rsidR="00545A71" w14:paraId="3A20C9E2"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4C6F7A9" w14:textId="77777777" w:rsidR="00545A71" w:rsidRDefault="00545A71" w:rsidP="007A7372">
            <w:pPr>
              <w:jc w:val="center"/>
              <w:rPr>
                <w:color w:val="000000"/>
                <w:sz w:val="20"/>
                <w:szCs w:val="20"/>
              </w:rPr>
            </w:pPr>
            <w:r>
              <w:rPr>
                <w:color w:val="000000"/>
                <w:sz w:val="20"/>
                <w:szCs w:val="20"/>
              </w:rPr>
              <w:t>90.61</w:t>
            </w:r>
          </w:p>
        </w:tc>
        <w:tc>
          <w:tcPr>
            <w:tcW w:w="1300" w:type="dxa"/>
            <w:tcBorders>
              <w:top w:val="nil"/>
              <w:left w:val="nil"/>
              <w:bottom w:val="single" w:sz="4" w:space="0" w:color="auto"/>
              <w:right w:val="single" w:sz="4" w:space="0" w:color="auto"/>
            </w:tcBorders>
            <w:shd w:val="clear" w:color="auto" w:fill="auto"/>
            <w:noWrap/>
            <w:vAlign w:val="center"/>
            <w:hideMark/>
          </w:tcPr>
          <w:p w14:paraId="5017D93F" w14:textId="77777777" w:rsidR="00545A71" w:rsidRDefault="00545A71" w:rsidP="007A7372">
            <w:pPr>
              <w:jc w:val="center"/>
              <w:rPr>
                <w:color w:val="000000"/>
                <w:sz w:val="20"/>
                <w:szCs w:val="20"/>
              </w:rPr>
            </w:pPr>
            <w:r>
              <w:rPr>
                <w:color w:val="000000"/>
                <w:sz w:val="20"/>
                <w:szCs w:val="20"/>
              </w:rPr>
              <w:t>23.76</w:t>
            </w:r>
          </w:p>
        </w:tc>
        <w:tc>
          <w:tcPr>
            <w:tcW w:w="1300" w:type="dxa"/>
            <w:tcBorders>
              <w:top w:val="nil"/>
              <w:left w:val="nil"/>
              <w:bottom w:val="single" w:sz="4" w:space="0" w:color="auto"/>
              <w:right w:val="single" w:sz="4" w:space="0" w:color="auto"/>
            </w:tcBorders>
            <w:shd w:val="clear" w:color="auto" w:fill="auto"/>
            <w:noWrap/>
            <w:vAlign w:val="center"/>
            <w:hideMark/>
          </w:tcPr>
          <w:p w14:paraId="3DF63156" w14:textId="77777777" w:rsidR="00545A71" w:rsidRDefault="00545A71" w:rsidP="007A7372">
            <w:pPr>
              <w:jc w:val="center"/>
              <w:rPr>
                <w:color w:val="000000"/>
                <w:sz w:val="20"/>
                <w:szCs w:val="20"/>
              </w:rPr>
            </w:pPr>
            <w:r>
              <w:rPr>
                <w:color w:val="000000"/>
                <w:sz w:val="20"/>
                <w:szCs w:val="20"/>
              </w:rPr>
              <w:t>184.62</w:t>
            </w:r>
          </w:p>
        </w:tc>
        <w:tc>
          <w:tcPr>
            <w:tcW w:w="1300" w:type="dxa"/>
            <w:tcBorders>
              <w:top w:val="nil"/>
              <w:left w:val="nil"/>
              <w:bottom w:val="single" w:sz="4" w:space="0" w:color="auto"/>
              <w:right w:val="single" w:sz="4" w:space="0" w:color="auto"/>
            </w:tcBorders>
            <w:shd w:val="clear" w:color="auto" w:fill="auto"/>
            <w:noWrap/>
            <w:vAlign w:val="center"/>
            <w:hideMark/>
          </w:tcPr>
          <w:p w14:paraId="28CF75DA" w14:textId="77777777" w:rsidR="00545A71" w:rsidRDefault="00545A71" w:rsidP="007A7372">
            <w:pPr>
              <w:jc w:val="center"/>
              <w:rPr>
                <w:color w:val="000000"/>
                <w:sz w:val="20"/>
                <w:szCs w:val="20"/>
              </w:rPr>
            </w:pPr>
            <w:r>
              <w:rPr>
                <w:color w:val="000000"/>
                <w:sz w:val="20"/>
                <w:szCs w:val="20"/>
              </w:rPr>
              <w:t>-4.65</w:t>
            </w:r>
          </w:p>
        </w:tc>
        <w:tc>
          <w:tcPr>
            <w:tcW w:w="1300" w:type="dxa"/>
            <w:tcBorders>
              <w:top w:val="nil"/>
              <w:left w:val="nil"/>
              <w:bottom w:val="single" w:sz="4" w:space="0" w:color="auto"/>
              <w:right w:val="single" w:sz="4" w:space="0" w:color="auto"/>
            </w:tcBorders>
            <w:shd w:val="clear" w:color="auto" w:fill="auto"/>
            <w:noWrap/>
            <w:vAlign w:val="center"/>
            <w:hideMark/>
          </w:tcPr>
          <w:p w14:paraId="39E8FC38" w14:textId="77777777" w:rsidR="00545A71" w:rsidRDefault="00545A71" w:rsidP="007A7372">
            <w:pPr>
              <w:jc w:val="center"/>
              <w:rPr>
                <w:color w:val="000000"/>
                <w:sz w:val="20"/>
                <w:szCs w:val="20"/>
              </w:rPr>
            </w:pPr>
            <w:r>
              <w:rPr>
                <w:color w:val="000000"/>
                <w:sz w:val="20"/>
                <w:szCs w:val="20"/>
              </w:rPr>
              <w:t>-27.15</w:t>
            </w:r>
          </w:p>
        </w:tc>
      </w:tr>
      <w:tr w:rsidR="00545A71" w14:paraId="0F64F65F"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6EDBF44" w14:textId="77777777" w:rsidR="00545A71" w:rsidRDefault="00545A71" w:rsidP="007A7372">
            <w:pPr>
              <w:jc w:val="center"/>
              <w:rPr>
                <w:color w:val="000000"/>
                <w:sz w:val="20"/>
                <w:szCs w:val="20"/>
              </w:rPr>
            </w:pPr>
            <w:r>
              <w:rPr>
                <w:color w:val="000000"/>
                <w:sz w:val="20"/>
                <w:szCs w:val="20"/>
              </w:rPr>
              <w:t>90.72</w:t>
            </w:r>
          </w:p>
        </w:tc>
        <w:tc>
          <w:tcPr>
            <w:tcW w:w="1300" w:type="dxa"/>
            <w:tcBorders>
              <w:top w:val="nil"/>
              <w:left w:val="nil"/>
              <w:bottom w:val="single" w:sz="4" w:space="0" w:color="auto"/>
              <w:right w:val="single" w:sz="4" w:space="0" w:color="auto"/>
            </w:tcBorders>
            <w:shd w:val="clear" w:color="auto" w:fill="auto"/>
            <w:noWrap/>
            <w:vAlign w:val="center"/>
            <w:hideMark/>
          </w:tcPr>
          <w:p w14:paraId="39CF5737" w14:textId="77777777" w:rsidR="00545A71" w:rsidRDefault="00545A71" w:rsidP="007A7372">
            <w:pPr>
              <w:jc w:val="center"/>
              <w:rPr>
                <w:color w:val="000000"/>
                <w:sz w:val="20"/>
                <w:szCs w:val="20"/>
              </w:rPr>
            </w:pPr>
            <w:r>
              <w:rPr>
                <w:color w:val="000000"/>
                <w:sz w:val="20"/>
                <w:szCs w:val="20"/>
              </w:rPr>
              <w:t>23.69</w:t>
            </w:r>
          </w:p>
        </w:tc>
        <w:tc>
          <w:tcPr>
            <w:tcW w:w="1300" w:type="dxa"/>
            <w:tcBorders>
              <w:top w:val="nil"/>
              <w:left w:val="nil"/>
              <w:bottom w:val="single" w:sz="4" w:space="0" w:color="auto"/>
              <w:right w:val="single" w:sz="4" w:space="0" w:color="auto"/>
            </w:tcBorders>
            <w:shd w:val="clear" w:color="auto" w:fill="auto"/>
            <w:noWrap/>
            <w:vAlign w:val="center"/>
            <w:hideMark/>
          </w:tcPr>
          <w:p w14:paraId="6251A5B5" w14:textId="77777777" w:rsidR="00545A71" w:rsidRDefault="00545A71" w:rsidP="007A7372">
            <w:pPr>
              <w:jc w:val="center"/>
              <w:rPr>
                <w:color w:val="000000"/>
                <w:sz w:val="20"/>
                <w:szCs w:val="20"/>
              </w:rPr>
            </w:pPr>
            <w:r>
              <w:rPr>
                <w:color w:val="000000"/>
                <w:sz w:val="20"/>
                <w:szCs w:val="20"/>
              </w:rPr>
              <w:t>224.62</w:t>
            </w:r>
          </w:p>
        </w:tc>
        <w:tc>
          <w:tcPr>
            <w:tcW w:w="1300" w:type="dxa"/>
            <w:tcBorders>
              <w:top w:val="nil"/>
              <w:left w:val="nil"/>
              <w:bottom w:val="single" w:sz="4" w:space="0" w:color="auto"/>
              <w:right w:val="single" w:sz="4" w:space="0" w:color="auto"/>
            </w:tcBorders>
            <w:shd w:val="clear" w:color="auto" w:fill="auto"/>
            <w:noWrap/>
            <w:vAlign w:val="center"/>
            <w:hideMark/>
          </w:tcPr>
          <w:p w14:paraId="714EEA97" w14:textId="77777777" w:rsidR="00545A71" w:rsidRDefault="00545A71" w:rsidP="007A7372">
            <w:pPr>
              <w:jc w:val="center"/>
              <w:rPr>
                <w:color w:val="000000"/>
                <w:sz w:val="20"/>
                <w:szCs w:val="20"/>
              </w:rPr>
            </w:pPr>
            <w:r>
              <w:rPr>
                <w:color w:val="000000"/>
                <w:sz w:val="20"/>
                <w:szCs w:val="20"/>
              </w:rPr>
              <w:t>-4.48</w:t>
            </w:r>
          </w:p>
        </w:tc>
        <w:tc>
          <w:tcPr>
            <w:tcW w:w="1300" w:type="dxa"/>
            <w:tcBorders>
              <w:top w:val="nil"/>
              <w:left w:val="nil"/>
              <w:bottom w:val="single" w:sz="4" w:space="0" w:color="auto"/>
              <w:right w:val="single" w:sz="4" w:space="0" w:color="auto"/>
            </w:tcBorders>
            <w:shd w:val="clear" w:color="auto" w:fill="auto"/>
            <w:noWrap/>
            <w:vAlign w:val="center"/>
            <w:hideMark/>
          </w:tcPr>
          <w:p w14:paraId="7B8A9AE3" w14:textId="77777777" w:rsidR="00545A71" w:rsidRDefault="00545A71" w:rsidP="007A7372">
            <w:pPr>
              <w:jc w:val="center"/>
              <w:rPr>
                <w:color w:val="000000"/>
                <w:sz w:val="20"/>
                <w:szCs w:val="20"/>
              </w:rPr>
            </w:pPr>
            <w:r>
              <w:rPr>
                <w:color w:val="000000"/>
                <w:sz w:val="20"/>
                <w:szCs w:val="20"/>
              </w:rPr>
              <w:t>-25.79</w:t>
            </w:r>
          </w:p>
        </w:tc>
      </w:tr>
      <w:tr w:rsidR="00545A71" w14:paraId="7C04514E"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F4C5063" w14:textId="77777777" w:rsidR="00545A71" w:rsidRDefault="00545A71" w:rsidP="007A7372">
            <w:pPr>
              <w:jc w:val="center"/>
              <w:rPr>
                <w:color w:val="000000"/>
                <w:sz w:val="20"/>
                <w:szCs w:val="20"/>
              </w:rPr>
            </w:pPr>
            <w:r>
              <w:rPr>
                <w:color w:val="000000"/>
                <w:sz w:val="20"/>
                <w:szCs w:val="20"/>
              </w:rPr>
              <w:t>90.66</w:t>
            </w:r>
          </w:p>
        </w:tc>
        <w:tc>
          <w:tcPr>
            <w:tcW w:w="1300" w:type="dxa"/>
            <w:tcBorders>
              <w:top w:val="nil"/>
              <w:left w:val="nil"/>
              <w:bottom w:val="single" w:sz="4" w:space="0" w:color="auto"/>
              <w:right w:val="single" w:sz="4" w:space="0" w:color="auto"/>
            </w:tcBorders>
            <w:shd w:val="clear" w:color="auto" w:fill="auto"/>
            <w:noWrap/>
            <w:vAlign w:val="center"/>
            <w:hideMark/>
          </w:tcPr>
          <w:p w14:paraId="1DB4B072"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37E1CE05" w14:textId="77777777" w:rsidR="00545A71" w:rsidRDefault="00545A71" w:rsidP="007A7372">
            <w:pPr>
              <w:jc w:val="center"/>
              <w:rPr>
                <w:color w:val="000000"/>
                <w:sz w:val="20"/>
                <w:szCs w:val="20"/>
              </w:rPr>
            </w:pPr>
            <w:r>
              <w:rPr>
                <w:color w:val="000000"/>
                <w:sz w:val="20"/>
                <w:szCs w:val="20"/>
              </w:rPr>
              <w:t>175.38</w:t>
            </w:r>
          </w:p>
        </w:tc>
        <w:tc>
          <w:tcPr>
            <w:tcW w:w="1300" w:type="dxa"/>
            <w:tcBorders>
              <w:top w:val="nil"/>
              <w:left w:val="nil"/>
              <w:bottom w:val="single" w:sz="4" w:space="0" w:color="auto"/>
              <w:right w:val="single" w:sz="4" w:space="0" w:color="auto"/>
            </w:tcBorders>
            <w:shd w:val="clear" w:color="auto" w:fill="auto"/>
            <w:noWrap/>
            <w:vAlign w:val="center"/>
            <w:hideMark/>
          </w:tcPr>
          <w:p w14:paraId="6CA97007" w14:textId="77777777" w:rsidR="00545A71" w:rsidRDefault="00545A71" w:rsidP="007A7372">
            <w:pPr>
              <w:jc w:val="center"/>
              <w:rPr>
                <w:color w:val="000000"/>
                <w:sz w:val="20"/>
                <w:szCs w:val="20"/>
              </w:rPr>
            </w:pPr>
            <w:r>
              <w:rPr>
                <w:color w:val="000000"/>
                <w:sz w:val="20"/>
                <w:szCs w:val="20"/>
              </w:rPr>
              <w:t>-5.69</w:t>
            </w:r>
          </w:p>
        </w:tc>
        <w:tc>
          <w:tcPr>
            <w:tcW w:w="1300" w:type="dxa"/>
            <w:tcBorders>
              <w:top w:val="nil"/>
              <w:left w:val="nil"/>
              <w:bottom w:val="single" w:sz="4" w:space="0" w:color="auto"/>
              <w:right w:val="single" w:sz="4" w:space="0" w:color="auto"/>
            </w:tcBorders>
            <w:shd w:val="clear" w:color="auto" w:fill="auto"/>
            <w:noWrap/>
            <w:vAlign w:val="center"/>
            <w:hideMark/>
          </w:tcPr>
          <w:p w14:paraId="3B3BB10F" w14:textId="77777777" w:rsidR="00545A71" w:rsidRDefault="00545A71" w:rsidP="007A7372">
            <w:pPr>
              <w:jc w:val="center"/>
              <w:rPr>
                <w:color w:val="000000"/>
                <w:sz w:val="20"/>
                <w:szCs w:val="20"/>
              </w:rPr>
            </w:pPr>
            <w:r>
              <w:rPr>
                <w:color w:val="000000"/>
                <w:sz w:val="20"/>
                <w:szCs w:val="20"/>
              </w:rPr>
              <w:t>-35.42</w:t>
            </w:r>
          </w:p>
        </w:tc>
      </w:tr>
      <w:tr w:rsidR="00545A71" w14:paraId="665EA8F6"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CB01AC4" w14:textId="77777777" w:rsidR="00545A71" w:rsidRDefault="00545A71" w:rsidP="007A7372">
            <w:pPr>
              <w:jc w:val="center"/>
              <w:rPr>
                <w:color w:val="000000"/>
                <w:sz w:val="20"/>
                <w:szCs w:val="20"/>
              </w:rPr>
            </w:pPr>
            <w:r>
              <w:rPr>
                <w:color w:val="000000"/>
                <w:sz w:val="20"/>
                <w:szCs w:val="20"/>
              </w:rPr>
              <w:t>90.62</w:t>
            </w:r>
          </w:p>
        </w:tc>
        <w:tc>
          <w:tcPr>
            <w:tcW w:w="1300" w:type="dxa"/>
            <w:tcBorders>
              <w:top w:val="nil"/>
              <w:left w:val="nil"/>
              <w:bottom w:val="single" w:sz="4" w:space="0" w:color="auto"/>
              <w:right w:val="single" w:sz="4" w:space="0" w:color="auto"/>
            </w:tcBorders>
            <w:shd w:val="clear" w:color="auto" w:fill="auto"/>
            <w:noWrap/>
            <w:vAlign w:val="center"/>
            <w:hideMark/>
          </w:tcPr>
          <w:p w14:paraId="1AFFADBE" w14:textId="77777777" w:rsidR="00545A71" w:rsidRDefault="00545A71" w:rsidP="007A7372">
            <w:pPr>
              <w:jc w:val="center"/>
              <w:rPr>
                <w:color w:val="000000"/>
                <w:sz w:val="20"/>
                <w:szCs w:val="20"/>
              </w:rPr>
            </w:pPr>
            <w:r>
              <w:rPr>
                <w:color w:val="000000"/>
                <w:sz w:val="20"/>
                <w:szCs w:val="20"/>
              </w:rPr>
              <w:t>23.75</w:t>
            </w:r>
          </w:p>
        </w:tc>
        <w:tc>
          <w:tcPr>
            <w:tcW w:w="1300" w:type="dxa"/>
            <w:tcBorders>
              <w:top w:val="nil"/>
              <w:left w:val="nil"/>
              <w:bottom w:val="single" w:sz="4" w:space="0" w:color="auto"/>
              <w:right w:val="single" w:sz="4" w:space="0" w:color="auto"/>
            </w:tcBorders>
            <w:shd w:val="clear" w:color="auto" w:fill="auto"/>
            <w:noWrap/>
            <w:vAlign w:val="center"/>
            <w:hideMark/>
          </w:tcPr>
          <w:p w14:paraId="5DB91203" w14:textId="77777777" w:rsidR="00545A71" w:rsidRDefault="00545A71" w:rsidP="007A7372">
            <w:pPr>
              <w:jc w:val="center"/>
              <w:rPr>
                <w:color w:val="000000"/>
                <w:sz w:val="20"/>
                <w:szCs w:val="20"/>
              </w:rPr>
            </w:pPr>
            <w:r>
              <w:rPr>
                <w:color w:val="000000"/>
                <w:sz w:val="20"/>
                <w:szCs w:val="20"/>
              </w:rPr>
              <w:t>200.00</w:t>
            </w:r>
          </w:p>
        </w:tc>
        <w:tc>
          <w:tcPr>
            <w:tcW w:w="1300" w:type="dxa"/>
            <w:tcBorders>
              <w:top w:val="nil"/>
              <w:left w:val="nil"/>
              <w:bottom w:val="single" w:sz="4" w:space="0" w:color="auto"/>
              <w:right w:val="single" w:sz="4" w:space="0" w:color="auto"/>
            </w:tcBorders>
            <w:shd w:val="clear" w:color="auto" w:fill="auto"/>
            <w:noWrap/>
            <w:vAlign w:val="center"/>
            <w:hideMark/>
          </w:tcPr>
          <w:p w14:paraId="1FF4DB94" w14:textId="77777777" w:rsidR="00545A71" w:rsidRDefault="00545A71" w:rsidP="007A7372">
            <w:pPr>
              <w:jc w:val="center"/>
              <w:rPr>
                <w:color w:val="000000"/>
                <w:sz w:val="20"/>
                <w:szCs w:val="20"/>
              </w:rPr>
            </w:pPr>
            <w:r>
              <w:rPr>
                <w:color w:val="000000"/>
                <w:sz w:val="20"/>
                <w:szCs w:val="20"/>
              </w:rPr>
              <w:t>-4.93</w:t>
            </w:r>
          </w:p>
        </w:tc>
        <w:tc>
          <w:tcPr>
            <w:tcW w:w="1300" w:type="dxa"/>
            <w:tcBorders>
              <w:top w:val="nil"/>
              <w:left w:val="nil"/>
              <w:bottom w:val="single" w:sz="4" w:space="0" w:color="auto"/>
              <w:right w:val="single" w:sz="4" w:space="0" w:color="auto"/>
            </w:tcBorders>
            <w:shd w:val="clear" w:color="auto" w:fill="auto"/>
            <w:noWrap/>
            <w:vAlign w:val="center"/>
            <w:hideMark/>
          </w:tcPr>
          <w:p w14:paraId="0F98721E" w14:textId="77777777" w:rsidR="00545A71" w:rsidRDefault="00545A71" w:rsidP="007A7372">
            <w:pPr>
              <w:jc w:val="center"/>
              <w:rPr>
                <w:color w:val="000000"/>
                <w:sz w:val="20"/>
                <w:szCs w:val="20"/>
              </w:rPr>
            </w:pPr>
            <w:r>
              <w:rPr>
                <w:color w:val="000000"/>
                <w:sz w:val="20"/>
                <w:szCs w:val="20"/>
              </w:rPr>
              <w:t>-29.58</w:t>
            </w:r>
          </w:p>
        </w:tc>
      </w:tr>
      <w:tr w:rsidR="00545A71" w14:paraId="0D9C6793"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884CAD2" w14:textId="77777777" w:rsidR="00545A71" w:rsidRDefault="00545A71" w:rsidP="007A7372">
            <w:pPr>
              <w:jc w:val="center"/>
              <w:rPr>
                <w:color w:val="000000"/>
                <w:sz w:val="20"/>
                <w:szCs w:val="20"/>
              </w:rPr>
            </w:pPr>
            <w:r>
              <w:rPr>
                <w:color w:val="000000"/>
                <w:sz w:val="20"/>
                <w:szCs w:val="20"/>
              </w:rPr>
              <w:t>90.66</w:t>
            </w:r>
          </w:p>
        </w:tc>
        <w:tc>
          <w:tcPr>
            <w:tcW w:w="1300" w:type="dxa"/>
            <w:tcBorders>
              <w:top w:val="nil"/>
              <w:left w:val="nil"/>
              <w:bottom w:val="single" w:sz="4" w:space="0" w:color="auto"/>
              <w:right w:val="single" w:sz="4" w:space="0" w:color="auto"/>
            </w:tcBorders>
            <w:shd w:val="clear" w:color="auto" w:fill="auto"/>
            <w:noWrap/>
            <w:vAlign w:val="center"/>
            <w:hideMark/>
          </w:tcPr>
          <w:p w14:paraId="7965B1E1"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4D65EB8A" w14:textId="77777777" w:rsidR="00545A71" w:rsidRDefault="00545A71" w:rsidP="007A7372">
            <w:pPr>
              <w:jc w:val="center"/>
              <w:rPr>
                <w:color w:val="000000"/>
                <w:sz w:val="20"/>
                <w:szCs w:val="20"/>
              </w:rPr>
            </w:pPr>
            <w:r>
              <w:rPr>
                <w:color w:val="000000"/>
                <w:sz w:val="20"/>
                <w:szCs w:val="20"/>
              </w:rPr>
              <w:t>230.77</w:t>
            </w:r>
          </w:p>
        </w:tc>
        <w:tc>
          <w:tcPr>
            <w:tcW w:w="1300" w:type="dxa"/>
            <w:tcBorders>
              <w:top w:val="nil"/>
              <w:left w:val="nil"/>
              <w:bottom w:val="single" w:sz="4" w:space="0" w:color="auto"/>
              <w:right w:val="single" w:sz="4" w:space="0" w:color="auto"/>
            </w:tcBorders>
            <w:shd w:val="clear" w:color="auto" w:fill="auto"/>
            <w:noWrap/>
            <w:vAlign w:val="center"/>
            <w:hideMark/>
          </w:tcPr>
          <w:p w14:paraId="5A09EF10" w14:textId="77777777" w:rsidR="00545A71" w:rsidRDefault="00545A71" w:rsidP="007A7372">
            <w:pPr>
              <w:jc w:val="center"/>
              <w:rPr>
                <w:color w:val="000000"/>
                <w:sz w:val="20"/>
                <w:szCs w:val="20"/>
              </w:rPr>
            </w:pPr>
            <w:r>
              <w:rPr>
                <w:color w:val="000000"/>
                <w:sz w:val="20"/>
                <w:szCs w:val="20"/>
              </w:rPr>
              <w:t>-5.49</w:t>
            </w:r>
          </w:p>
        </w:tc>
        <w:tc>
          <w:tcPr>
            <w:tcW w:w="1300" w:type="dxa"/>
            <w:tcBorders>
              <w:top w:val="nil"/>
              <w:left w:val="nil"/>
              <w:bottom w:val="single" w:sz="4" w:space="0" w:color="auto"/>
              <w:right w:val="single" w:sz="4" w:space="0" w:color="auto"/>
            </w:tcBorders>
            <w:shd w:val="clear" w:color="auto" w:fill="auto"/>
            <w:noWrap/>
            <w:vAlign w:val="center"/>
            <w:hideMark/>
          </w:tcPr>
          <w:p w14:paraId="4A252229" w14:textId="77777777" w:rsidR="00545A71" w:rsidRDefault="00545A71" w:rsidP="007A7372">
            <w:pPr>
              <w:jc w:val="center"/>
              <w:rPr>
                <w:color w:val="000000"/>
                <w:sz w:val="20"/>
                <w:szCs w:val="20"/>
              </w:rPr>
            </w:pPr>
            <w:r>
              <w:rPr>
                <w:color w:val="000000"/>
                <w:sz w:val="20"/>
                <w:szCs w:val="20"/>
              </w:rPr>
              <w:t>-33.68</w:t>
            </w:r>
          </w:p>
        </w:tc>
      </w:tr>
      <w:tr w:rsidR="00545A71" w14:paraId="23E91131"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43E1C5D" w14:textId="77777777" w:rsidR="00545A71" w:rsidRDefault="00545A71" w:rsidP="007A7372">
            <w:pPr>
              <w:jc w:val="center"/>
              <w:rPr>
                <w:color w:val="000000"/>
                <w:sz w:val="20"/>
                <w:szCs w:val="20"/>
              </w:rPr>
            </w:pPr>
            <w:r>
              <w:rPr>
                <w:color w:val="000000"/>
                <w:sz w:val="20"/>
                <w:szCs w:val="20"/>
              </w:rPr>
              <w:t>90.71</w:t>
            </w:r>
          </w:p>
        </w:tc>
        <w:tc>
          <w:tcPr>
            <w:tcW w:w="1300" w:type="dxa"/>
            <w:tcBorders>
              <w:top w:val="nil"/>
              <w:left w:val="nil"/>
              <w:bottom w:val="single" w:sz="4" w:space="0" w:color="auto"/>
              <w:right w:val="single" w:sz="4" w:space="0" w:color="auto"/>
            </w:tcBorders>
            <w:shd w:val="clear" w:color="auto" w:fill="auto"/>
            <w:noWrap/>
            <w:vAlign w:val="center"/>
            <w:hideMark/>
          </w:tcPr>
          <w:p w14:paraId="1DD2EAD6" w14:textId="77777777" w:rsidR="00545A71" w:rsidRDefault="00545A71" w:rsidP="007A7372">
            <w:pPr>
              <w:jc w:val="center"/>
              <w:rPr>
                <w:color w:val="000000"/>
                <w:sz w:val="20"/>
                <w:szCs w:val="20"/>
              </w:rPr>
            </w:pPr>
            <w:r>
              <w:rPr>
                <w:color w:val="000000"/>
                <w:sz w:val="20"/>
                <w:szCs w:val="20"/>
              </w:rPr>
              <w:t>23.72</w:t>
            </w:r>
          </w:p>
        </w:tc>
        <w:tc>
          <w:tcPr>
            <w:tcW w:w="1300" w:type="dxa"/>
            <w:tcBorders>
              <w:top w:val="nil"/>
              <w:left w:val="nil"/>
              <w:bottom w:val="single" w:sz="4" w:space="0" w:color="auto"/>
              <w:right w:val="single" w:sz="4" w:space="0" w:color="auto"/>
            </w:tcBorders>
            <w:shd w:val="clear" w:color="auto" w:fill="auto"/>
            <w:noWrap/>
            <w:vAlign w:val="center"/>
            <w:hideMark/>
          </w:tcPr>
          <w:p w14:paraId="3F87DF6C"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5A92F73E" w14:textId="77777777" w:rsidR="00545A71" w:rsidRDefault="00545A71" w:rsidP="007A7372">
            <w:pPr>
              <w:jc w:val="center"/>
              <w:rPr>
                <w:color w:val="000000"/>
                <w:sz w:val="20"/>
                <w:szCs w:val="20"/>
              </w:rPr>
            </w:pPr>
            <w:r>
              <w:rPr>
                <w:color w:val="000000"/>
                <w:sz w:val="20"/>
                <w:szCs w:val="20"/>
              </w:rPr>
              <w:t>-5.58</w:t>
            </w:r>
          </w:p>
        </w:tc>
        <w:tc>
          <w:tcPr>
            <w:tcW w:w="1300" w:type="dxa"/>
            <w:tcBorders>
              <w:top w:val="nil"/>
              <w:left w:val="nil"/>
              <w:bottom w:val="single" w:sz="4" w:space="0" w:color="auto"/>
              <w:right w:val="single" w:sz="4" w:space="0" w:color="auto"/>
            </w:tcBorders>
            <w:shd w:val="clear" w:color="auto" w:fill="auto"/>
            <w:noWrap/>
            <w:vAlign w:val="center"/>
            <w:hideMark/>
          </w:tcPr>
          <w:p w14:paraId="5323EA87" w14:textId="77777777" w:rsidR="00545A71" w:rsidRDefault="00545A71" w:rsidP="007A7372">
            <w:pPr>
              <w:jc w:val="center"/>
              <w:rPr>
                <w:color w:val="000000"/>
                <w:sz w:val="20"/>
                <w:szCs w:val="20"/>
              </w:rPr>
            </w:pPr>
            <w:r>
              <w:rPr>
                <w:color w:val="000000"/>
                <w:sz w:val="20"/>
                <w:szCs w:val="20"/>
              </w:rPr>
              <w:t>-34.25</w:t>
            </w:r>
          </w:p>
        </w:tc>
      </w:tr>
      <w:tr w:rsidR="00545A71" w14:paraId="016ED895"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F45379A" w14:textId="77777777" w:rsidR="00545A71" w:rsidRDefault="00545A71" w:rsidP="007A7372">
            <w:pPr>
              <w:jc w:val="center"/>
              <w:rPr>
                <w:color w:val="000000"/>
                <w:sz w:val="20"/>
                <w:szCs w:val="20"/>
              </w:rPr>
            </w:pPr>
            <w:r>
              <w:rPr>
                <w:color w:val="000000"/>
                <w:sz w:val="20"/>
                <w:szCs w:val="20"/>
              </w:rPr>
              <w:t>90.66</w:t>
            </w:r>
          </w:p>
        </w:tc>
        <w:tc>
          <w:tcPr>
            <w:tcW w:w="1300" w:type="dxa"/>
            <w:tcBorders>
              <w:top w:val="nil"/>
              <w:left w:val="nil"/>
              <w:bottom w:val="single" w:sz="4" w:space="0" w:color="auto"/>
              <w:right w:val="single" w:sz="4" w:space="0" w:color="auto"/>
            </w:tcBorders>
            <w:shd w:val="clear" w:color="auto" w:fill="auto"/>
            <w:noWrap/>
            <w:vAlign w:val="center"/>
            <w:hideMark/>
          </w:tcPr>
          <w:p w14:paraId="5D72EEA1"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1D396E9B" w14:textId="77777777" w:rsidR="00545A71" w:rsidRDefault="00545A71" w:rsidP="007A7372">
            <w:pPr>
              <w:jc w:val="center"/>
              <w:rPr>
                <w:color w:val="000000"/>
                <w:sz w:val="20"/>
                <w:szCs w:val="20"/>
              </w:rPr>
            </w:pPr>
            <w:r>
              <w:rPr>
                <w:color w:val="000000"/>
                <w:sz w:val="20"/>
                <w:szCs w:val="20"/>
              </w:rPr>
              <w:t>215.38</w:t>
            </w:r>
          </w:p>
        </w:tc>
        <w:tc>
          <w:tcPr>
            <w:tcW w:w="1300" w:type="dxa"/>
            <w:tcBorders>
              <w:top w:val="nil"/>
              <w:left w:val="nil"/>
              <w:bottom w:val="single" w:sz="4" w:space="0" w:color="auto"/>
              <w:right w:val="single" w:sz="4" w:space="0" w:color="auto"/>
            </w:tcBorders>
            <w:shd w:val="clear" w:color="auto" w:fill="auto"/>
            <w:noWrap/>
            <w:vAlign w:val="center"/>
            <w:hideMark/>
          </w:tcPr>
          <w:p w14:paraId="3F54FB2A" w14:textId="77777777" w:rsidR="00545A71" w:rsidRDefault="00545A71" w:rsidP="007A7372">
            <w:pPr>
              <w:jc w:val="center"/>
              <w:rPr>
                <w:color w:val="000000"/>
                <w:sz w:val="20"/>
                <w:szCs w:val="20"/>
              </w:rPr>
            </w:pPr>
            <w:r>
              <w:rPr>
                <w:color w:val="000000"/>
                <w:sz w:val="20"/>
                <w:szCs w:val="20"/>
              </w:rPr>
              <w:t>-5.86</w:t>
            </w:r>
          </w:p>
        </w:tc>
        <w:tc>
          <w:tcPr>
            <w:tcW w:w="1300" w:type="dxa"/>
            <w:tcBorders>
              <w:top w:val="nil"/>
              <w:left w:val="nil"/>
              <w:bottom w:val="single" w:sz="4" w:space="0" w:color="auto"/>
              <w:right w:val="single" w:sz="4" w:space="0" w:color="auto"/>
            </w:tcBorders>
            <w:shd w:val="clear" w:color="auto" w:fill="auto"/>
            <w:noWrap/>
            <w:vAlign w:val="center"/>
            <w:hideMark/>
          </w:tcPr>
          <w:p w14:paraId="3A343F58" w14:textId="77777777" w:rsidR="00545A71" w:rsidRDefault="00545A71" w:rsidP="007A7372">
            <w:pPr>
              <w:jc w:val="center"/>
              <w:rPr>
                <w:color w:val="000000"/>
                <w:sz w:val="20"/>
                <w:szCs w:val="20"/>
              </w:rPr>
            </w:pPr>
            <w:r>
              <w:rPr>
                <w:color w:val="000000"/>
                <w:sz w:val="20"/>
                <w:szCs w:val="20"/>
              </w:rPr>
              <w:t>-35.73</w:t>
            </w:r>
          </w:p>
        </w:tc>
      </w:tr>
      <w:tr w:rsidR="00545A71" w14:paraId="1ED790F0"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47775CB" w14:textId="77777777" w:rsidR="00545A71" w:rsidRDefault="00545A71" w:rsidP="007A7372">
            <w:pPr>
              <w:jc w:val="center"/>
              <w:rPr>
                <w:color w:val="000000"/>
                <w:sz w:val="20"/>
                <w:szCs w:val="20"/>
              </w:rPr>
            </w:pPr>
            <w:r>
              <w:rPr>
                <w:color w:val="000000"/>
                <w:sz w:val="20"/>
                <w:szCs w:val="20"/>
              </w:rPr>
              <w:t>90.71</w:t>
            </w:r>
          </w:p>
        </w:tc>
        <w:tc>
          <w:tcPr>
            <w:tcW w:w="1300" w:type="dxa"/>
            <w:tcBorders>
              <w:top w:val="nil"/>
              <w:left w:val="nil"/>
              <w:bottom w:val="single" w:sz="4" w:space="0" w:color="auto"/>
              <w:right w:val="single" w:sz="4" w:space="0" w:color="auto"/>
            </w:tcBorders>
            <w:shd w:val="clear" w:color="auto" w:fill="auto"/>
            <w:noWrap/>
            <w:vAlign w:val="center"/>
            <w:hideMark/>
          </w:tcPr>
          <w:p w14:paraId="45EE9FEC" w14:textId="77777777" w:rsidR="00545A71" w:rsidRDefault="00545A71" w:rsidP="007A7372">
            <w:pPr>
              <w:jc w:val="center"/>
              <w:rPr>
                <w:color w:val="000000"/>
                <w:sz w:val="20"/>
                <w:szCs w:val="20"/>
              </w:rPr>
            </w:pPr>
            <w:r>
              <w:rPr>
                <w:color w:val="000000"/>
                <w:sz w:val="20"/>
                <w:szCs w:val="20"/>
              </w:rPr>
              <w:t>23.71</w:t>
            </w:r>
          </w:p>
        </w:tc>
        <w:tc>
          <w:tcPr>
            <w:tcW w:w="1300" w:type="dxa"/>
            <w:tcBorders>
              <w:top w:val="nil"/>
              <w:left w:val="nil"/>
              <w:bottom w:val="single" w:sz="4" w:space="0" w:color="auto"/>
              <w:right w:val="single" w:sz="4" w:space="0" w:color="auto"/>
            </w:tcBorders>
            <w:shd w:val="clear" w:color="auto" w:fill="auto"/>
            <w:noWrap/>
            <w:vAlign w:val="center"/>
            <w:hideMark/>
          </w:tcPr>
          <w:p w14:paraId="6E7A0865" w14:textId="77777777" w:rsidR="00545A71" w:rsidRDefault="00545A71" w:rsidP="007A7372">
            <w:pPr>
              <w:jc w:val="center"/>
              <w:rPr>
                <w:color w:val="000000"/>
                <w:sz w:val="20"/>
                <w:szCs w:val="20"/>
              </w:rPr>
            </w:pPr>
            <w:r>
              <w:rPr>
                <w:color w:val="000000"/>
                <w:sz w:val="20"/>
                <w:szCs w:val="20"/>
              </w:rPr>
              <w:t>184.62</w:t>
            </w:r>
          </w:p>
        </w:tc>
        <w:tc>
          <w:tcPr>
            <w:tcW w:w="1300" w:type="dxa"/>
            <w:tcBorders>
              <w:top w:val="nil"/>
              <w:left w:val="nil"/>
              <w:bottom w:val="single" w:sz="4" w:space="0" w:color="auto"/>
              <w:right w:val="single" w:sz="4" w:space="0" w:color="auto"/>
            </w:tcBorders>
            <w:shd w:val="clear" w:color="auto" w:fill="auto"/>
            <w:noWrap/>
            <w:vAlign w:val="center"/>
            <w:hideMark/>
          </w:tcPr>
          <w:p w14:paraId="5AA1032D" w14:textId="77777777" w:rsidR="00545A71" w:rsidRDefault="00545A71" w:rsidP="007A7372">
            <w:pPr>
              <w:jc w:val="center"/>
              <w:rPr>
                <w:color w:val="000000"/>
                <w:sz w:val="20"/>
                <w:szCs w:val="20"/>
              </w:rPr>
            </w:pPr>
            <w:r>
              <w:rPr>
                <w:color w:val="000000"/>
                <w:sz w:val="20"/>
                <w:szCs w:val="20"/>
              </w:rPr>
              <w:t>-5.01</w:t>
            </w:r>
          </w:p>
        </w:tc>
        <w:tc>
          <w:tcPr>
            <w:tcW w:w="1300" w:type="dxa"/>
            <w:tcBorders>
              <w:top w:val="nil"/>
              <w:left w:val="nil"/>
              <w:bottom w:val="single" w:sz="4" w:space="0" w:color="auto"/>
              <w:right w:val="single" w:sz="4" w:space="0" w:color="auto"/>
            </w:tcBorders>
            <w:shd w:val="clear" w:color="auto" w:fill="auto"/>
            <w:noWrap/>
            <w:vAlign w:val="center"/>
            <w:hideMark/>
          </w:tcPr>
          <w:p w14:paraId="6E03B22E" w14:textId="77777777" w:rsidR="00545A71" w:rsidRDefault="00545A71" w:rsidP="007A7372">
            <w:pPr>
              <w:jc w:val="center"/>
              <w:rPr>
                <w:color w:val="000000"/>
                <w:sz w:val="20"/>
                <w:szCs w:val="20"/>
              </w:rPr>
            </w:pPr>
            <w:r>
              <w:rPr>
                <w:color w:val="000000"/>
                <w:sz w:val="20"/>
                <w:szCs w:val="20"/>
              </w:rPr>
              <w:t>-29.80</w:t>
            </w:r>
          </w:p>
        </w:tc>
      </w:tr>
      <w:tr w:rsidR="00545A71" w14:paraId="168CE715"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EE01556" w14:textId="77777777" w:rsidR="00545A71" w:rsidRDefault="00545A71" w:rsidP="007A7372">
            <w:pPr>
              <w:jc w:val="center"/>
              <w:rPr>
                <w:color w:val="000000"/>
                <w:sz w:val="20"/>
                <w:szCs w:val="20"/>
              </w:rPr>
            </w:pPr>
            <w:r>
              <w:rPr>
                <w:color w:val="000000"/>
                <w:sz w:val="20"/>
                <w:szCs w:val="20"/>
              </w:rPr>
              <w:t>90.64</w:t>
            </w:r>
          </w:p>
        </w:tc>
        <w:tc>
          <w:tcPr>
            <w:tcW w:w="1300" w:type="dxa"/>
            <w:tcBorders>
              <w:top w:val="nil"/>
              <w:left w:val="nil"/>
              <w:bottom w:val="single" w:sz="4" w:space="0" w:color="auto"/>
              <w:right w:val="single" w:sz="4" w:space="0" w:color="auto"/>
            </w:tcBorders>
            <w:shd w:val="clear" w:color="auto" w:fill="auto"/>
            <w:noWrap/>
            <w:vAlign w:val="center"/>
            <w:hideMark/>
          </w:tcPr>
          <w:p w14:paraId="059F6F65" w14:textId="77777777" w:rsidR="00545A71" w:rsidRDefault="00545A71" w:rsidP="007A7372">
            <w:pPr>
              <w:jc w:val="center"/>
              <w:rPr>
                <w:color w:val="000000"/>
                <w:sz w:val="20"/>
                <w:szCs w:val="20"/>
              </w:rPr>
            </w:pPr>
            <w:r>
              <w:rPr>
                <w:color w:val="000000"/>
                <w:sz w:val="20"/>
                <w:szCs w:val="20"/>
              </w:rPr>
              <w:t>23.76</w:t>
            </w:r>
          </w:p>
        </w:tc>
        <w:tc>
          <w:tcPr>
            <w:tcW w:w="1300" w:type="dxa"/>
            <w:tcBorders>
              <w:top w:val="nil"/>
              <w:left w:val="nil"/>
              <w:bottom w:val="single" w:sz="4" w:space="0" w:color="auto"/>
              <w:right w:val="single" w:sz="4" w:space="0" w:color="auto"/>
            </w:tcBorders>
            <w:shd w:val="clear" w:color="auto" w:fill="auto"/>
            <w:noWrap/>
            <w:vAlign w:val="center"/>
            <w:hideMark/>
          </w:tcPr>
          <w:p w14:paraId="50811F6D" w14:textId="77777777" w:rsidR="00545A71" w:rsidRDefault="00545A71" w:rsidP="007A7372">
            <w:pPr>
              <w:jc w:val="center"/>
              <w:rPr>
                <w:color w:val="000000"/>
                <w:sz w:val="20"/>
                <w:szCs w:val="20"/>
              </w:rPr>
            </w:pPr>
            <w:r>
              <w:rPr>
                <w:color w:val="000000"/>
                <w:sz w:val="20"/>
                <w:szCs w:val="20"/>
              </w:rPr>
              <w:t>200.00</w:t>
            </w:r>
          </w:p>
        </w:tc>
        <w:tc>
          <w:tcPr>
            <w:tcW w:w="1300" w:type="dxa"/>
            <w:tcBorders>
              <w:top w:val="nil"/>
              <w:left w:val="nil"/>
              <w:bottom w:val="single" w:sz="4" w:space="0" w:color="auto"/>
              <w:right w:val="single" w:sz="4" w:space="0" w:color="auto"/>
            </w:tcBorders>
            <w:shd w:val="clear" w:color="auto" w:fill="auto"/>
            <w:noWrap/>
            <w:vAlign w:val="center"/>
            <w:hideMark/>
          </w:tcPr>
          <w:p w14:paraId="049F791C" w14:textId="77777777" w:rsidR="00545A71" w:rsidRDefault="00545A71" w:rsidP="007A7372">
            <w:pPr>
              <w:jc w:val="center"/>
              <w:rPr>
                <w:color w:val="000000"/>
                <w:sz w:val="20"/>
                <w:szCs w:val="20"/>
              </w:rPr>
            </w:pPr>
            <w:r>
              <w:rPr>
                <w:color w:val="000000"/>
                <w:sz w:val="20"/>
                <w:szCs w:val="20"/>
              </w:rPr>
              <w:t>-3.62</w:t>
            </w:r>
          </w:p>
        </w:tc>
        <w:tc>
          <w:tcPr>
            <w:tcW w:w="1300" w:type="dxa"/>
            <w:tcBorders>
              <w:top w:val="nil"/>
              <w:left w:val="nil"/>
              <w:bottom w:val="single" w:sz="4" w:space="0" w:color="auto"/>
              <w:right w:val="single" w:sz="4" w:space="0" w:color="auto"/>
            </w:tcBorders>
            <w:shd w:val="clear" w:color="auto" w:fill="auto"/>
            <w:noWrap/>
            <w:vAlign w:val="center"/>
            <w:hideMark/>
          </w:tcPr>
          <w:p w14:paraId="74F5D8D9" w14:textId="77777777" w:rsidR="00545A71" w:rsidRDefault="00545A71" w:rsidP="007A7372">
            <w:pPr>
              <w:jc w:val="center"/>
              <w:rPr>
                <w:color w:val="000000"/>
                <w:sz w:val="20"/>
                <w:szCs w:val="20"/>
              </w:rPr>
            </w:pPr>
            <w:r>
              <w:rPr>
                <w:color w:val="000000"/>
                <w:sz w:val="20"/>
                <w:szCs w:val="20"/>
              </w:rPr>
              <w:t>-17.77</w:t>
            </w:r>
          </w:p>
        </w:tc>
      </w:tr>
      <w:tr w:rsidR="00545A71" w14:paraId="40E8A6AF"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689D9FC" w14:textId="77777777" w:rsidR="00545A71" w:rsidRDefault="00545A71" w:rsidP="007A7372">
            <w:pPr>
              <w:jc w:val="center"/>
              <w:rPr>
                <w:color w:val="000000"/>
                <w:sz w:val="20"/>
                <w:szCs w:val="20"/>
              </w:rPr>
            </w:pPr>
            <w:r>
              <w:rPr>
                <w:color w:val="000000"/>
                <w:sz w:val="20"/>
                <w:szCs w:val="20"/>
              </w:rPr>
              <w:t>90.66</w:t>
            </w:r>
          </w:p>
        </w:tc>
        <w:tc>
          <w:tcPr>
            <w:tcW w:w="1300" w:type="dxa"/>
            <w:tcBorders>
              <w:top w:val="nil"/>
              <w:left w:val="nil"/>
              <w:bottom w:val="single" w:sz="4" w:space="0" w:color="auto"/>
              <w:right w:val="single" w:sz="4" w:space="0" w:color="auto"/>
            </w:tcBorders>
            <w:shd w:val="clear" w:color="auto" w:fill="auto"/>
            <w:noWrap/>
            <w:vAlign w:val="center"/>
            <w:hideMark/>
          </w:tcPr>
          <w:p w14:paraId="617C6BB7"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7D3D3D25" w14:textId="77777777" w:rsidR="00545A71" w:rsidRDefault="00545A71" w:rsidP="007A7372">
            <w:pPr>
              <w:jc w:val="center"/>
              <w:rPr>
                <w:color w:val="000000"/>
                <w:sz w:val="20"/>
                <w:szCs w:val="20"/>
              </w:rPr>
            </w:pPr>
            <w:r>
              <w:rPr>
                <w:color w:val="000000"/>
                <w:sz w:val="20"/>
                <w:szCs w:val="20"/>
              </w:rPr>
              <w:t>200.00</w:t>
            </w:r>
          </w:p>
        </w:tc>
        <w:tc>
          <w:tcPr>
            <w:tcW w:w="1300" w:type="dxa"/>
            <w:tcBorders>
              <w:top w:val="nil"/>
              <w:left w:val="nil"/>
              <w:bottom w:val="single" w:sz="4" w:space="0" w:color="auto"/>
              <w:right w:val="single" w:sz="4" w:space="0" w:color="auto"/>
            </w:tcBorders>
            <w:shd w:val="clear" w:color="auto" w:fill="auto"/>
            <w:noWrap/>
            <w:vAlign w:val="center"/>
            <w:hideMark/>
          </w:tcPr>
          <w:p w14:paraId="315FA356" w14:textId="77777777" w:rsidR="00545A71" w:rsidRDefault="00545A71" w:rsidP="007A7372">
            <w:pPr>
              <w:jc w:val="center"/>
              <w:rPr>
                <w:color w:val="000000"/>
                <w:sz w:val="20"/>
                <w:szCs w:val="20"/>
              </w:rPr>
            </w:pPr>
            <w:r>
              <w:rPr>
                <w:color w:val="000000"/>
                <w:sz w:val="20"/>
                <w:szCs w:val="20"/>
              </w:rPr>
              <w:t>-5.76</w:t>
            </w:r>
          </w:p>
        </w:tc>
        <w:tc>
          <w:tcPr>
            <w:tcW w:w="1300" w:type="dxa"/>
            <w:tcBorders>
              <w:top w:val="nil"/>
              <w:left w:val="nil"/>
              <w:bottom w:val="single" w:sz="4" w:space="0" w:color="auto"/>
              <w:right w:val="single" w:sz="4" w:space="0" w:color="auto"/>
            </w:tcBorders>
            <w:shd w:val="clear" w:color="auto" w:fill="auto"/>
            <w:noWrap/>
            <w:vAlign w:val="center"/>
            <w:hideMark/>
          </w:tcPr>
          <w:p w14:paraId="3D09ED7D" w14:textId="77777777" w:rsidR="00545A71" w:rsidRDefault="00545A71" w:rsidP="007A7372">
            <w:pPr>
              <w:jc w:val="center"/>
              <w:rPr>
                <w:color w:val="000000"/>
                <w:sz w:val="20"/>
                <w:szCs w:val="20"/>
              </w:rPr>
            </w:pPr>
            <w:r>
              <w:rPr>
                <w:color w:val="000000"/>
                <w:sz w:val="20"/>
                <w:szCs w:val="20"/>
              </w:rPr>
              <w:t>-34.95</w:t>
            </w:r>
          </w:p>
        </w:tc>
      </w:tr>
      <w:tr w:rsidR="00545A71" w14:paraId="08303CE6"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84F4BFC" w14:textId="77777777" w:rsidR="00545A71" w:rsidRDefault="00545A71" w:rsidP="007A7372">
            <w:pPr>
              <w:jc w:val="center"/>
              <w:rPr>
                <w:color w:val="000000"/>
                <w:sz w:val="20"/>
                <w:szCs w:val="20"/>
              </w:rPr>
            </w:pPr>
            <w:r>
              <w:rPr>
                <w:color w:val="000000"/>
                <w:sz w:val="20"/>
                <w:szCs w:val="20"/>
              </w:rPr>
              <w:t>90.72</w:t>
            </w:r>
          </w:p>
        </w:tc>
        <w:tc>
          <w:tcPr>
            <w:tcW w:w="1300" w:type="dxa"/>
            <w:tcBorders>
              <w:top w:val="nil"/>
              <w:left w:val="nil"/>
              <w:bottom w:val="single" w:sz="4" w:space="0" w:color="auto"/>
              <w:right w:val="single" w:sz="4" w:space="0" w:color="auto"/>
            </w:tcBorders>
            <w:shd w:val="clear" w:color="auto" w:fill="auto"/>
            <w:noWrap/>
            <w:vAlign w:val="center"/>
            <w:hideMark/>
          </w:tcPr>
          <w:p w14:paraId="5522D62A" w14:textId="77777777" w:rsidR="00545A71" w:rsidRDefault="00545A71" w:rsidP="007A7372">
            <w:pPr>
              <w:jc w:val="center"/>
              <w:rPr>
                <w:color w:val="000000"/>
                <w:sz w:val="20"/>
                <w:szCs w:val="20"/>
              </w:rPr>
            </w:pPr>
            <w:r>
              <w:rPr>
                <w:color w:val="000000"/>
                <w:sz w:val="20"/>
                <w:szCs w:val="20"/>
              </w:rPr>
              <w:t>23.72</w:t>
            </w:r>
          </w:p>
        </w:tc>
        <w:tc>
          <w:tcPr>
            <w:tcW w:w="1300" w:type="dxa"/>
            <w:tcBorders>
              <w:top w:val="nil"/>
              <w:left w:val="nil"/>
              <w:bottom w:val="single" w:sz="4" w:space="0" w:color="auto"/>
              <w:right w:val="single" w:sz="4" w:space="0" w:color="auto"/>
            </w:tcBorders>
            <w:shd w:val="clear" w:color="auto" w:fill="auto"/>
            <w:noWrap/>
            <w:vAlign w:val="center"/>
            <w:hideMark/>
          </w:tcPr>
          <w:p w14:paraId="347EFE5F"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06F158AF" w14:textId="77777777" w:rsidR="00545A71" w:rsidRDefault="00545A71" w:rsidP="007A7372">
            <w:pPr>
              <w:jc w:val="center"/>
              <w:rPr>
                <w:color w:val="000000"/>
                <w:sz w:val="20"/>
                <w:szCs w:val="20"/>
              </w:rPr>
            </w:pPr>
            <w:r>
              <w:rPr>
                <w:color w:val="000000"/>
                <w:sz w:val="20"/>
                <w:szCs w:val="20"/>
              </w:rPr>
              <w:t>-5.46</w:t>
            </w:r>
          </w:p>
        </w:tc>
        <w:tc>
          <w:tcPr>
            <w:tcW w:w="1300" w:type="dxa"/>
            <w:tcBorders>
              <w:top w:val="nil"/>
              <w:left w:val="nil"/>
              <w:bottom w:val="single" w:sz="4" w:space="0" w:color="auto"/>
              <w:right w:val="single" w:sz="4" w:space="0" w:color="auto"/>
            </w:tcBorders>
            <w:shd w:val="clear" w:color="auto" w:fill="auto"/>
            <w:noWrap/>
            <w:vAlign w:val="center"/>
            <w:hideMark/>
          </w:tcPr>
          <w:p w14:paraId="73E3E0B4" w14:textId="77777777" w:rsidR="00545A71" w:rsidRDefault="00545A71" w:rsidP="007A7372">
            <w:pPr>
              <w:jc w:val="center"/>
              <w:rPr>
                <w:color w:val="000000"/>
                <w:sz w:val="20"/>
                <w:szCs w:val="20"/>
              </w:rPr>
            </w:pPr>
            <w:r>
              <w:rPr>
                <w:color w:val="000000"/>
                <w:sz w:val="20"/>
                <w:szCs w:val="20"/>
              </w:rPr>
              <w:t>-32.84</w:t>
            </w:r>
          </w:p>
        </w:tc>
      </w:tr>
      <w:tr w:rsidR="00545A71" w14:paraId="4943CCEF"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D9CFF6C" w14:textId="77777777" w:rsidR="00545A71" w:rsidRDefault="00545A71" w:rsidP="007A7372">
            <w:pPr>
              <w:jc w:val="center"/>
              <w:rPr>
                <w:color w:val="000000"/>
                <w:sz w:val="20"/>
                <w:szCs w:val="20"/>
              </w:rPr>
            </w:pPr>
            <w:r>
              <w:rPr>
                <w:color w:val="000000"/>
                <w:sz w:val="20"/>
                <w:szCs w:val="20"/>
              </w:rPr>
              <w:t>90.67</w:t>
            </w:r>
          </w:p>
        </w:tc>
        <w:tc>
          <w:tcPr>
            <w:tcW w:w="1300" w:type="dxa"/>
            <w:tcBorders>
              <w:top w:val="nil"/>
              <w:left w:val="nil"/>
              <w:bottom w:val="single" w:sz="4" w:space="0" w:color="auto"/>
              <w:right w:val="single" w:sz="4" w:space="0" w:color="auto"/>
            </w:tcBorders>
            <w:shd w:val="clear" w:color="auto" w:fill="auto"/>
            <w:noWrap/>
            <w:vAlign w:val="center"/>
            <w:hideMark/>
          </w:tcPr>
          <w:p w14:paraId="4AFFB118" w14:textId="77777777" w:rsidR="00545A71" w:rsidRDefault="00545A71" w:rsidP="007A7372">
            <w:pPr>
              <w:jc w:val="center"/>
              <w:rPr>
                <w:color w:val="000000"/>
                <w:sz w:val="20"/>
                <w:szCs w:val="20"/>
              </w:rPr>
            </w:pPr>
            <w:r>
              <w:rPr>
                <w:color w:val="000000"/>
                <w:sz w:val="20"/>
                <w:szCs w:val="20"/>
              </w:rPr>
              <w:t>23.77</w:t>
            </w:r>
          </w:p>
        </w:tc>
        <w:tc>
          <w:tcPr>
            <w:tcW w:w="1300" w:type="dxa"/>
            <w:tcBorders>
              <w:top w:val="nil"/>
              <w:left w:val="nil"/>
              <w:bottom w:val="single" w:sz="4" w:space="0" w:color="auto"/>
              <w:right w:val="single" w:sz="4" w:space="0" w:color="auto"/>
            </w:tcBorders>
            <w:shd w:val="clear" w:color="auto" w:fill="auto"/>
            <w:noWrap/>
            <w:vAlign w:val="center"/>
            <w:hideMark/>
          </w:tcPr>
          <w:p w14:paraId="4E39BDE9"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18376578" w14:textId="77777777" w:rsidR="00545A71" w:rsidRDefault="00545A71" w:rsidP="007A7372">
            <w:pPr>
              <w:jc w:val="center"/>
              <w:rPr>
                <w:color w:val="000000"/>
                <w:sz w:val="20"/>
                <w:szCs w:val="20"/>
              </w:rPr>
            </w:pPr>
            <w:r>
              <w:rPr>
                <w:color w:val="000000"/>
                <w:sz w:val="20"/>
                <w:szCs w:val="20"/>
              </w:rPr>
              <w:t>-4.74</w:t>
            </w:r>
          </w:p>
        </w:tc>
        <w:tc>
          <w:tcPr>
            <w:tcW w:w="1300" w:type="dxa"/>
            <w:tcBorders>
              <w:top w:val="nil"/>
              <w:left w:val="nil"/>
              <w:bottom w:val="single" w:sz="4" w:space="0" w:color="auto"/>
              <w:right w:val="single" w:sz="4" w:space="0" w:color="auto"/>
            </w:tcBorders>
            <w:shd w:val="clear" w:color="auto" w:fill="auto"/>
            <w:noWrap/>
            <w:vAlign w:val="center"/>
            <w:hideMark/>
          </w:tcPr>
          <w:p w14:paraId="203C6D8F" w14:textId="77777777" w:rsidR="00545A71" w:rsidRDefault="00545A71" w:rsidP="007A7372">
            <w:pPr>
              <w:jc w:val="center"/>
              <w:rPr>
                <w:color w:val="000000"/>
                <w:sz w:val="20"/>
                <w:szCs w:val="20"/>
              </w:rPr>
            </w:pPr>
            <w:r>
              <w:rPr>
                <w:color w:val="000000"/>
                <w:sz w:val="20"/>
                <w:szCs w:val="20"/>
              </w:rPr>
              <w:t>-27.75</w:t>
            </w:r>
          </w:p>
        </w:tc>
      </w:tr>
      <w:tr w:rsidR="00545A71" w14:paraId="40D59CEF"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919B953" w14:textId="77777777" w:rsidR="00545A71" w:rsidRDefault="00545A71" w:rsidP="007A7372">
            <w:pPr>
              <w:jc w:val="center"/>
              <w:rPr>
                <w:color w:val="000000"/>
                <w:sz w:val="20"/>
                <w:szCs w:val="20"/>
              </w:rPr>
            </w:pPr>
            <w:r>
              <w:rPr>
                <w:color w:val="000000"/>
                <w:sz w:val="20"/>
                <w:szCs w:val="20"/>
              </w:rPr>
              <w:t>90.70</w:t>
            </w:r>
          </w:p>
        </w:tc>
        <w:tc>
          <w:tcPr>
            <w:tcW w:w="1300" w:type="dxa"/>
            <w:tcBorders>
              <w:top w:val="nil"/>
              <w:left w:val="nil"/>
              <w:bottom w:val="single" w:sz="4" w:space="0" w:color="auto"/>
              <w:right w:val="single" w:sz="4" w:space="0" w:color="auto"/>
            </w:tcBorders>
            <w:shd w:val="clear" w:color="auto" w:fill="auto"/>
            <w:noWrap/>
            <w:vAlign w:val="center"/>
            <w:hideMark/>
          </w:tcPr>
          <w:p w14:paraId="7AE79072" w14:textId="77777777" w:rsidR="00545A71" w:rsidRDefault="00545A71" w:rsidP="007A7372">
            <w:pPr>
              <w:jc w:val="center"/>
              <w:rPr>
                <w:color w:val="000000"/>
                <w:sz w:val="20"/>
                <w:szCs w:val="20"/>
              </w:rPr>
            </w:pPr>
            <w:r>
              <w:rPr>
                <w:color w:val="000000"/>
                <w:sz w:val="20"/>
                <w:szCs w:val="20"/>
              </w:rPr>
              <w:t>23.72</w:t>
            </w:r>
          </w:p>
        </w:tc>
        <w:tc>
          <w:tcPr>
            <w:tcW w:w="1300" w:type="dxa"/>
            <w:tcBorders>
              <w:top w:val="nil"/>
              <w:left w:val="nil"/>
              <w:bottom w:val="single" w:sz="4" w:space="0" w:color="auto"/>
              <w:right w:val="single" w:sz="4" w:space="0" w:color="auto"/>
            </w:tcBorders>
            <w:shd w:val="clear" w:color="auto" w:fill="auto"/>
            <w:noWrap/>
            <w:vAlign w:val="center"/>
            <w:hideMark/>
          </w:tcPr>
          <w:p w14:paraId="209D69D1" w14:textId="77777777" w:rsidR="00545A71" w:rsidRDefault="00545A71" w:rsidP="007A7372">
            <w:pPr>
              <w:jc w:val="center"/>
              <w:rPr>
                <w:color w:val="000000"/>
                <w:sz w:val="20"/>
                <w:szCs w:val="20"/>
              </w:rPr>
            </w:pPr>
            <w:r>
              <w:rPr>
                <w:color w:val="000000"/>
                <w:sz w:val="20"/>
                <w:szCs w:val="20"/>
              </w:rPr>
              <w:t>184.62</w:t>
            </w:r>
          </w:p>
        </w:tc>
        <w:tc>
          <w:tcPr>
            <w:tcW w:w="1300" w:type="dxa"/>
            <w:tcBorders>
              <w:top w:val="nil"/>
              <w:left w:val="nil"/>
              <w:bottom w:val="single" w:sz="4" w:space="0" w:color="auto"/>
              <w:right w:val="single" w:sz="4" w:space="0" w:color="auto"/>
            </w:tcBorders>
            <w:shd w:val="clear" w:color="auto" w:fill="auto"/>
            <w:noWrap/>
            <w:vAlign w:val="center"/>
            <w:hideMark/>
          </w:tcPr>
          <w:p w14:paraId="51F128E7" w14:textId="77777777" w:rsidR="00545A71" w:rsidRDefault="00545A71" w:rsidP="007A7372">
            <w:pPr>
              <w:jc w:val="center"/>
              <w:rPr>
                <w:color w:val="000000"/>
                <w:sz w:val="20"/>
                <w:szCs w:val="20"/>
              </w:rPr>
            </w:pPr>
            <w:r>
              <w:rPr>
                <w:color w:val="000000"/>
                <w:sz w:val="20"/>
                <w:szCs w:val="20"/>
              </w:rPr>
              <w:t>-5.60</w:t>
            </w:r>
          </w:p>
        </w:tc>
        <w:tc>
          <w:tcPr>
            <w:tcW w:w="1300" w:type="dxa"/>
            <w:tcBorders>
              <w:top w:val="nil"/>
              <w:left w:val="nil"/>
              <w:bottom w:val="single" w:sz="4" w:space="0" w:color="auto"/>
              <w:right w:val="single" w:sz="4" w:space="0" w:color="auto"/>
            </w:tcBorders>
            <w:shd w:val="clear" w:color="auto" w:fill="auto"/>
            <w:noWrap/>
            <w:vAlign w:val="center"/>
            <w:hideMark/>
          </w:tcPr>
          <w:p w14:paraId="2BBB05AE" w14:textId="77777777" w:rsidR="00545A71" w:rsidRDefault="00545A71" w:rsidP="007A7372">
            <w:pPr>
              <w:jc w:val="center"/>
              <w:rPr>
                <w:color w:val="000000"/>
                <w:sz w:val="20"/>
                <w:szCs w:val="20"/>
              </w:rPr>
            </w:pPr>
            <w:r>
              <w:rPr>
                <w:color w:val="000000"/>
                <w:sz w:val="20"/>
                <w:szCs w:val="20"/>
              </w:rPr>
              <w:t>-34.87</w:t>
            </w:r>
          </w:p>
        </w:tc>
      </w:tr>
      <w:tr w:rsidR="00545A71" w14:paraId="420A633F"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DF2438E" w14:textId="77777777" w:rsidR="00545A71" w:rsidRDefault="00545A71" w:rsidP="007A7372">
            <w:pPr>
              <w:jc w:val="center"/>
              <w:rPr>
                <w:color w:val="000000"/>
                <w:sz w:val="20"/>
                <w:szCs w:val="20"/>
              </w:rPr>
            </w:pPr>
            <w:r>
              <w:rPr>
                <w:color w:val="000000"/>
                <w:sz w:val="20"/>
                <w:szCs w:val="20"/>
              </w:rPr>
              <w:t>90.67</w:t>
            </w:r>
          </w:p>
        </w:tc>
        <w:tc>
          <w:tcPr>
            <w:tcW w:w="1300" w:type="dxa"/>
            <w:tcBorders>
              <w:top w:val="nil"/>
              <w:left w:val="nil"/>
              <w:bottom w:val="single" w:sz="4" w:space="0" w:color="auto"/>
              <w:right w:val="single" w:sz="4" w:space="0" w:color="auto"/>
            </w:tcBorders>
            <w:shd w:val="clear" w:color="auto" w:fill="auto"/>
            <w:noWrap/>
            <w:vAlign w:val="center"/>
            <w:hideMark/>
          </w:tcPr>
          <w:p w14:paraId="32168A69" w14:textId="77777777" w:rsidR="00545A71" w:rsidRDefault="00545A71" w:rsidP="007A7372">
            <w:pPr>
              <w:jc w:val="center"/>
              <w:rPr>
                <w:color w:val="000000"/>
                <w:sz w:val="20"/>
                <w:szCs w:val="20"/>
              </w:rPr>
            </w:pPr>
            <w:r>
              <w:rPr>
                <w:color w:val="000000"/>
                <w:sz w:val="20"/>
                <w:szCs w:val="20"/>
              </w:rPr>
              <w:t>23.78</w:t>
            </w:r>
          </w:p>
        </w:tc>
        <w:tc>
          <w:tcPr>
            <w:tcW w:w="1300" w:type="dxa"/>
            <w:tcBorders>
              <w:top w:val="nil"/>
              <w:left w:val="nil"/>
              <w:bottom w:val="single" w:sz="4" w:space="0" w:color="auto"/>
              <w:right w:val="single" w:sz="4" w:space="0" w:color="auto"/>
            </w:tcBorders>
            <w:shd w:val="clear" w:color="auto" w:fill="auto"/>
            <w:noWrap/>
            <w:vAlign w:val="center"/>
            <w:hideMark/>
          </w:tcPr>
          <w:p w14:paraId="25C8A03C" w14:textId="77777777" w:rsidR="00545A71" w:rsidRDefault="00545A71" w:rsidP="007A7372">
            <w:pPr>
              <w:jc w:val="center"/>
              <w:rPr>
                <w:color w:val="000000"/>
                <w:sz w:val="20"/>
                <w:szCs w:val="20"/>
              </w:rPr>
            </w:pPr>
            <w:r>
              <w:rPr>
                <w:color w:val="000000"/>
                <w:sz w:val="20"/>
                <w:szCs w:val="20"/>
              </w:rPr>
              <w:t>209.23</w:t>
            </w:r>
          </w:p>
        </w:tc>
        <w:tc>
          <w:tcPr>
            <w:tcW w:w="1300" w:type="dxa"/>
            <w:tcBorders>
              <w:top w:val="nil"/>
              <w:left w:val="nil"/>
              <w:bottom w:val="single" w:sz="4" w:space="0" w:color="auto"/>
              <w:right w:val="single" w:sz="4" w:space="0" w:color="auto"/>
            </w:tcBorders>
            <w:shd w:val="clear" w:color="auto" w:fill="auto"/>
            <w:noWrap/>
            <w:vAlign w:val="center"/>
            <w:hideMark/>
          </w:tcPr>
          <w:p w14:paraId="1CB7D938" w14:textId="77777777" w:rsidR="00545A71" w:rsidRDefault="00545A71" w:rsidP="007A7372">
            <w:pPr>
              <w:jc w:val="center"/>
              <w:rPr>
                <w:color w:val="000000"/>
                <w:sz w:val="20"/>
                <w:szCs w:val="20"/>
              </w:rPr>
            </w:pPr>
            <w:r>
              <w:rPr>
                <w:color w:val="000000"/>
                <w:sz w:val="20"/>
                <w:szCs w:val="20"/>
              </w:rPr>
              <w:t>-5.36</w:t>
            </w:r>
          </w:p>
        </w:tc>
        <w:tc>
          <w:tcPr>
            <w:tcW w:w="1300" w:type="dxa"/>
            <w:tcBorders>
              <w:top w:val="nil"/>
              <w:left w:val="nil"/>
              <w:bottom w:val="single" w:sz="4" w:space="0" w:color="auto"/>
              <w:right w:val="single" w:sz="4" w:space="0" w:color="auto"/>
            </w:tcBorders>
            <w:shd w:val="clear" w:color="auto" w:fill="auto"/>
            <w:noWrap/>
            <w:vAlign w:val="center"/>
            <w:hideMark/>
          </w:tcPr>
          <w:p w14:paraId="5414EE64" w14:textId="77777777" w:rsidR="00545A71" w:rsidRDefault="00545A71" w:rsidP="007A7372">
            <w:pPr>
              <w:jc w:val="center"/>
              <w:rPr>
                <w:color w:val="000000"/>
                <w:sz w:val="20"/>
                <w:szCs w:val="20"/>
              </w:rPr>
            </w:pPr>
            <w:r>
              <w:rPr>
                <w:color w:val="000000"/>
                <w:sz w:val="20"/>
                <w:szCs w:val="20"/>
              </w:rPr>
              <w:t>-32.79</w:t>
            </w:r>
          </w:p>
        </w:tc>
      </w:tr>
      <w:tr w:rsidR="00545A71" w14:paraId="680877E3"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38E3776" w14:textId="77777777" w:rsidR="00545A71" w:rsidRDefault="00545A71" w:rsidP="007A7372">
            <w:pPr>
              <w:jc w:val="center"/>
              <w:rPr>
                <w:color w:val="000000"/>
                <w:sz w:val="20"/>
                <w:szCs w:val="20"/>
              </w:rPr>
            </w:pPr>
            <w:r>
              <w:rPr>
                <w:color w:val="000000"/>
                <w:sz w:val="20"/>
                <w:szCs w:val="20"/>
              </w:rPr>
              <w:t>90.66</w:t>
            </w:r>
          </w:p>
        </w:tc>
        <w:tc>
          <w:tcPr>
            <w:tcW w:w="1300" w:type="dxa"/>
            <w:tcBorders>
              <w:top w:val="nil"/>
              <w:left w:val="nil"/>
              <w:bottom w:val="single" w:sz="4" w:space="0" w:color="auto"/>
              <w:right w:val="single" w:sz="4" w:space="0" w:color="auto"/>
            </w:tcBorders>
            <w:shd w:val="clear" w:color="auto" w:fill="auto"/>
            <w:noWrap/>
            <w:vAlign w:val="center"/>
            <w:hideMark/>
          </w:tcPr>
          <w:p w14:paraId="21F27FF6"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6F23CEE4" w14:textId="77777777" w:rsidR="00545A71" w:rsidRDefault="00545A71" w:rsidP="007A7372">
            <w:pPr>
              <w:jc w:val="center"/>
              <w:rPr>
                <w:color w:val="000000"/>
                <w:sz w:val="20"/>
                <w:szCs w:val="20"/>
              </w:rPr>
            </w:pPr>
            <w:r>
              <w:rPr>
                <w:color w:val="000000"/>
                <w:sz w:val="20"/>
                <w:szCs w:val="20"/>
              </w:rPr>
              <w:t>184.62</w:t>
            </w:r>
          </w:p>
        </w:tc>
        <w:tc>
          <w:tcPr>
            <w:tcW w:w="1300" w:type="dxa"/>
            <w:tcBorders>
              <w:top w:val="nil"/>
              <w:left w:val="nil"/>
              <w:bottom w:val="single" w:sz="4" w:space="0" w:color="auto"/>
              <w:right w:val="single" w:sz="4" w:space="0" w:color="auto"/>
            </w:tcBorders>
            <w:shd w:val="clear" w:color="auto" w:fill="auto"/>
            <w:noWrap/>
            <w:vAlign w:val="center"/>
            <w:hideMark/>
          </w:tcPr>
          <w:p w14:paraId="4BC4E874" w14:textId="77777777" w:rsidR="00545A71" w:rsidRDefault="00545A71" w:rsidP="007A7372">
            <w:pPr>
              <w:jc w:val="center"/>
              <w:rPr>
                <w:color w:val="000000"/>
                <w:sz w:val="20"/>
                <w:szCs w:val="20"/>
              </w:rPr>
            </w:pPr>
            <w:r>
              <w:rPr>
                <w:color w:val="000000"/>
                <w:sz w:val="20"/>
                <w:szCs w:val="20"/>
              </w:rPr>
              <w:t>-5.82</w:t>
            </w:r>
          </w:p>
        </w:tc>
        <w:tc>
          <w:tcPr>
            <w:tcW w:w="1300" w:type="dxa"/>
            <w:tcBorders>
              <w:top w:val="nil"/>
              <w:left w:val="nil"/>
              <w:bottom w:val="single" w:sz="4" w:space="0" w:color="auto"/>
              <w:right w:val="single" w:sz="4" w:space="0" w:color="auto"/>
            </w:tcBorders>
            <w:shd w:val="clear" w:color="auto" w:fill="auto"/>
            <w:noWrap/>
            <w:vAlign w:val="center"/>
            <w:hideMark/>
          </w:tcPr>
          <w:p w14:paraId="5C168C12" w14:textId="77777777" w:rsidR="00545A71" w:rsidRDefault="00545A71" w:rsidP="007A7372">
            <w:pPr>
              <w:jc w:val="center"/>
              <w:rPr>
                <w:color w:val="000000"/>
                <w:sz w:val="20"/>
                <w:szCs w:val="20"/>
              </w:rPr>
            </w:pPr>
            <w:r>
              <w:rPr>
                <w:color w:val="000000"/>
                <w:sz w:val="20"/>
                <w:szCs w:val="20"/>
              </w:rPr>
              <w:t>-36.38</w:t>
            </w:r>
          </w:p>
        </w:tc>
      </w:tr>
      <w:tr w:rsidR="00545A71" w14:paraId="35A069B1"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7EC2824" w14:textId="77777777" w:rsidR="00545A71" w:rsidRDefault="00545A71" w:rsidP="007A7372">
            <w:pPr>
              <w:jc w:val="center"/>
              <w:rPr>
                <w:color w:val="000000"/>
                <w:sz w:val="20"/>
                <w:szCs w:val="20"/>
              </w:rPr>
            </w:pPr>
            <w:r>
              <w:rPr>
                <w:color w:val="000000"/>
                <w:sz w:val="20"/>
                <w:szCs w:val="20"/>
              </w:rPr>
              <w:t>90.66</w:t>
            </w:r>
          </w:p>
        </w:tc>
        <w:tc>
          <w:tcPr>
            <w:tcW w:w="1300" w:type="dxa"/>
            <w:tcBorders>
              <w:top w:val="nil"/>
              <w:left w:val="nil"/>
              <w:bottom w:val="single" w:sz="4" w:space="0" w:color="auto"/>
              <w:right w:val="single" w:sz="4" w:space="0" w:color="auto"/>
            </w:tcBorders>
            <w:shd w:val="clear" w:color="auto" w:fill="auto"/>
            <w:noWrap/>
            <w:vAlign w:val="center"/>
            <w:hideMark/>
          </w:tcPr>
          <w:p w14:paraId="29CCBD67" w14:textId="77777777" w:rsidR="00545A71" w:rsidRDefault="00545A71" w:rsidP="007A7372">
            <w:pPr>
              <w:jc w:val="center"/>
              <w:rPr>
                <w:color w:val="000000"/>
                <w:sz w:val="20"/>
                <w:szCs w:val="20"/>
              </w:rPr>
            </w:pPr>
            <w:r>
              <w:rPr>
                <w:color w:val="000000"/>
                <w:sz w:val="20"/>
                <w:szCs w:val="20"/>
              </w:rPr>
              <w:t>23.79</w:t>
            </w:r>
          </w:p>
        </w:tc>
        <w:tc>
          <w:tcPr>
            <w:tcW w:w="1300" w:type="dxa"/>
            <w:tcBorders>
              <w:top w:val="nil"/>
              <w:left w:val="nil"/>
              <w:bottom w:val="single" w:sz="4" w:space="0" w:color="auto"/>
              <w:right w:val="single" w:sz="4" w:space="0" w:color="auto"/>
            </w:tcBorders>
            <w:shd w:val="clear" w:color="auto" w:fill="auto"/>
            <w:noWrap/>
            <w:vAlign w:val="center"/>
            <w:hideMark/>
          </w:tcPr>
          <w:p w14:paraId="2E8AE778" w14:textId="77777777" w:rsidR="00545A71" w:rsidRDefault="00545A71" w:rsidP="007A7372">
            <w:pPr>
              <w:jc w:val="center"/>
              <w:rPr>
                <w:color w:val="000000"/>
                <w:sz w:val="20"/>
                <w:szCs w:val="20"/>
              </w:rPr>
            </w:pPr>
            <w:r>
              <w:rPr>
                <w:color w:val="000000"/>
                <w:sz w:val="20"/>
                <w:szCs w:val="20"/>
              </w:rPr>
              <w:t>246.15</w:t>
            </w:r>
          </w:p>
        </w:tc>
        <w:tc>
          <w:tcPr>
            <w:tcW w:w="1300" w:type="dxa"/>
            <w:tcBorders>
              <w:top w:val="nil"/>
              <w:left w:val="nil"/>
              <w:bottom w:val="single" w:sz="4" w:space="0" w:color="auto"/>
              <w:right w:val="single" w:sz="4" w:space="0" w:color="auto"/>
            </w:tcBorders>
            <w:shd w:val="clear" w:color="auto" w:fill="auto"/>
            <w:noWrap/>
            <w:vAlign w:val="center"/>
            <w:hideMark/>
          </w:tcPr>
          <w:p w14:paraId="21DEB246" w14:textId="77777777" w:rsidR="00545A71" w:rsidRDefault="00545A71" w:rsidP="007A7372">
            <w:pPr>
              <w:jc w:val="center"/>
              <w:rPr>
                <w:color w:val="000000"/>
                <w:sz w:val="20"/>
                <w:szCs w:val="20"/>
              </w:rPr>
            </w:pPr>
            <w:r>
              <w:rPr>
                <w:color w:val="000000"/>
                <w:sz w:val="20"/>
                <w:szCs w:val="20"/>
              </w:rPr>
              <w:t>-5.69</w:t>
            </w:r>
          </w:p>
        </w:tc>
        <w:tc>
          <w:tcPr>
            <w:tcW w:w="1300" w:type="dxa"/>
            <w:tcBorders>
              <w:top w:val="nil"/>
              <w:left w:val="nil"/>
              <w:bottom w:val="single" w:sz="4" w:space="0" w:color="auto"/>
              <w:right w:val="single" w:sz="4" w:space="0" w:color="auto"/>
            </w:tcBorders>
            <w:shd w:val="clear" w:color="auto" w:fill="auto"/>
            <w:noWrap/>
            <w:vAlign w:val="center"/>
            <w:hideMark/>
          </w:tcPr>
          <w:p w14:paraId="7769EC70" w14:textId="77777777" w:rsidR="00545A71" w:rsidRDefault="00545A71" w:rsidP="007A7372">
            <w:pPr>
              <w:jc w:val="center"/>
              <w:rPr>
                <w:color w:val="000000"/>
                <w:sz w:val="20"/>
                <w:szCs w:val="20"/>
              </w:rPr>
            </w:pPr>
            <w:r>
              <w:rPr>
                <w:color w:val="000000"/>
                <w:sz w:val="20"/>
                <w:szCs w:val="20"/>
              </w:rPr>
              <w:t>-35.37</w:t>
            </w:r>
          </w:p>
        </w:tc>
      </w:tr>
      <w:tr w:rsidR="00545A71" w14:paraId="0880CA72"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6037F71" w14:textId="77777777" w:rsidR="00545A71" w:rsidRDefault="00545A71" w:rsidP="007A7372">
            <w:pPr>
              <w:jc w:val="center"/>
              <w:rPr>
                <w:color w:val="000000"/>
                <w:sz w:val="20"/>
                <w:szCs w:val="20"/>
              </w:rPr>
            </w:pPr>
            <w:r>
              <w:rPr>
                <w:color w:val="000000"/>
                <w:sz w:val="20"/>
                <w:szCs w:val="20"/>
              </w:rPr>
              <w:t>90.71</w:t>
            </w:r>
          </w:p>
        </w:tc>
        <w:tc>
          <w:tcPr>
            <w:tcW w:w="1300" w:type="dxa"/>
            <w:tcBorders>
              <w:top w:val="nil"/>
              <w:left w:val="nil"/>
              <w:bottom w:val="single" w:sz="4" w:space="0" w:color="auto"/>
              <w:right w:val="single" w:sz="4" w:space="0" w:color="auto"/>
            </w:tcBorders>
            <w:shd w:val="clear" w:color="auto" w:fill="auto"/>
            <w:noWrap/>
            <w:vAlign w:val="center"/>
            <w:hideMark/>
          </w:tcPr>
          <w:p w14:paraId="2F3D1195" w14:textId="77777777" w:rsidR="00545A71" w:rsidRDefault="00545A71" w:rsidP="007A7372">
            <w:pPr>
              <w:jc w:val="center"/>
              <w:rPr>
                <w:color w:val="000000"/>
                <w:sz w:val="20"/>
                <w:szCs w:val="20"/>
              </w:rPr>
            </w:pPr>
            <w:r>
              <w:rPr>
                <w:color w:val="000000"/>
                <w:sz w:val="20"/>
                <w:szCs w:val="20"/>
              </w:rPr>
              <w:t>23.70</w:t>
            </w:r>
          </w:p>
        </w:tc>
        <w:tc>
          <w:tcPr>
            <w:tcW w:w="1300" w:type="dxa"/>
            <w:tcBorders>
              <w:top w:val="nil"/>
              <w:left w:val="nil"/>
              <w:bottom w:val="single" w:sz="4" w:space="0" w:color="auto"/>
              <w:right w:val="single" w:sz="4" w:space="0" w:color="auto"/>
            </w:tcBorders>
            <w:shd w:val="clear" w:color="auto" w:fill="auto"/>
            <w:noWrap/>
            <w:vAlign w:val="center"/>
            <w:hideMark/>
          </w:tcPr>
          <w:p w14:paraId="54D83A73" w14:textId="77777777" w:rsidR="00545A71" w:rsidRDefault="00545A71" w:rsidP="007A7372">
            <w:pPr>
              <w:jc w:val="center"/>
              <w:rPr>
                <w:color w:val="000000"/>
                <w:sz w:val="20"/>
                <w:szCs w:val="20"/>
              </w:rPr>
            </w:pPr>
            <w:r>
              <w:rPr>
                <w:color w:val="000000"/>
                <w:sz w:val="20"/>
                <w:szCs w:val="20"/>
              </w:rPr>
              <w:t>307.38</w:t>
            </w:r>
          </w:p>
        </w:tc>
        <w:tc>
          <w:tcPr>
            <w:tcW w:w="1300" w:type="dxa"/>
            <w:tcBorders>
              <w:top w:val="nil"/>
              <w:left w:val="nil"/>
              <w:bottom w:val="single" w:sz="4" w:space="0" w:color="auto"/>
              <w:right w:val="single" w:sz="4" w:space="0" w:color="auto"/>
            </w:tcBorders>
            <w:shd w:val="clear" w:color="auto" w:fill="auto"/>
            <w:noWrap/>
            <w:vAlign w:val="center"/>
            <w:hideMark/>
          </w:tcPr>
          <w:p w14:paraId="064725E6" w14:textId="77777777" w:rsidR="00545A71" w:rsidRDefault="00545A71" w:rsidP="007A7372">
            <w:pPr>
              <w:jc w:val="center"/>
              <w:rPr>
                <w:color w:val="000000"/>
                <w:sz w:val="20"/>
                <w:szCs w:val="20"/>
              </w:rPr>
            </w:pPr>
            <w:r>
              <w:rPr>
                <w:color w:val="000000"/>
                <w:sz w:val="20"/>
                <w:szCs w:val="20"/>
              </w:rPr>
              <w:t>-4.84</w:t>
            </w:r>
          </w:p>
        </w:tc>
        <w:tc>
          <w:tcPr>
            <w:tcW w:w="1300" w:type="dxa"/>
            <w:tcBorders>
              <w:top w:val="nil"/>
              <w:left w:val="nil"/>
              <w:bottom w:val="single" w:sz="4" w:space="0" w:color="auto"/>
              <w:right w:val="single" w:sz="4" w:space="0" w:color="auto"/>
            </w:tcBorders>
            <w:shd w:val="clear" w:color="auto" w:fill="auto"/>
            <w:noWrap/>
            <w:vAlign w:val="center"/>
            <w:hideMark/>
          </w:tcPr>
          <w:p w14:paraId="72858D0B" w14:textId="77777777" w:rsidR="00545A71" w:rsidRDefault="00545A71" w:rsidP="007A7372">
            <w:pPr>
              <w:jc w:val="center"/>
              <w:rPr>
                <w:color w:val="000000"/>
                <w:sz w:val="20"/>
                <w:szCs w:val="20"/>
              </w:rPr>
            </w:pPr>
            <w:r>
              <w:rPr>
                <w:color w:val="000000"/>
                <w:sz w:val="20"/>
                <w:szCs w:val="20"/>
              </w:rPr>
              <w:t>-28.32</w:t>
            </w:r>
          </w:p>
        </w:tc>
      </w:tr>
      <w:tr w:rsidR="00545A71" w14:paraId="3299DF41"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FE33D2C" w14:textId="77777777" w:rsidR="00545A71" w:rsidRDefault="00545A71" w:rsidP="007A7372">
            <w:pPr>
              <w:jc w:val="center"/>
              <w:rPr>
                <w:color w:val="000000"/>
                <w:sz w:val="20"/>
                <w:szCs w:val="20"/>
              </w:rPr>
            </w:pPr>
            <w:r>
              <w:rPr>
                <w:color w:val="000000"/>
                <w:sz w:val="20"/>
                <w:szCs w:val="20"/>
              </w:rPr>
              <w:t>90.72</w:t>
            </w:r>
          </w:p>
        </w:tc>
        <w:tc>
          <w:tcPr>
            <w:tcW w:w="1300" w:type="dxa"/>
            <w:tcBorders>
              <w:top w:val="nil"/>
              <w:left w:val="nil"/>
              <w:bottom w:val="single" w:sz="4" w:space="0" w:color="auto"/>
              <w:right w:val="single" w:sz="4" w:space="0" w:color="auto"/>
            </w:tcBorders>
            <w:shd w:val="clear" w:color="auto" w:fill="auto"/>
            <w:noWrap/>
            <w:vAlign w:val="center"/>
            <w:hideMark/>
          </w:tcPr>
          <w:p w14:paraId="5BAE9EF1" w14:textId="77777777" w:rsidR="00545A71" w:rsidRDefault="00545A71" w:rsidP="007A7372">
            <w:pPr>
              <w:jc w:val="center"/>
              <w:rPr>
                <w:color w:val="000000"/>
                <w:sz w:val="20"/>
                <w:szCs w:val="20"/>
              </w:rPr>
            </w:pPr>
            <w:r>
              <w:rPr>
                <w:color w:val="000000"/>
                <w:sz w:val="20"/>
                <w:szCs w:val="20"/>
              </w:rPr>
              <w:t>23.71</w:t>
            </w:r>
          </w:p>
        </w:tc>
        <w:tc>
          <w:tcPr>
            <w:tcW w:w="1300" w:type="dxa"/>
            <w:tcBorders>
              <w:top w:val="nil"/>
              <w:left w:val="nil"/>
              <w:bottom w:val="single" w:sz="4" w:space="0" w:color="auto"/>
              <w:right w:val="single" w:sz="4" w:space="0" w:color="auto"/>
            </w:tcBorders>
            <w:shd w:val="clear" w:color="auto" w:fill="auto"/>
            <w:noWrap/>
            <w:vAlign w:val="center"/>
            <w:hideMark/>
          </w:tcPr>
          <w:p w14:paraId="55147B36" w14:textId="77777777" w:rsidR="00545A71" w:rsidRDefault="00545A71" w:rsidP="007A7372">
            <w:pPr>
              <w:jc w:val="center"/>
              <w:rPr>
                <w:color w:val="000000"/>
                <w:sz w:val="20"/>
                <w:szCs w:val="20"/>
              </w:rPr>
            </w:pPr>
            <w:r>
              <w:rPr>
                <w:color w:val="000000"/>
                <w:sz w:val="20"/>
                <w:szCs w:val="20"/>
              </w:rPr>
              <w:t>307.38</w:t>
            </w:r>
          </w:p>
        </w:tc>
        <w:tc>
          <w:tcPr>
            <w:tcW w:w="1300" w:type="dxa"/>
            <w:tcBorders>
              <w:top w:val="nil"/>
              <w:left w:val="nil"/>
              <w:bottom w:val="single" w:sz="4" w:space="0" w:color="auto"/>
              <w:right w:val="single" w:sz="4" w:space="0" w:color="auto"/>
            </w:tcBorders>
            <w:shd w:val="clear" w:color="auto" w:fill="auto"/>
            <w:noWrap/>
            <w:vAlign w:val="center"/>
            <w:hideMark/>
          </w:tcPr>
          <w:p w14:paraId="0DC7A388" w14:textId="77777777" w:rsidR="00545A71" w:rsidRDefault="00545A71" w:rsidP="007A7372">
            <w:pPr>
              <w:jc w:val="center"/>
              <w:rPr>
                <w:color w:val="000000"/>
                <w:sz w:val="20"/>
                <w:szCs w:val="20"/>
              </w:rPr>
            </w:pPr>
            <w:r>
              <w:rPr>
                <w:color w:val="000000"/>
                <w:sz w:val="20"/>
                <w:szCs w:val="20"/>
              </w:rPr>
              <w:t>-5.24</w:t>
            </w:r>
          </w:p>
        </w:tc>
        <w:tc>
          <w:tcPr>
            <w:tcW w:w="1300" w:type="dxa"/>
            <w:tcBorders>
              <w:top w:val="nil"/>
              <w:left w:val="nil"/>
              <w:bottom w:val="single" w:sz="4" w:space="0" w:color="auto"/>
              <w:right w:val="single" w:sz="4" w:space="0" w:color="auto"/>
            </w:tcBorders>
            <w:shd w:val="clear" w:color="auto" w:fill="auto"/>
            <w:noWrap/>
            <w:vAlign w:val="center"/>
            <w:hideMark/>
          </w:tcPr>
          <w:p w14:paraId="3ED954E0" w14:textId="77777777" w:rsidR="00545A71" w:rsidRDefault="00545A71" w:rsidP="007A7372">
            <w:pPr>
              <w:jc w:val="center"/>
              <w:rPr>
                <w:color w:val="000000"/>
                <w:sz w:val="20"/>
                <w:szCs w:val="20"/>
              </w:rPr>
            </w:pPr>
            <w:r>
              <w:rPr>
                <w:color w:val="000000"/>
                <w:sz w:val="20"/>
                <w:szCs w:val="20"/>
              </w:rPr>
              <w:t>-31.68</w:t>
            </w:r>
          </w:p>
        </w:tc>
      </w:tr>
      <w:tr w:rsidR="00545A71" w14:paraId="65F9AC03" w14:textId="77777777" w:rsidTr="007A7372">
        <w:trPr>
          <w:trHeight w:val="32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4169E33" w14:textId="77777777" w:rsidR="00545A71" w:rsidRDefault="00545A71" w:rsidP="007A7372">
            <w:pPr>
              <w:jc w:val="center"/>
              <w:rPr>
                <w:color w:val="000000"/>
                <w:sz w:val="20"/>
                <w:szCs w:val="20"/>
              </w:rPr>
            </w:pPr>
            <w:r>
              <w:rPr>
                <w:color w:val="000000"/>
                <w:sz w:val="20"/>
                <w:szCs w:val="20"/>
              </w:rPr>
              <w:t>90.64</w:t>
            </w:r>
          </w:p>
        </w:tc>
        <w:tc>
          <w:tcPr>
            <w:tcW w:w="1300" w:type="dxa"/>
            <w:tcBorders>
              <w:top w:val="nil"/>
              <w:left w:val="nil"/>
              <w:bottom w:val="single" w:sz="4" w:space="0" w:color="auto"/>
              <w:right w:val="single" w:sz="4" w:space="0" w:color="auto"/>
            </w:tcBorders>
            <w:shd w:val="clear" w:color="auto" w:fill="auto"/>
            <w:noWrap/>
            <w:vAlign w:val="center"/>
            <w:hideMark/>
          </w:tcPr>
          <w:p w14:paraId="02BFDF5A" w14:textId="77777777" w:rsidR="00545A71" w:rsidRDefault="00545A71" w:rsidP="007A7372">
            <w:pPr>
              <w:jc w:val="center"/>
              <w:rPr>
                <w:color w:val="000000"/>
                <w:sz w:val="20"/>
                <w:szCs w:val="20"/>
              </w:rPr>
            </w:pPr>
            <w:r>
              <w:rPr>
                <w:color w:val="000000"/>
                <w:sz w:val="20"/>
                <w:szCs w:val="20"/>
              </w:rPr>
              <w:t>23.76</w:t>
            </w:r>
          </w:p>
        </w:tc>
        <w:tc>
          <w:tcPr>
            <w:tcW w:w="1300" w:type="dxa"/>
            <w:tcBorders>
              <w:top w:val="nil"/>
              <w:left w:val="nil"/>
              <w:bottom w:val="single" w:sz="4" w:space="0" w:color="auto"/>
              <w:right w:val="single" w:sz="4" w:space="0" w:color="auto"/>
            </w:tcBorders>
            <w:shd w:val="clear" w:color="auto" w:fill="auto"/>
            <w:noWrap/>
            <w:vAlign w:val="center"/>
            <w:hideMark/>
          </w:tcPr>
          <w:p w14:paraId="15E8247D" w14:textId="77777777" w:rsidR="00545A71" w:rsidRDefault="00545A71" w:rsidP="007A7372">
            <w:pPr>
              <w:jc w:val="center"/>
              <w:rPr>
                <w:color w:val="000000"/>
                <w:sz w:val="20"/>
                <w:szCs w:val="20"/>
              </w:rPr>
            </w:pPr>
            <w:r>
              <w:rPr>
                <w:color w:val="000000"/>
                <w:sz w:val="20"/>
                <w:szCs w:val="20"/>
              </w:rPr>
              <w:t>215.38</w:t>
            </w:r>
          </w:p>
        </w:tc>
        <w:tc>
          <w:tcPr>
            <w:tcW w:w="1300" w:type="dxa"/>
            <w:tcBorders>
              <w:top w:val="nil"/>
              <w:left w:val="nil"/>
              <w:bottom w:val="single" w:sz="4" w:space="0" w:color="auto"/>
              <w:right w:val="single" w:sz="4" w:space="0" w:color="auto"/>
            </w:tcBorders>
            <w:shd w:val="clear" w:color="auto" w:fill="auto"/>
            <w:noWrap/>
            <w:vAlign w:val="center"/>
            <w:hideMark/>
          </w:tcPr>
          <w:p w14:paraId="05CC8A03" w14:textId="77777777" w:rsidR="00545A71" w:rsidRDefault="00545A71" w:rsidP="007A7372">
            <w:pPr>
              <w:jc w:val="center"/>
              <w:rPr>
                <w:color w:val="000000"/>
                <w:sz w:val="20"/>
                <w:szCs w:val="20"/>
              </w:rPr>
            </w:pPr>
            <w:r>
              <w:rPr>
                <w:color w:val="000000"/>
                <w:sz w:val="20"/>
                <w:szCs w:val="20"/>
              </w:rPr>
              <w:t>-4.35</w:t>
            </w:r>
          </w:p>
        </w:tc>
        <w:tc>
          <w:tcPr>
            <w:tcW w:w="1300" w:type="dxa"/>
            <w:tcBorders>
              <w:top w:val="nil"/>
              <w:left w:val="nil"/>
              <w:bottom w:val="single" w:sz="4" w:space="0" w:color="auto"/>
              <w:right w:val="single" w:sz="4" w:space="0" w:color="auto"/>
            </w:tcBorders>
            <w:shd w:val="clear" w:color="auto" w:fill="auto"/>
            <w:noWrap/>
            <w:vAlign w:val="center"/>
            <w:hideMark/>
          </w:tcPr>
          <w:p w14:paraId="12D73ADB" w14:textId="77777777" w:rsidR="00545A71" w:rsidRDefault="00545A71" w:rsidP="007A7372">
            <w:pPr>
              <w:jc w:val="center"/>
              <w:rPr>
                <w:color w:val="000000"/>
                <w:sz w:val="20"/>
                <w:szCs w:val="20"/>
              </w:rPr>
            </w:pPr>
            <w:r>
              <w:rPr>
                <w:color w:val="000000"/>
                <w:sz w:val="20"/>
                <w:szCs w:val="20"/>
              </w:rPr>
              <w:t>-24.42</w:t>
            </w:r>
          </w:p>
        </w:tc>
      </w:tr>
    </w:tbl>
    <w:p w14:paraId="3648E1BB" w14:textId="77777777" w:rsidR="00545A71" w:rsidRDefault="00545A71" w:rsidP="00545A71"/>
    <w:p w14:paraId="25089954" w14:textId="77777777" w:rsidR="00545A71" w:rsidRDefault="00545A71" w:rsidP="00545A71">
      <w:r>
        <w:br w:type="page"/>
      </w:r>
    </w:p>
    <w:p w14:paraId="55EEEF8D" w14:textId="77777777" w:rsidR="00545A71" w:rsidRPr="000D54C7" w:rsidRDefault="00545A71" w:rsidP="00545A71">
      <w:pPr>
        <w:rPr>
          <w:b/>
          <w:bCs/>
          <w:sz w:val="28"/>
          <w:szCs w:val="28"/>
        </w:rPr>
      </w:pPr>
      <w:r w:rsidRPr="000D54C7">
        <w:rPr>
          <w:b/>
          <w:bCs/>
          <w:sz w:val="28"/>
          <w:szCs w:val="28"/>
        </w:rPr>
        <w:lastRenderedPageBreak/>
        <w:t>References</w:t>
      </w:r>
    </w:p>
    <w:p w14:paraId="64E0052F" w14:textId="40AA5F03" w:rsidR="00D11AD8" w:rsidRPr="00D11AD8" w:rsidRDefault="00545A71" w:rsidP="00D11AD8">
      <w:pPr>
        <w:widowControl w:val="0"/>
        <w:autoSpaceDE w:val="0"/>
        <w:autoSpaceDN w:val="0"/>
        <w:adjustRightInd w:val="0"/>
        <w:ind w:left="640" w:hanging="640"/>
        <w:rPr>
          <w:noProof/>
        </w:rPr>
      </w:pPr>
      <w:r>
        <w:fldChar w:fldCharType="begin" w:fldLock="1"/>
      </w:r>
      <w:r>
        <w:instrText xml:space="preserve">ADDIN Mendeley Bibliography CSL_BIBLIOGRAPHY </w:instrText>
      </w:r>
      <w:r>
        <w:fldChar w:fldCharType="separate"/>
      </w:r>
      <w:r w:rsidR="00D11AD8" w:rsidRPr="00D11AD8">
        <w:rPr>
          <w:noProof/>
        </w:rPr>
        <w:t xml:space="preserve">1. </w:t>
      </w:r>
      <w:r w:rsidR="00D11AD8" w:rsidRPr="00D11AD8">
        <w:rPr>
          <w:noProof/>
        </w:rPr>
        <w:tab/>
        <w:t xml:space="preserve">D. Fleitmann, S. J. Burns, A. Mangini, M. Mudelsee, J. Kramers, I. Villa, U. Neff, A. A. Al-Subbary, A. Buettner, D. Hippler, A. Matter, Holocene ITCZ and Indian monsoon dynamics recorded in stalagmites from Oman and Yemen (Socotra). </w:t>
      </w:r>
      <w:r w:rsidR="00D11AD8" w:rsidRPr="00D11AD8">
        <w:rPr>
          <w:i/>
          <w:iCs/>
          <w:noProof/>
        </w:rPr>
        <w:t>Quat. Sci. Rev.</w:t>
      </w:r>
      <w:r w:rsidR="00D11AD8" w:rsidRPr="00D11AD8">
        <w:rPr>
          <w:noProof/>
        </w:rPr>
        <w:t xml:space="preserve"> </w:t>
      </w:r>
      <w:r w:rsidR="00D11AD8" w:rsidRPr="00D11AD8">
        <w:rPr>
          <w:b/>
          <w:bCs/>
          <w:noProof/>
        </w:rPr>
        <w:t>26</w:t>
      </w:r>
      <w:r w:rsidR="00D11AD8" w:rsidRPr="00D11AD8">
        <w:rPr>
          <w:noProof/>
        </w:rPr>
        <w:t>, 170–188 (2007).</w:t>
      </w:r>
    </w:p>
    <w:p w14:paraId="0133D95C"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2. </w:t>
      </w:r>
      <w:r w:rsidRPr="00D11AD8">
        <w:rPr>
          <w:noProof/>
        </w:rPr>
        <w:tab/>
        <w:t xml:space="preserve">F. Sirocko, M. Sarnthein, H. Erlenkeuser, H. Lange, M. Arnold, J. C. Duplessy, Century-scale events in monsoonal climate over the past 24,000 years. </w:t>
      </w:r>
      <w:r w:rsidRPr="00D11AD8">
        <w:rPr>
          <w:i/>
          <w:iCs/>
          <w:noProof/>
        </w:rPr>
        <w:t>Nature</w:t>
      </w:r>
      <w:r w:rsidRPr="00D11AD8">
        <w:rPr>
          <w:noProof/>
        </w:rPr>
        <w:t xml:space="preserve">. </w:t>
      </w:r>
      <w:r w:rsidRPr="00D11AD8">
        <w:rPr>
          <w:b/>
          <w:bCs/>
          <w:noProof/>
        </w:rPr>
        <w:t>364</w:t>
      </w:r>
      <w:r w:rsidRPr="00D11AD8">
        <w:rPr>
          <w:noProof/>
        </w:rPr>
        <w:t>, 322–324 (1993).</w:t>
      </w:r>
    </w:p>
    <w:p w14:paraId="3D264682"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3. </w:t>
      </w:r>
      <w:r w:rsidRPr="00D11AD8">
        <w:rPr>
          <w:noProof/>
        </w:rPr>
        <w:tab/>
        <w:t xml:space="preserve">P. U. Clark, A. S. Dyke, J. D. Shakun, A. E. Carlson, J. Clark, B. Wohlfarth, J. X. Mitrovica, S. W. Hostetler, A. M. McCabe, The Last Glacial Maximum. </w:t>
      </w:r>
      <w:r w:rsidRPr="00D11AD8">
        <w:rPr>
          <w:i/>
          <w:iCs/>
          <w:noProof/>
        </w:rPr>
        <w:t>Science (80-. ).</w:t>
      </w:r>
      <w:r w:rsidRPr="00D11AD8">
        <w:rPr>
          <w:noProof/>
        </w:rPr>
        <w:t xml:space="preserve"> </w:t>
      </w:r>
      <w:r w:rsidRPr="00D11AD8">
        <w:rPr>
          <w:b/>
          <w:bCs/>
          <w:noProof/>
        </w:rPr>
        <w:t>325</w:t>
      </w:r>
      <w:r w:rsidRPr="00D11AD8">
        <w:rPr>
          <w:noProof/>
        </w:rPr>
        <w:t>, 710–714 (2009).</w:t>
      </w:r>
    </w:p>
    <w:p w14:paraId="006BC9E4"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4. </w:t>
      </w:r>
      <w:r w:rsidRPr="00D11AD8">
        <w:rPr>
          <w:noProof/>
        </w:rPr>
        <w:tab/>
        <w:t xml:space="preserve">A. Sarkar, R. Ramesh, B. L. K. Somayajulu, R. Agnihotri, A. J. T. Jull, O. S. Burr, High resolution Holocene monsoon record from the eastern Arabian Sea. </w:t>
      </w:r>
      <w:r w:rsidRPr="00D11AD8">
        <w:rPr>
          <w:i/>
          <w:iCs/>
          <w:noProof/>
        </w:rPr>
        <w:t>Earth Planet. Sci. Lett.</w:t>
      </w:r>
      <w:r w:rsidRPr="00D11AD8">
        <w:rPr>
          <w:noProof/>
        </w:rPr>
        <w:t xml:space="preserve"> </w:t>
      </w:r>
      <w:r w:rsidRPr="00D11AD8">
        <w:rPr>
          <w:b/>
          <w:bCs/>
          <w:noProof/>
        </w:rPr>
        <w:t>177</w:t>
      </w:r>
      <w:r w:rsidRPr="00D11AD8">
        <w:rPr>
          <w:noProof/>
        </w:rPr>
        <w:t>, 209–218 (2000).</w:t>
      </w:r>
    </w:p>
    <w:p w14:paraId="422CD48B"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5. </w:t>
      </w:r>
      <w:r w:rsidRPr="00D11AD8">
        <w:rPr>
          <w:noProof/>
        </w:rPr>
        <w:tab/>
        <w:t xml:space="preserve">S. Jasechko, Late-Pleistocene precipitation δ18O interpolated across the global landmass. </w:t>
      </w:r>
      <w:r w:rsidRPr="00D11AD8">
        <w:rPr>
          <w:i/>
          <w:iCs/>
          <w:noProof/>
        </w:rPr>
        <w:t>Geochemistry, Geophys. Geosystems</w:t>
      </w:r>
      <w:r w:rsidRPr="00D11AD8">
        <w:rPr>
          <w:noProof/>
        </w:rPr>
        <w:t xml:space="preserve">. </w:t>
      </w:r>
      <w:r w:rsidRPr="00D11AD8">
        <w:rPr>
          <w:b/>
          <w:bCs/>
          <w:noProof/>
        </w:rPr>
        <w:t>17</w:t>
      </w:r>
      <w:r w:rsidRPr="00D11AD8">
        <w:rPr>
          <w:noProof/>
        </w:rPr>
        <w:t>, 3274–3288 (2016).</w:t>
      </w:r>
    </w:p>
    <w:p w14:paraId="4CE2B27C"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6. </w:t>
      </w:r>
      <w:r w:rsidRPr="00D11AD8">
        <w:rPr>
          <w:noProof/>
        </w:rPr>
        <w:tab/>
        <w:t xml:space="preserve">P. K. Kumar, S. T. Band, R. Ramesh, N. Awasthi, Monsoon variability and upper ocean stratification during the last </w:t>
      </w:r>
      <w:r w:rsidRPr="00D11AD8">
        <w:rPr>
          <w:rFonts w:ascii="Cambria Math" w:hAnsi="Cambria Math" w:cs="Cambria Math"/>
          <w:noProof/>
        </w:rPr>
        <w:t>∼</w:t>
      </w:r>
      <w:r w:rsidRPr="00D11AD8">
        <w:rPr>
          <w:noProof/>
        </w:rPr>
        <w:t xml:space="preserve">66 ka over the Andaman Sea: Inferences from the δ18O records of planktonic foraminifera. </w:t>
      </w:r>
      <w:r w:rsidRPr="00D11AD8">
        <w:rPr>
          <w:i/>
          <w:iCs/>
          <w:noProof/>
        </w:rPr>
        <w:t>Quat. Int.</w:t>
      </w:r>
      <w:r w:rsidRPr="00D11AD8">
        <w:rPr>
          <w:noProof/>
        </w:rPr>
        <w:t xml:space="preserve"> </w:t>
      </w:r>
      <w:r w:rsidRPr="00D11AD8">
        <w:rPr>
          <w:b/>
          <w:bCs/>
          <w:noProof/>
        </w:rPr>
        <w:t>479</w:t>
      </w:r>
      <w:r w:rsidRPr="00D11AD8">
        <w:rPr>
          <w:noProof/>
        </w:rPr>
        <w:t>, 12–18 (2018).</w:t>
      </w:r>
    </w:p>
    <w:p w14:paraId="2FE62A1F"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7. </w:t>
      </w:r>
      <w:r w:rsidRPr="00D11AD8">
        <w:rPr>
          <w:noProof/>
        </w:rPr>
        <w:tab/>
        <w:t xml:space="preserve">I. Mihajlov, M. Stute, P. Schlosser, B. J. Mailloux, Y. Zheng, I. Choudhury, K. M. Ahmed, A. van Geen, Recharge of low-arsenic aquifers tapped by community wells in Araihazar, Bangladesh, inferred from environmental isotopes. </w:t>
      </w:r>
      <w:r w:rsidRPr="00D11AD8">
        <w:rPr>
          <w:i/>
          <w:iCs/>
          <w:noProof/>
        </w:rPr>
        <w:t>Water Resour. Res.</w:t>
      </w:r>
      <w:r w:rsidRPr="00D11AD8">
        <w:rPr>
          <w:noProof/>
        </w:rPr>
        <w:t xml:space="preserve"> </w:t>
      </w:r>
      <w:r w:rsidRPr="00D11AD8">
        <w:rPr>
          <w:b/>
          <w:bCs/>
          <w:noProof/>
        </w:rPr>
        <w:t>52</w:t>
      </w:r>
      <w:r w:rsidRPr="00D11AD8">
        <w:rPr>
          <w:noProof/>
        </w:rPr>
        <w:t>, 3324–3349 (2016).</w:t>
      </w:r>
    </w:p>
    <w:p w14:paraId="2BEAB065"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8. </w:t>
      </w:r>
      <w:r w:rsidRPr="00D11AD8">
        <w:rPr>
          <w:noProof/>
        </w:rPr>
        <w:tab/>
        <w:t>P. Aggarwal, A. Basu, J. P. Robert, K. Kulkarni, S. Tarafdar, M. Ali, N. Ahmed, A. Hussain, M. Rahman, S. Reazuddin Ahmed, “A Report on Isotope Hydrology of Groundwater in Bangladesh: Implications for Characterization and Mitigation of Arsenic in Groundwater Work Performed within an IAEA-TC Project (BGD/8/016)” (2000).</w:t>
      </w:r>
    </w:p>
    <w:p w14:paraId="657DD0F4"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9. </w:t>
      </w:r>
      <w:r w:rsidRPr="00D11AD8">
        <w:rPr>
          <w:noProof/>
        </w:rPr>
        <w:tab/>
        <w:t xml:space="preserve">A. V. Sijinkumar, S. Clemens, B. N. Nath, W. Prell, R. Benshila, M. Lengaigne, δ18O and salinity variability from the Last Glacial Maximum to Recent in the Bay of Bengal and Andaman Sea. </w:t>
      </w:r>
      <w:r w:rsidRPr="00D11AD8">
        <w:rPr>
          <w:i/>
          <w:iCs/>
          <w:noProof/>
        </w:rPr>
        <w:t>Quat. Sci. Rev.</w:t>
      </w:r>
      <w:r w:rsidRPr="00D11AD8">
        <w:rPr>
          <w:noProof/>
        </w:rPr>
        <w:t xml:space="preserve"> </w:t>
      </w:r>
      <w:r w:rsidRPr="00D11AD8">
        <w:rPr>
          <w:b/>
          <w:bCs/>
          <w:noProof/>
        </w:rPr>
        <w:t>135</w:t>
      </w:r>
      <w:r w:rsidRPr="00D11AD8">
        <w:rPr>
          <w:noProof/>
        </w:rPr>
        <w:t>, 79–91 (2016).</w:t>
      </w:r>
    </w:p>
    <w:p w14:paraId="26C61EAC"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10. </w:t>
      </w:r>
      <w:r w:rsidRPr="00D11AD8">
        <w:rPr>
          <w:noProof/>
        </w:rPr>
        <w:tab/>
        <w:t xml:space="preserve">P. Ravenscroft, J. M. McArthur, M. S. Rahman, Identifying multiple deep aquifers in the Bengal Basin: Implications for resource management. </w:t>
      </w:r>
      <w:r w:rsidRPr="00D11AD8">
        <w:rPr>
          <w:i/>
          <w:iCs/>
          <w:noProof/>
        </w:rPr>
        <w:t>Hydrol. Process.</w:t>
      </w:r>
      <w:r w:rsidRPr="00D11AD8">
        <w:rPr>
          <w:noProof/>
        </w:rPr>
        <w:t xml:space="preserve"> </w:t>
      </w:r>
      <w:r w:rsidRPr="00D11AD8">
        <w:rPr>
          <w:b/>
          <w:bCs/>
          <w:noProof/>
        </w:rPr>
        <w:t>32</w:t>
      </w:r>
      <w:r w:rsidRPr="00D11AD8">
        <w:rPr>
          <w:noProof/>
        </w:rPr>
        <w:t>, 3615–3632 (2018).</w:t>
      </w:r>
    </w:p>
    <w:p w14:paraId="199373E5"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11. </w:t>
      </w:r>
      <w:r w:rsidRPr="00D11AD8">
        <w:rPr>
          <w:noProof/>
        </w:rPr>
        <w:tab/>
        <w:t xml:space="preserve">M. A. Hoque, J. M. McArthur, P. K. Sikdar, J. D. Ball, T. N. Molla, Tracing recharge to aquifers beneath an Asian megacity with Cl/Br and stable isotopes: The example of Dhaka, Bangladesh. </w:t>
      </w:r>
      <w:r w:rsidRPr="00D11AD8">
        <w:rPr>
          <w:i/>
          <w:iCs/>
          <w:noProof/>
        </w:rPr>
        <w:t>Hydrogeol. J.</w:t>
      </w:r>
      <w:r w:rsidRPr="00D11AD8">
        <w:rPr>
          <w:noProof/>
        </w:rPr>
        <w:t xml:space="preserve"> </w:t>
      </w:r>
      <w:r w:rsidRPr="00D11AD8">
        <w:rPr>
          <w:b/>
          <w:bCs/>
          <w:noProof/>
        </w:rPr>
        <w:t>22</w:t>
      </w:r>
      <w:r w:rsidRPr="00D11AD8">
        <w:rPr>
          <w:noProof/>
        </w:rPr>
        <w:t>, 1549–1560 (2014).</w:t>
      </w:r>
    </w:p>
    <w:p w14:paraId="48D1CFA3"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12. </w:t>
      </w:r>
      <w:r w:rsidRPr="00D11AD8">
        <w:rPr>
          <w:noProof/>
        </w:rPr>
        <w:tab/>
        <w:t xml:space="preserve">W. Burgess, K. M. Ahmed, A. Carruthers, H. Cheetham, J. Cobbing, M. Cuthbert, S. Mather, E. McCarthy, Trends in arsenic concentration at tubewells in Bangladesh: conceptual models, numerical models, and monitoring proxies. </w:t>
      </w:r>
      <w:r w:rsidRPr="00D11AD8">
        <w:rPr>
          <w:i/>
          <w:iCs/>
          <w:noProof/>
        </w:rPr>
        <w:t>Trace Met. other Contam. Environ.</w:t>
      </w:r>
      <w:r w:rsidRPr="00D11AD8">
        <w:rPr>
          <w:noProof/>
        </w:rPr>
        <w:t xml:space="preserve"> </w:t>
      </w:r>
      <w:r w:rsidRPr="00D11AD8">
        <w:rPr>
          <w:b/>
          <w:bCs/>
          <w:noProof/>
        </w:rPr>
        <w:t>9</w:t>
      </w:r>
      <w:r w:rsidRPr="00D11AD8">
        <w:rPr>
          <w:noProof/>
        </w:rPr>
        <w:t xml:space="preserve"> (2007), pp. 63–83.</w:t>
      </w:r>
    </w:p>
    <w:p w14:paraId="341789F1"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13. </w:t>
      </w:r>
      <w:r w:rsidRPr="00D11AD8">
        <w:rPr>
          <w:noProof/>
        </w:rPr>
        <w:tab/>
        <w:t>W. G. Darling, W. G. Burgess, M. K. Hasan, “Isotopic evidence for induced river recharge to the Dupi Tila aquifer in the Dhaka urban area, Bangladesh” (International Atomic Energy Agency (IAEA), 2002), (available at http://inis.iaea.org/search/search.aspx?orig_q=RN:33037888).</w:t>
      </w:r>
    </w:p>
    <w:p w14:paraId="0613A158"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14. </w:t>
      </w:r>
      <w:r w:rsidRPr="00D11AD8">
        <w:rPr>
          <w:noProof/>
        </w:rPr>
        <w:tab/>
        <w:t xml:space="preserve">S. Datta, A. W. Neal, T. J. Mohajerin, T. Ocheltree, B. E. Rosenheim, C. D. White, K. H. Johannesson, </w:t>
      </w:r>
      <w:r w:rsidRPr="00D11AD8">
        <w:rPr>
          <w:i/>
          <w:iCs/>
          <w:noProof/>
        </w:rPr>
        <w:t>Geophys. Res. Lett.</w:t>
      </w:r>
      <w:r w:rsidRPr="00D11AD8">
        <w:rPr>
          <w:noProof/>
        </w:rPr>
        <w:t>, in press, doi:10.1029/2011GL049301.</w:t>
      </w:r>
    </w:p>
    <w:p w14:paraId="3A2168B0" w14:textId="77777777" w:rsidR="00D11AD8" w:rsidRPr="00D11AD8" w:rsidRDefault="00D11AD8" w:rsidP="00D11AD8">
      <w:pPr>
        <w:widowControl w:val="0"/>
        <w:autoSpaceDE w:val="0"/>
        <w:autoSpaceDN w:val="0"/>
        <w:adjustRightInd w:val="0"/>
        <w:ind w:left="640" w:hanging="640"/>
        <w:rPr>
          <w:noProof/>
        </w:rPr>
      </w:pPr>
      <w:r w:rsidRPr="00D11AD8">
        <w:rPr>
          <w:noProof/>
        </w:rPr>
        <w:lastRenderedPageBreak/>
        <w:t xml:space="preserve">15. </w:t>
      </w:r>
      <w:r w:rsidRPr="00D11AD8">
        <w:rPr>
          <w:noProof/>
        </w:rPr>
        <w:tab/>
        <w:t xml:space="preserve">A. J. Desbarats, T. Pal, P. K. Mukherjee, R. D. Beckie, Geochemical Evolution of Groundwater Flowing Through Arsenic Source Sediments in an Aquifer System of West Bengal, India. </w:t>
      </w:r>
      <w:r w:rsidRPr="00D11AD8">
        <w:rPr>
          <w:i/>
          <w:iCs/>
          <w:noProof/>
        </w:rPr>
        <w:t>Water Resour. Res.</w:t>
      </w:r>
      <w:r w:rsidRPr="00D11AD8">
        <w:rPr>
          <w:noProof/>
        </w:rPr>
        <w:t xml:space="preserve"> </w:t>
      </w:r>
      <w:r w:rsidRPr="00D11AD8">
        <w:rPr>
          <w:b/>
          <w:bCs/>
          <w:noProof/>
        </w:rPr>
        <w:t>53</w:t>
      </w:r>
      <w:r w:rsidRPr="00D11AD8">
        <w:rPr>
          <w:noProof/>
        </w:rPr>
        <w:t>, 8715–8735 (2017).</w:t>
      </w:r>
    </w:p>
    <w:p w14:paraId="2EB9F8DD"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16. </w:t>
      </w:r>
      <w:r w:rsidRPr="00D11AD8">
        <w:rPr>
          <w:noProof/>
        </w:rPr>
        <w:tab/>
        <w:t xml:space="preserve">A. J. Desbarats, C. E. M. Koenig, T. Pal, P. K. Mukherjee, R. D. Beckie, Groundwater flow dynamics and arsenic source characterization in an aquifer system of West Bengal, india. </w:t>
      </w:r>
      <w:r w:rsidRPr="00D11AD8">
        <w:rPr>
          <w:i/>
          <w:iCs/>
          <w:noProof/>
        </w:rPr>
        <w:t>Water Resour. Res.</w:t>
      </w:r>
      <w:r w:rsidRPr="00D11AD8">
        <w:rPr>
          <w:noProof/>
        </w:rPr>
        <w:t xml:space="preserve"> </w:t>
      </w:r>
      <w:r w:rsidRPr="00D11AD8">
        <w:rPr>
          <w:b/>
          <w:bCs/>
          <w:noProof/>
        </w:rPr>
        <w:t>50</w:t>
      </w:r>
      <w:r w:rsidRPr="00D11AD8">
        <w:rPr>
          <w:noProof/>
        </w:rPr>
        <w:t>, 4974–5002 (2014).</w:t>
      </w:r>
    </w:p>
    <w:p w14:paraId="2F8CF05B"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17. </w:t>
      </w:r>
      <w:r w:rsidRPr="00D11AD8">
        <w:rPr>
          <w:noProof/>
        </w:rPr>
        <w:tab/>
        <w:t xml:space="preserve">M. A. Hoque, W. G. Burgess, 14C dating of deep groundwater in the Bengal Aquifer System, Bangladesh: Implications for aquifer anisotropy, recharge sources and sustainability. </w:t>
      </w:r>
      <w:r w:rsidRPr="00D11AD8">
        <w:rPr>
          <w:i/>
          <w:iCs/>
          <w:noProof/>
        </w:rPr>
        <w:t>J. Hydrol.</w:t>
      </w:r>
      <w:r w:rsidRPr="00D11AD8">
        <w:rPr>
          <w:noProof/>
        </w:rPr>
        <w:t xml:space="preserve"> </w:t>
      </w:r>
      <w:r w:rsidRPr="00D11AD8">
        <w:rPr>
          <w:b/>
          <w:bCs/>
          <w:noProof/>
        </w:rPr>
        <w:t>444</w:t>
      </w:r>
      <w:r w:rsidRPr="00D11AD8">
        <w:rPr>
          <w:noProof/>
        </w:rPr>
        <w:t>–</w:t>
      </w:r>
      <w:r w:rsidRPr="00D11AD8">
        <w:rPr>
          <w:b/>
          <w:bCs/>
          <w:noProof/>
        </w:rPr>
        <w:t>445</w:t>
      </w:r>
      <w:r w:rsidRPr="00D11AD8">
        <w:rPr>
          <w:noProof/>
        </w:rPr>
        <w:t>, 209–220 (2012).</w:t>
      </w:r>
    </w:p>
    <w:p w14:paraId="4CEDA421"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18. </w:t>
      </w:r>
      <w:r w:rsidRPr="00D11AD8">
        <w:rPr>
          <w:noProof/>
        </w:rPr>
        <w:tab/>
        <w:t xml:space="preserve">M. R. Khan, H. A. Michael, B. Nath, B. L. Huhmann, C. F. Harvey, A. Mukherjee, I. Choudhury, M. Chakraborty, M. S. Ullah, K. M. Ahmed, S. L. Goodbred, P. Schlosser, B. C. Bostick, B. J. Mailloux, T. Ellis, A. van Geen, High-Arsenic Groundwater in the Southwestern Bengal Basin Caused by a Lithologically Controlled Deep Flow System. </w:t>
      </w:r>
      <w:r w:rsidRPr="00D11AD8">
        <w:rPr>
          <w:i/>
          <w:iCs/>
          <w:noProof/>
        </w:rPr>
        <w:t>Geophys. Res. Lett.</w:t>
      </w:r>
      <w:r w:rsidRPr="00D11AD8">
        <w:rPr>
          <w:noProof/>
        </w:rPr>
        <w:t xml:space="preserve"> </w:t>
      </w:r>
      <w:r w:rsidRPr="00D11AD8">
        <w:rPr>
          <w:b/>
          <w:bCs/>
          <w:noProof/>
        </w:rPr>
        <w:t>46</w:t>
      </w:r>
      <w:r w:rsidRPr="00D11AD8">
        <w:rPr>
          <w:noProof/>
        </w:rPr>
        <w:t>, 13062–13071 (2019).</w:t>
      </w:r>
    </w:p>
    <w:p w14:paraId="53BE745B"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19. </w:t>
      </w:r>
      <w:r w:rsidRPr="00D11AD8">
        <w:rPr>
          <w:noProof/>
        </w:rPr>
        <w:tab/>
        <w:t xml:space="preserve">B. Kumar, S. P. Rai, U. S. Kumar, S. K. Verma, P. Garg, S. V. V. Kumar, R. Jaiswal, B. K. Purendra, S. R. Kumar, N. G. Pande, Isotopic characteristics of Indian precipitation. </w:t>
      </w:r>
      <w:r w:rsidRPr="00D11AD8">
        <w:rPr>
          <w:i/>
          <w:iCs/>
          <w:noProof/>
        </w:rPr>
        <w:t>Water Resour. Res.</w:t>
      </w:r>
      <w:r w:rsidRPr="00D11AD8">
        <w:rPr>
          <w:noProof/>
        </w:rPr>
        <w:t xml:space="preserve"> </w:t>
      </w:r>
      <w:r w:rsidRPr="00D11AD8">
        <w:rPr>
          <w:b/>
          <w:bCs/>
          <w:noProof/>
        </w:rPr>
        <w:t>46</w:t>
      </w:r>
      <w:r w:rsidRPr="00D11AD8">
        <w:rPr>
          <w:noProof/>
        </w:rPr>
        <w:t xml:space="preserve"> (2010), doi:10.1029/2009WR008532.</w:t>
      </w:r>
    </w:p>
    <w:p w14:paraId="4C82B640"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20. </w:t>
      </w:r>
      <w:r w:rsidRPr="00D11AD8">
        <w:rPr>
          <w:noProof/>
        </w:rPr>
        <w:tab/>
        <w:t xml:space="preserve">A. Kumar, P. Sanyal, S. Agrawal, Spatial distribution of δ 18 O values of water in the Ganga river basin: Insight into the hydrological processes. </w:t>
      </w:r>
      <w:r w:rsidRPr="00D11AD8">
        <w:rPr>
          <w:i/>
          <w:iCs/>
          <w:noProof/>
        </w:rPr>
        <w:t>J. Hydrol.</w:t>
      </w:r>
      <w:r w:rsidRPr="00D11AD8">
        <w:rPr>
          <w:noProof/>
        </w:rPr>
        <w:t xml:space="preserve"> </w:t>
      </w:r>
      <w:r w:rsidRPr="00D11AD8">
        <w:rPr>
          <w:b/>
          <w:bCs/>
          <w:noProof/>
        </w:rPr>
        <w:t>571</w:t>
      </w:r>
      <w:r w:rsidRPr="00D11AD8">
        <w:rPr>
          <w:noProof/>
        </w:rPr>
        <w:t>, 225–234 (2019).</w:t>
      </w:r>
    </w:p>
    <w:p w14:paraId="4D96A45E"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21. </w:t>
      </w:r>
      <w:r w:rsidRPr="00D11AD8">
        <w:rPr>
          <w:noProof/>
        </w:rPr>
        <w:tab/>
        <w:t xml:space="preserve">L. Lambs, K. Balakrishna, F. Brunet, J. L. Probst, Oxygen and hydrogen isotopic composition of major Indian rivers: a first global assessment. </w:t>
      </w:r>
      <w:r w:rsidRPr="00D11AD8">
        <w:rPr>
          <w:i/>
          <w:iCs/>
          <w:noProof/>
        </w:rPr>
        <w:t>Hydrol. Process.</w:t>
      </w:r>
      <w:r w:rsidRPr="00D11AD8">
        <w:rPr>
          <w:noProof/>
        </w:rPr>
        <w:t xml:space="preserve"> </w:t>
      </w:r>
      <w:r w:rsidRPr="00D11AD8">
        <w:rPr>
          <w:b/>
          <w:bCs/>
          <w:noProof/>
        </w:rPr>
        <w:t>19</w:t>
      </w:r>
      <w:r w:rsidRPr="00D11AD8">
        <w:rPr>
          <w:noProof/>
        </w:rPr>
        <w:t>, 3345–3355 (2005).</w:t>
      </w:r>
    </w:p>
    <w:p w14:paraId="272C924D"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22. </w:t>
      </w:r>
      <w:r w:rsidRPr="00D11AD8">
        <w:rPr>
          <w:noProof/>
        </w:rPr>
        <w:tab/>
        <w:t xml:space="preserve">R. K. Majumder, M. A. Halim, B. B. Saha, R. Ikawa, T. Nakamura, M. Kagabu, J. Shimada, Groundwater flow system in Bengal Delta, Bangladesh revealed by environmental isotopes. </w:t>
      </w:r>
      <w:r w:rsidRPr="00D11AD8">
        <w:rPr>
          <w:i/>
          <w:iCs/>
          <w:noProof/>
        </w:rPr>
        <w:t>Environ. Earth Sci.</w:t>
      </w:r>
      <w:r w:rsidRPr="00D11AD8">
        <w:rPr>
          <w:noProof/>
        </w:rPr>
        <w:t xml:space="preserve"> </w:t>
      </w:r>
      <w:r w:rsidRPr="00D11AD8">
        <w:rPr>
          <w:b/>
          <w:bCs/>
          <w:noProof/>
        </w:rPr>
        <w:t>64</w:t>
      </w:r>
      <w:r w:rsidRPr="00D11AD8">
        <w:rPr>
          <w:noProof/>
        </w:rPr>
        <w:t>, 1343–1352 (2011).</w:t>
      </w:r>
    </w:p>
    <w:p w14:paraId="73F559E1"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23. </w:t>
      </w:r>
      <w:r w:rsidRPr="00D11AD8">
        <w:rPr>
          <w:noProof/>
        </w:rPr>
        <w:tab/>
        <w:t xml:space="preserve">R. K. Majumder, M. A. Halim, J. Shimada, B. B. Saha, A. Zahid, M. Q. Hasan, M. S. Islam, Hydrochemistry and isotopic studies to identify Ganges River and riverbank groundwater interaction, southern Bangladesh. </w:t>
      </w:r>
      <w:r w:rsidRPr="00D11AD8">
        <w:rPr>
          <w:i/>
          <w:iCs/>
          <w:noProof/>
        </w:rPr>
        <w:t>Arab. J. Geosci.</w:t>
      </w:r>
      <w:r w:rsidRPr="00D11AD8">
        <w:rPr>
          <w:noProof/>
        </w:rPr>
        <w:t xml:space="preserve"> </w:t>
      </w:r>
      <w:r w:rsidRPr="00D11AD8">
        <w:rPr>
          <w:b/>
          <w:bCs/>
          <w:noProof/>
        </w:rPr>
        <w:t>6</w:t>
      </w:r>
      <w:r w:rsidRPr="00D11AD8">
        <w:rPr>
          <w:noProof/>
        </w:rPr>
        <w:t>, 4585–4591 (2013).</w:t>
      </w:r>
    </w:p>
    <w:p w14:paraId="2685F8A3"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24. </w:t>
      </w:r>
      <w:r w:rsidRPr="00D11AD8">
        <w:rPr>
          <w:noProof/>
        </w:rPr>
        <w:tab/>
        <w:t xml:space="preserve">J. M. McArthur, U. Ghosal, P. K. Sikdar, J. D. Ball, Arsenic in Groundwater: The Deep Late Pleistocene Aquifers of the Western Bengal Basin. </w:t>
      </w:r>
      <w:r w:rsidRPr="00D11AD8">
        <w:rPr>
          <w:i/>
          <w:iCs/>
          <w:noProof/>
        </w:rPr>
        <w:t>Environ. Sci. Technol.</w:t>
      </w:r>
      <w:r w:rsidRPr="00D11AD8">
        <w:rPr>
          <w:noProof/>
        </w:rPr>
        <w:t xml:space="preserve"> </w:t>
      </w:r>
      <w:r w:rsidRPr="00D11AD8">
        <w:rPr>
          <w:b/>
          <w:bCs/>
          <w:noProof/>
        </w:rPr>
        <w:t>50</w:t>
      </w:r>
      <w:r w:rsidRPr="00D11AD8">
        <w:rPr>
          <w:noProof/>
        </w:rPr>
        <w:t>, 3469–3476 (2016).</w:t>
      </w:r>
    </w:p>
    <w:p w14:paraId="7CA04E44"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25. </w:t>
      </w:r>
      <w:r w:rsidRPr="00D11AD8">
        <w:rPr>
          <w:noProof/>
        </w:rPr>
        <w:tab/>
        <w:t xml:space="preserve">J. M. McArthur, P. K. Sikdar, M. J. Leng, U. Ghosal, I. Sen, Groundwater Quality beneath an Asian Megacity on a Delta: Kolkata’s (Calcutta’s) Disappearing Arsenic and Present Manganese. </w:t>
      </w:r>
      <w:r w:rsidRPr="00D11AD8">
        <w:rPr>
          <w:i/>
          <w:iCs/>
          <w:noProof/>
        </w:rPr>
        <w:t>Environ. Sci. Technol.</w:t>
      </w:r>
      <w:r w:rsidRPr="00D11AD8">
        <w:rPr>
          <w:noProof/>
        </w:rPr>
        <w:t xml:space="preserve"> </w:t>
      </w:r>
      <w:r w:rsidRPr="00D11AD8">
        <w:rPr>
          <w:b/>
          <w:bCs/>
          <w:noProof/>
        </w:rPr>
        <w:t>52</w:t>
      </w:r>
      <w:r w:rsidRPr="00D11AD8">
        <w:rPr>
          <w:noProof/>
        </w:rPr>
        <w:t>, 5161–5172 (2018).</w:t>
      </w:r>
    </w:p>
    <w:p w14:paraId="2CE78ABA"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26. </w:t>
      </w:r>
      <w:r w:rsidRPr="00D11AD8">
        <w:rPr>
          <w:noProof/>
        </w:rPr>
        <w:tab/>
        <w:t xml:space="preserve">A. Mukherjee, A. E. Fryar, E. M. Eastridge, R. S. Nally, M. Chakraborty, B. R. Scanlon, Controls on high and low groundwater arsenic on the opposite banks of the lower reaches of River Ganges, Bengal basin, India. </w:t>
      </w:r>
      <w:r w:rsidRPr="00D11AD8">
        <w:rPr>
          <w:i/>
          <w:iCs/>
          <w:noProof/>
        </w:rPr>
        <w:t>Sci. Total Environ.</w:t>
      </w:r>
      <w:r w:rsidRPr="00D11AD8">
        <w:rPr>
          <w:noProof/>
        </w:rPr>
        <w:t xml:space="preserve"> </w:t>
      </w:r>
      <w:r w:rsidRPr="00D11AD8">
        <w:rPr>
          <w:b/>
          <w:bCs/>
          <w:noProof/>
        </w:rPr>
        <w:t>645</w:t>
      </w:r>
      <w:r w:rsidRPr="00D11AD8">
        <w:rPr>
          <w:noProof/>
        </w:rPr>
        <w:t>, 1371–1387 (2018).</w:t>
      </w:r>
    </w:p>
    <w:p w14:paraId="49C1DD82"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27. </w:t>
      </w:r>
      <w:r w:rsidRPr="00D11AD8">
        <w:rPr>
          <w:noProof/>
        </w:rPr>
        <w:tab/>
        <w:t xml:space="preserve">A. Mukherjee, A. E. Fryar, P. D. Howell, Regional hydrostratigraphy and groundwater flow modeling in the arsenic-affected areas of the western Bengal basin, West Bengal, India. </w:t>
      </w:r>
      <w:r w:rsidRPr="00D11AD8">
        <w:rPr>
          <w:i/>
          <w:iCs/>
          <w:noProof/>
        </w:rPr>
        <w:t>Hydrogeol. J.</w:t>
      </w:r>
      <w:r w:rsidRPr="00D11AD8">
        <w:rPr>
          <w:noProof/>
        </w:rPr>
        <w:t xml:space="preserve"> </w:t>
      </w:r>
      <w:r w:rsidRPr="00D11AD8">
        <w:rPr>
          <w:b/>
          <w:bCs/>
          <w:noProof/>
        </w:rPr>
        <w:t>15</w:t>
      </w:r>
      <w:r w:rsidRPr="00D11AD8">
        <w:rPr>
          <w:noProof/>
        </w:rPr>
        <w:t>, 1397–1418 (2007).</w:t>
      </w:r>
    </w:p>
    <w:p w14:paraId="2D5B9932"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28. </w:t>
      </w:r>
      <w:r w:rsidRPr="00D11AD8">
        <w:rPr>
          <w:noProof/>
        </w:rPr>
        <w:tab/>
        <w:t xml:space="preserve">N. C. Munksgaard, N. Kurita, R. Sánchez-Murillo, N. Ahmed, L. Araguas, D. L. Balachew, M. I. Bird, S. Chakraborty, N. Kien Chinh, K. M. Cobb, S. A. Ellis, G. Esquivel-Hernández, S. Y. Ganyaglo, J. Gao, D. Gastmans, K. F. Kaseke, S. Kebede, M. R. Morales, M. Mueller, S. C. Poh, V. dos Santos, H. Shaoneng, L. Wang, H. Yacobaccio, C. Zwart, Data Descriptor: Daily observations of stable isotope ratios of rainfall in the </w:t>
      </w:r>
      <w:r w:rsidRPr="00D11AD8">
        <w:rPr>
          <w:noProof/>
        </w:rPr>
        <w:lastRenderedPageBreak/>
        <w:t xml:space="preserve">tropics. </w:t>
      </w:r>
      <w:r w:rsidRPr="00D11AD8">
        <w:rPr>
          <w:i/>
          <w:iCs/>
          <w:noProof/>
        </w:rPr>
        <w:t>Sci. Rep.</w:t>
      </w:r>
      <w:r w:rsidRPr="00D11AD8">
        <w:rPr>
          <w:noProof/>
        </w:rPr>
        <w:t xml:space="preserve"> </w:t>
      </w:r>
      <w:r w:rsidRPr="00D11AD8">
        <w:rPr>
          <w:b/>
          <w:bCs/>
          <w:noProof/>
        </w:rPr>
        <w:t>9</w:t>
      </w:r>
      <w:r w:rsidRPr="00D11AD8">
        <w:rPr>
          <w:noProof/>
        </w:rPr>
        <w:t xml:space="preserve"> (2019), doi:10.1038/s41598-019-50973-9.</w:t>
      </w:r>
    </w:p>
    <w:p w14:paraId="2E10EC41"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29. </w:t>
      </w:r>
      <w:r w:rsidRPr="00D11AD8">
        <w:rPr>
          <w:noProof/>
        </w:rPr>
        <w:tab/>
        <w:t xml:space="preserve">R. B. Neumann, K. N. Ashfaque, A. B. M. Badruzzaman, M. Ashraf Ali, J. K. Shoemaker, C. F. Harvey, Anthropogenic influences on groundwater arsenic concentrations in Bangladesh. </w:t>
      </w:r>
      <w:r w:rsidRPr="00D11AD8">
        <w:rPr>
          <w:i/>
          <w:iCs/>
          <w:noProof/>
        </w:rPr>
        <w:t>Nat. Geosci.</w:t>
      </w:r>
      <w:r w:rsidRPr="00D11AD8">
        <w:rPr>
          <w:noProof/>
        </w:rPr>
        <w:t xml:space="preserve"> </w:t>
      </w:r>
      <w:r w:rsidRPr="00D11AD8">
        <w:rPr>
          <w:b/>
          <w:bCs/>
          <w:noProof/>
        </w:rPr>
        <w:t>3</w:t>
      </w:r>
      <w:r w:rsidRPr="00D11AD8">
        <w:rPr>
          <w:noProof/>
        </w:rPr>
        <w:t>, 46–52 (2010).</w:t>
      </w:r>
    </w:p>
    <w:p w14:paraId="5A445254"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30. </w:t>
      </w:r>
      <w:r w:rsidRPr="00D11AD8">
        <w:rPr>
          <w:noProof/>
        </w:rPr>
        <w:tab/>
        <w:t>S. M. Sasidharan, thesis, Kansas State University (2013).</w:t>
      </w:r>
    </w:p>
    <w:p w14:paraId="0A173CC2"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31. </w:t>
      </w:r>
      <w:r w:rsidRPr="00D11AD8">
        <w:rPr>
          <w:noProof/>
        </w:rPr>
        <w:tab/>
        <w:t xml:space="preserve">S. Sengupta, A. Sarkar, Stable isotope evidence of dual (Arabian Sea and Bay of Bengal) vapour sources in monsoonal precipitation over north India. </w:t>
      </w:r>
      <w:r w:rsidRPr="00D11AD8">
        <w:rPr>
          <w:i/>
          <w:iCs/>
          <w:noProof/>
        </w:rPr>
        <w:t>Earth Planet. Sci. Lett.</w:t>
      </w:r>
      <w:r w:rsidRPr="00D11AD8">
        <w:rPr>
          <w:noProof/>
        </w:rPr>
        <w:t xml:space="preserve"> </w:t>
      </w:r>
      <w:r w:rsidRPr="00D11AD8">
        <w:rPr>
          <w:b/>
          <w:bCs/>
          <w:noProof/>
        </w:rPr>
        <w:t>250</w:t>
      </w:r>
      <w:r w:rsidRPr="00D11AD8">
        <w:rPr>
          <w:noProof/>
        </w:rPr>
        <w:t>, 511–521 (2006).</w:t>
      </w:r>
    </w:p>
    <w:p w14:paraId="38828298"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32. </w:t>
      </w:r>
      <w:r w:rsidRPr="00D11AD8">
        <w:rPr>
          <w:noProof/>
        </w:rPr>
        <w:tab/>
        <w:t xml:space="preserve">S. Sengupta, J. M. Mcarthur, A. Sarkar, M. J. Leng, P. Ravenscroft, R. J. Howarth, D. M. Banerjee, Do ponds cause arsenic-pollution of groundwater in the Bengal Basin? An answer from West Bengal. </w:t>
      </w:r>
      <w:r w:rsidRPr="00D11AD8">
        <w:rPr>
          <w:i/>
          <w:iCs/>
          <w:noProof/>
        </w:rPr>
        <w:t>Environ. Sci. Technol.</w:t>
      </w:r>
      <w:r w:rsidRPr="00D11AD8">
        <w:rPr>
          <w:noProof/>
        </w:rPr>
        <w:t xml:space="preserve"> </w:t>
      </w:r>
      <w:r w:rsidRPr="00D11AD8">
        <w:rPr>
          <w:b/>
          <w:bCs/>
          <w:noProof/>
        </w:rPr>
        <w:t>42</w:t>
      </w:r>
      <w:r w:rsidRPr="00D11AD8">
        <w:rPr>
          <w:noProof/>
        </w:rPr>
        <w:t>, 5156–5164 (2008).</w:t>
      </w:r>
    </w:p>
    <w:p w14:paraId="01D8C9D4"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33. </w:t>
      </w:r>
      <w:r w:rsidRPr="00D11AD8">
        <w:rPr>
          <w:noProof/>
        </w:rPr>
        <w:tab/>
        <w:t xml:space="preserve">M. O. Stahl, M. H. Tarek, D. C. J. Yeo, A. B. M. Badruzzaman, C. F. Harvey, Crab burrows as conduits for groundwater-surface water exchange in Bangladesh. </w:t>
      </w:r>
      <w:r w:rsidRPr="00D11AD8">
        <w:rPr>
          <w:i/>
          <w:iCs/>
          <w:noProof/>
        </w:rPr>
        <w:t>Geophys. Res. Lett.</w:t>
      </w:r>
      <w:r w:rsidRPr="00D11AD8">
        <w:rPr>
          <w:noProof/>
        </w:rPr>
        <w:t xml:space="preserve"> </w:t>
      </w:r>
      <w:r w:rsidRPr="00D11AD8">
        <w:rPr>
          <w:b/>
          <w:bCs/>
          <w:noProof/>
        </w:rPr>
        <w:t>41</w:t>
      </w:r>
      <w:r w:rsidRPr="00D11AD8">
        <w:rPr>
          <w:noProof/>
        </w:rPr>
        <w:t>, 8342–8347 (2014).</w:t>
      </w:r>
    </w:p>
    <w:p w14:paraId="74C37DDD"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34. </w:t>
      </w:r>
      <w:r w:rsidRPr="00D11AD8">
        <w:rPr>
          <w:noProof/>
        </w:rPr>
        <w:tab/>
        <w:t xml:space="preserve">D. Stüben, Z. Berner, D. Chandrasekharam, J. Karmakar, in </w:t>
      </w:r>
      <w:r w:rsidRPr="00D11AD8">
        <w:rPr>
          <w:i/>
          <w:iCs/>
          <w:noProof/>
        </w:rPr>
        <w:t>Applied Geochemistry</w:t>
      </w:r>
      <w:r w:rsidRPr="00D11AD8">
        <w:rPr>
          <w:noProof/>
        </w:rPr>
        <w:t xml:space="preserve"> (Elsevier Ltd, 2003), vol. 18, pp. 1417–1434.</w:t>
      </w:r>
    </w:p>
    <w:p w14:paraId="0AC07BCE"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35. </w:t>
      </w:r>
      <w:r w:rsidRPr="00D11AD8">
        <w:rPr>
          <w:noProof/>
        </w:rPr>
        <w:tab/>
        <w:t xml:space="preserve">M. Stute, Y. Zheng, P. Schlosser, A. Horneman, R. K. Dhar, S. Datta, M. A. Hoque, A. A. Seddique, M. Shamsudduha, K. M. Ahmed, A. van Geen, Hydrological control of As concentrations in Bangladesh groundwater. </w:t>
      </w:r>
      <w:r w:rsidRPr="00D11AD8">
        <w:rPr>
          <w:i/>
          <w:iCs/>
          <w:noProof/>
        </w:rPr>
        <w:t>Water Resour. Res.</w:t>
      </w:r>
      <w:r w:rsidRPr="00D11AD8">
        <w:rPr>
          <w:noProof/>
        </w:rPr>
        <w:t xml:space="preserve"> </w:t>
      </w:r>
      <w:r w:rsidRPr="00D11AD8">
        <w:rPr>
          <w:b/>
          <w:bCs/>
          <w:noProof/>
        </w:rPr>
        <w:t>43</w:t>
      </w:r>
      <w:r w:rsidRPr="00D11AD8">
        <w:rPr>
          <w:noProof/>
        </w:rPr>
        <w:t xml:space="preserve"> (2007), doi:10.1029/2005WR004499.</w:t>
      </w:r>
    </w:p>
    <w:p w14:paraId="155A4343"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36. </w:t>
      </w:r>
      <w:r w:rsidRPr="00D11AD8">
        <w:rPr>
          <w:noProof/>
        </w:rPr>
        <w:tab/>
        <w:t xml:space="preserve">C. B. Dowling, R. J. Poreda, A. R. Basu, S. L. Peters, P. K. Aggarwal, Geochemical study of arsenic release mechanisms in the Bengal Basin groundwater. </w:t>
      </w:r>
      <w:r w:rsidRPr="00D11AD8">
        <w:rPr>
          <w:i/>
          <w:iCs/>
          <w:noProof/>
        </w:rPr>
        <w:t>Water Resour. Res.</w:t>
      </w:r>
      <w:r w:rsidRPr="00D11AD8">
        <w:rPr>
          <w:noProof/>
        </w:rPr>
        <w:t xml:space="preserve"> </w:t>
      </w:r>
      <w:r w:rsidRPr="00D11AD8">
        <w:rPr>
          <w:b/>
          <w:bCs/>
          <w:noProof/>
        </w:rPr>
        <w:t>38</w:t>
      </w:r>
      <w:r w:rsidRPr="00D11AD8">
        <w:rPr>
          <w:noProof/>
        </w:rPr>
        <w:t>, 12-1-12–18 (2002).</w:t>
      </w:r>
    </w:p>
    <w:p w14:paraId="42D3285F"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37. </w:t>
      </w:r>
      <w:r w:rsidRPr="00D11AD8">
        <w:rPr>
          <w:noProof/>
        </w:rPr>
        <w:tab/>
        <w:t xml:space="preserve">S. Klump, R. Kipfer, O. A. Cirpka, C. F. Harvey, M. S. Brennwald, K. N. Ashfaque, A. B. M. Badruzzaman, S. J. Hug, D. M. Imboden, Groundwater dynamics and arsenic mobilization in Bangladesh assessed using noble gases and tritium. </w:t>
      </w:r>
      <w:r w:rsidRPr="00D11AD8">
        <w:rPr>
          <w:i/>
          <w:iCs/>
          <w:noProof/>
        </w:rPr>
        <w:t>Environ. Sci. Technol.</w:t>
      </w:r>
      <w:r w:rsidRPr="00D11AD8">
        <w:rPr>
          <w:noProof/>
        </w:rPr>
        <w:t xml:space="preserve"> </w:t>
      </w:r>
      <w:r w:rsidRPr="00D11AD8">
        <w:rPr>
          <w:b/>
          <w:bCs/>
          <w:noProof/>
        </w:rPr>
        <w:t>40</w:t>
      </w:r>
      <w:r w:rsidRPr="00D11AD8">
        <w:rPr>
          <w:noProof/>
        </w:rPr>
        <w:t>, 243–250 (2006).</w:t>
      </w:r>
    </w:p>
    <w:p w14:paraId="39C0A5D8"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38. </w:t>
      </w:r>
      <w:r w:rsidRPr="00D11AD8">
        <w:rPr>
          <w:noProof/>
        </w:rPr>
        <w:tab/>
        <w:t xml:space="preserve">P. K. Sikdar, P. Sahu, Understanding wetland sub-surface hydrology using geologic and isotopic signatures. </w:t>
      </w:r>
      <w:r w:rsidRPr="00D11AD8">
        <w:rPr>
          <w:i/>
          <w:iCs/>
          <w:noProof/>
        </w:rPr>
        <w:t>Hydrol. Earth Syst. Sci.</w:t>
      </w:r>
      <w:r w:rsidRPr="00D11AD8">
        <w:rPr>
          <w:noProof/>
        </w:rPr>
        <w:t xml:space="preserve"> </w:t>
      </w:r>
      <w:r w:rsidRPr="00D11AD8">
        <w:rPr>
          <w:b/>
          <w:bCs/>
          <w:noProof/>
        </w:rPr>
        <w:t>13</w:t>
      </w:r>
      <w:r w:rsidRPr="00D11AD8">
        <w:rPr>
          <w:noProof/>
        </w:rPr>
        <w:t>, 1313–1323 (2009).</w:t>
      </w:r>
    </w:p>
    <w:p w14:paraId="2EA72770"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39. </w:t>
      </w:r>
      <w:r w:rsidRPr="00D11AD8">
        <w:rPr>
          <w:noProof/>
        </w:rPr>
        <w:tab/>
        <w:t xml:space="preserve">J. M. McArthur, D. M. Banerjee, S. Sengupta, P. Ravenscroft, S. Klump, A. Sarkar, B. Disch, R. Kipfer, Migration of As, and 3H/3He ages, in groundwater from West Bengal: Implications for monitoring. </w:t>
      </w:r>
      <w:r w:rsidRPr="00D11AD8">
        <w:rPr>
          <w:i/>
          <w:iCs/>
          <w:noProof/>
        </w:rPr>
        <w:t>Water Res.</w:t>
      </w:r>
      <w:r w:rsidRPr="00D11AD8">
        <w:rPr>
          <w:noProof/>
        </w:rPr>
        <w:t xml:space="preserve"> </w:t>
      </w:r>
      <w:r w:rsidRPr="00D11AD8">
        <w:rPr>
          <w:b/>
          <w:bCs/>
          <w:noProof/>
        </w:rPr>
        <w:t>44</w:t>
      </w:r>
      <w:r w:rsidRPr="00D11AD8">
        <w:rPr>
          <w:noProof/>
        </w:rPr>
        <w:t>, 4171–4185 (2010).</w:t>
      </w:r>
    </w:p>
    <w:p w14:paraId="5DA0B09A"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40. </w:t>
      </w:r>
      <w:r w:rsidRPr="00D11AD8">
        <w:rPr>
          <w:noProof/>
        </w:rPr>
        <w:tab/>
        <w:t xml:space="preserve">Z. Hossain, K. Bashar, R. K. Majumder, M. Islam, M. R. Sarker, Hydrogeological investigations of Chapai Nawabganj town of Nawabganj district, North-West Bangladesh using isotope and other techniques. </w:t>
      </w:r>
      <w:r w:rsidRPr="00D11AD8">
        <w:rPr>
          <w:i/>
          <w:iCs/>
          <w:noProof/>
        </w:rPr>
        <w:t>J. Bangladesh Acad. Sci.</w:t>
      </w:r>
      <w:r w:rsidRPr="00D11AD8">
        <w:rPr>
          <w:noProof/>
        </w:rPr>
        <w:t xml:space="preserve"> </w:t>
      </w:r>
      <w:r w:rsidRPr="00D11AD8">
        <w:rPr>
          <w:b/>
          <w:bCs/>
          <w:noProof/>
        </w:rPr>
        <w:t>38</w:t>
      </w:r>
      <w:r w:rsidRPr="00D11AD8">
        <w:rPr>
          <w:noProof/>
        </w:rPr>
        <w:t>, 131–142 (2014).</w:t>
      </w:r>
    </w:p>
    <w:p w14:paraId="78A3F7A2"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41. </w:t>
      </w:r>
      <w:r w:rsidRPr="00D11AD8">
        <w:rPr>
          <w:noProof/>
        </w:rPr>
        <w:tab/>
        <w:t xml:space="preserve"> p 630. British Geological Survey/Department of Public Health Engineering (BGS/DPHE).In: Kinniburgh DG, Smedley PL (eds) British Geological Survey Technical Report WC/00/19, British Geological Survey, Keyworth, “Arsenic contamination of groundwater in Bangladesh” (2001), (available at https://nora.nerc.ac.uk/id/eprint/11986/).</w:t>
      </w:r>
    </w:p>
    <w:p w14:paraId="455FED13"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42. </w:t>
      </w:r>
      <w:r w:rsidRPr="00D11AD8">
        <w:rPr>
          <w:noProof/>
        </w:rPr>
        <w:tab/>
        <w:t xml:space="preserve">Y. Zheng, A. van Geen, M. Stute, R. Dhar, Z. Mo, Z. Cheng, A. Horneman, I. Gavrieli, H. J. Simpson, R. Versteeg, M. Steckler, A. Grazioli-Venier, S. Goodbred, M. Shahnewaz, M. Shamsudduha, M. A. Hoque, K. M. Ahmed, Geochemical and hydrogeological contrasts between shallow and deeper aquifers in two villages of Araihazar, Bangladesh: Implications for deeper aquifers as drinking water sources. </w:t>
      </w:r>
      <w:r w:rsidRPr="00D11AD8">
        <w:rPr>
          <w:i/>
          <w:iCs/>
          <w:noProof/>
        </w:rPr>
        <w:t>Geochim. Cosmochim. Acta</w:t>
      </w:r>
      <w:r w:rsidRPr="00D11AD8">
        <w:rPr>
          <w:noProof/>
        </w:rPr>
        <w:t xml:space="preserve">. </w:t>
      </w:r>
      <w:r w:rsidRPr="00D11AD8">
        <w:rPr>
          <w:b/>
          <w:bCs/>
          <w:noProof/>
        </w:rPr>
        <w:t>69</w:t>
      </w:r>
      <w:r w:rsidRPr="00D11AD8">
        <w:rPr>
          <w:noProof/>
        </w:rPr>
        <w:t>, 5203–5218 (2005).</w:t>
      </w:r>
    </w:p>
    <w:p w14:paraId="0C16C90C"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43. </w:t>
      </w:r>
      <w:r w:rsidRPr="00D11AD8">
        <w:rPr>
          <w:noProof/>
        </w:rPr>
        <w:tab/>
        <w:t xml:space="preserve">M. O. Stahl, A. B. M. Badruzzaman, M. H. Tarek, C. F. Harvey, Geochemical </w:t>
      </w:r>
      <w:r w:rsidRPr="00D11AD8">
        <w:rPr>
          <w:noProof/>
        </w:rPr>
        <w:lastRenderedPageBreak/>
        <w:t xml:space="preserve">transformations beneath man-made ponds: Implications for arsenic mobilization in South Asian aquifers. </w:t>
      </w:r>
      <w:r w:rsidRPr="00D11AD8">
        <w:rPr>
          <w:i/>
          <w:iCs/>
          <w:noProof/>
        </w:rPr>
        <w:t>Geochim. Cosmochim. Acta</w:t>
      </w:r>
      <w:r w:rsidRPr="00D11AD8">
        <w:rPr>
          <w:noProof/>
        </w:rPr>
        <w:t xml:space="preserve">. </w:t>
      </w:r>
      <w:r w:rsidRPr="00D11AD8">
        <w:rPr>
          <w:b/>
          <w:bCs/>
          <w:noProof/>
        </w:rPr>
        <w:t>288</w:t>
      </w:r>
      <w:r w:rsidRPr="00D11AD8">
        <w:rPr>
          <w:noProof/>
        </w:rPr>
        <w:t>, 262–281 (2020).</w:t>
      </w:r>
    </w:p>
    <w:p w14:paraId="612B8E59" w14:textId="77777777" w:rsidR="00D11AD8" w:rsidRPr="00D11AD8" w:rsidRDefault="00D11AD8" w:rsidP="00D11AD8">
      <w:pPr>
        <w:widowControl w:val="0"/>
        <w:autoSpaceDE w:val="0"/>
        <w:autoSpaceDN w:val="0"/>
        <w:adjustRightInd w:val="0"/>
        <w:ind w:left="640" w:hanging="640"/>
        <w:rPr>
          <w:noProof/>
        </w:rPr>
      </w:pPr>
      <w:r w:rsidRPr="00D11AD8">
        <w:rPr>
          <w:noProof/>
        </w:rPr>
        <w:t xml:space="preserve">44. </w:t>
      </w:r>
      <w:r w:rsidRPr="00D11AD8">
        <w:rPr>
          <w:noProof/>
        </w:rPr>
        <w:tab/>
        <w:t xml:space="preserve">D. J. Lapworth, A. Zahid, R. G. Taylor, W. G. Burgess, M. Shamsudduha, K. M. Ahmed, A. Mukherjee, D. C. Gooddy, D. Chatterjee, A. M. MacDonald, Security of Deep Groundwater in the Coastal Bengal Basin Revealed by Tracers. </w:t>
      </w:r>
      <w:r w:rsidRPr="00D11AD8">
        <w:rPr>
          <w:i/>
          <w:iCs/>
          <w:noProof/>
        </w:rPr>
        <w:t>Geophys. Res. Lett.</w:t>
      </w:r>
      <w:r w:rsidRPr="00D11AD8">
        <w:rPr>
          <w:noProof/>
        </w:rPr>
        <w:t xml:space="preserve"> </w:t>
      </w:r>
      <w:r w:rsidRPr="00D11AD8">
        <w:rPr>
          <w:b/>
          <w:bCs/>
          <w:noProof/>
        </w:rPr>
        <w:t>45</w:t>
      </w:r>
      <w:r w:rsidRPr="00D11AD8">
        <w:rPr>
          <w:noProof/>
        </w:rPr>
        <w:t>, 8241–8252 (2018).</w:t>
      </w:r>
    </w:p>
    <w:p w14:paraId="6BA9149D" w14:textId="5F00E6FD" w:rsidR="00545A71" w:rsidRDefault="00545A71" w:rsidP="00D11AD8">
      <w:pPr>
        <w:widowControl w:val="0"/>
        <w:autoSpaceDE w:val="0"/>
        <w:autoSpaceDN w:val="0"/>
        <w:adjustRightInd w:val="0"/>
        <w:ind w:left="640" w:hanging="640"/>
      </w:pPr>
      <w:r>
        <w:fldChar w:fldCharType="end"/>
      </w:r>
    </w:p>
    <w:p w14:paraId="5088B07D" w14:textId="77777777" w:rsidR="00545A71" w:rsidRDefault="00545A71" w:rsidP="00545A71">
      <w:pPr>
        <w:spacing w:after="160"/>
        <w:ind w:firstLine="720"/>
      </w:pPr>
    </w:p>
    <w:p w14:paraId="5955A4A4" w14:textId="77777777" w:rsidR="000C5F69" w:rsidRDefault="00E53787"/>
    <w:sectPr w:rsidR="000C5F69" w:rsidSect="000C489A">
      <w:pgSz w:w="12240" w:h="15840"/>
      <w:pgMar w:top="1440" w:right="1440" w:bottom="1440" w:left="1440" w:header="720" w:footer="720" w:gutter="0"/>
      <w:lnNumType w:countBy="1" w:restart="continuous"/>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A5A92F" w14:textId="77777777" w:rsidR="00E53787" w:rsidRDefault="00E53787">
      <w:r>
        <w:separator/>
      </w:r>
    </w:p>
  </w:endnote>
  <w:endnote w:type="continuationSeparator" w:id="0">
    <w:p w14:paraId="1E1250EC" w14:textId="77777777" w:rsidR="00E53787" w:rsidRDefault="00E53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rgia">
    <w:altName w:val="﷽﷽﷽﷽﷽﷽﷽﷽"/>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89543842"/>
      <w:docPartObj>
        <w:docPartGallery w:val="Page Numbers (Bottom of Page)"/>
        <w:docPartUnique/>
      </w:docPartObj>
    </w:sdtPr>
    <w:sdtEndPr>
      <w:rPr>
        <w:rStyle w:val="PageNumber"/>
      </w:rPr>
    </w:sdtEndPr>
    <w:sdtContent>
      <w:p w14:paraId="49A4F262" w14:textId="77777777" w:rsidR="003E3C58" w:rsidRDefault="00545A71" w:rsidP="00BC09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F3820D" w14:textId="77777777" w:rsidR="003E3C58" w:rsidRDefault="00E53787" w:rsidP="009A7FF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98868166"/>
      <w:docPartObj>
        <w:docPartGallery w:val="Page Numbers (Bottom of Page)"/>
        <w:docPartUnique/>
      </w:docPartObj>
    </w:sdtPr>
    <w:sdtEndPr>
      <w:rPr>
        <w:rStyle w:val="PageNumber"/>
      </w:rPr>
    </w:sdtEndPr>
    <w:sdtContent>
      <w:p w14:paraId="76264646" w14:textId="77777777" w:rsidR="003E3C58" w:rsidRDefault="00545A71" w:rsidP="00BC09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13</w:t>
        </w:r>
        <w:r>
          <w:rPr>
            <w:rStyle w:val="PageNumber"/>
          </w:rPr>
          <w:fldChar w:fldCharType="end"/>
        </w:r>
      </w:p>
    </w:sdtContent>
  </w:sdt>
  <w:p w14:paraId="3562DC59" w14:textId="77777777" w:rsidR="003E3C58" w:rsidRDefault="00E53787" w:rsidP="009A7FF8">
    <w:pPr>
      <w:pBdr>
        <w:top w:val="nil"/>
        <w:left w:val="nil"/>
        <w:bottom w:val="nil"/>
        <w:right w:val="nil"/>
        <w:between w:val="nil"/>
      </w:pBdr>
      <w:tabs>
        <w:tab w:val="center" w:pos="4680"/>
        <w:tab w:val="right" w:pos="9360"/>
      </w:tabs>
      <w:ind w:right="360"/>
      <w:jc w:val="right"/>
      <w:rPr>
        <w:color w:val="000000"/>
      </w:rPr>
    </w:pPr>
  </w:p>
  <w:p w14:paraId="2CAC11FB" w14:textId="77777777" w:rsidR="003E3C58" w:rsidRDefault="00E53787">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33F1E2" w14:textId="77777777" w:rsidR="00E53787" w:rsidRDefault="00E53787">
      <w:r>
        <w:separator/>
      </w:r>
    </w:p>
  </w:footnote>
  <w:footnote w:type="continuationSeparator" w:id="0">
    <w:p w14:paraId="0C498FC2" w14:textId="77777777" w:rsidR="00E53787" w:rsidRDefault="00E537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4923DA"/>
    <w:multiLevelType w:val="multilevel"/>
    <w:tmpl w:val="46BC31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356408A"/>
    <w:multiLevelType w:val="hybridMultilevel"/>
    <w:tmpl w:val="02FE0E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475CE1"/>
    <w:multiLevelType w:val="hybridMultilevel"/>
    <w:tmpl w:val="1F322B8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FD5103"/>
    <w:multiLevelType w:val="hybridMultilevel"/>
    <w:tmpl w:val="BC64CFFA"/>
    <w:lvl w:ilvl="0" w:tplc="04090001">
      <w:start w:val="1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B92CC2"/>
    <w:multiLevelType w:val="hybridMultilevel"/>
    <w:tmpl w:val="41CEDCB4"/>
    <w:lvl w:ilvl="0" w:tplc="00AAF7F6">
      <w:start w:val="11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BE6327E"/>
    <w:multiLevelType w:val="hybridMultilevel"/>
    <w:tmpl w:val="CEB8DE9E"/>
    <w:lvl w:ilvl="0" w:tplc="708E7730">
      <w:start w:val="113"/>
      <w:numFmt w:val="bullet"/>
      <w:lvlText w:val=""/>
      <w:lvlJc w:val="left"/>
      <w:pPr>
        <w:ind w:left="1440" w:hanging="360"/>
      </w:pPr>
      <w:rPr>
        <w:rFonts w:ascii="Symbol" w:eastAsia="Times New Roman"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A71"/>
    <w:rsid w:val="003B06DF"/>
    <w:rsid w:val="00545A71"/>
    <w:rsid w:val="00C37A8A"/>
    <w:rsid w:val="00D11AD8"/>
    <w:rsid w:val="00E53787"/>
    <w:rsid w:val="00EE0D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A1F019"/>
  <w15:chartTrackingRefBased/>
  <w15:docId w15:val="{DF9DE8BE-7281-2148-8048-46F9B4F59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5A71"/>
    <w:rPr>
      <w:rFonts w:ascii="Times New Roman" w:eastAsia="Times New Roman" w:hAnsi="Times New Roman" w:cs="Times New Roman"/>
    </w:rPr>
  </w:style>
  <w:style w:type="paragraph" w:styleId="Heading1">
    <w:name w:val="heading 1"/>
    <w:basedOn w:val="Normal"/>
    <w:next w:val="Normal"/>
    <w:link w:val="Heading1Char"/>
    <w:uiPriority w:val="9"/>
    <w:qFormat/>
    <w:rsid w:val="00545A71"/>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545A71"/>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545A71"/>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545A71"/>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545A71"/>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545A7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5A71"/>
    <w:rPr>
      <w:rFonts w:ascii="Times New Roman" w:eastAsia="Times New Roman" w:hAnsi="Times New Roman" w:cs="Times New Roman"/>
      <w:b/>
      <w:sz w:val="48"/>
      <w:szCs w:val="48"/>
    </w:rPr>
  </w:style>
  <w:style w:type="character" w:customStyle="1" w:styleId="Heading2Char">
    <w:name w:val="Heading 2 Char"/>
    <w:basedOn w:val="DefaultParagraphFont"/>
    <w:link w:val="Heading2"/>
    <w:uiPriority w:val="9"/>
    <w:semiHidden/>
    <w:rsid w:val="00545A71"/>
    <w:rPr>
      <w:rFonts w:ascii="Times New Roman" w:eastAsia="Times New Roman" w:hAnsi="Times New Roman" w:cs="Times New Roman"/>
      <w:b/>
      <w:sz w:val="36"/>
      <w:szCs w:val="36"/>
    </w:rPr>
  </w:style>
  <w:style w:type="character" w:customStyle="1" w:styleId="Heading3Char">
    <w:name w:val="Heading 3 Char"/>
    <w:basedOn w:val="DefaultParagraphFont"/>
    <w:link w:val="Heading3"/>
    <w:uiPriority w:val="9"/>
    <w:semiHidden/>
    <w:rsid w:val="00545A71"/>
    <w:rPr>
      <w:rFonts w:ascii="Times New Roman" w:eastAsia="Times New Roman" w:hAnsi="Times New Roman" w:cs="Times New Roman"/>
      <w:b/>
      <w:sz w:val="28"/>
      <w:szCs w:val="28"/>
    </w:rPr>
  </w:style>
  <w:style w:type="character" w:customStyle="1" w:styleId="Heading4Char">
    <w:name w:val="Heading 4 Char"/>
    <w:basedOn w:val="DefaultParagraphFont"/>
    <w:link w:val="Heading4"/>
    <w:uiPriority w:val="9"/>
    <w:semiHidden/>
    <w:rsid w:val="00545A71"/>
    <w:rPr>
      <w:rFonts w:ascii="Times New Roman" w:eastAsia="Times New Roman" w:hAnsi="Times New Roman" w:cs="Times New Roman"/>
      <w:b/>
    </w:rPr>
  </w:style>
  <w:style w:type="character" w:customStyle="1" w:styleId="Heading5Char">
    <w:name w:val="Heading 5 Char"/>
    <w:basedOn w:val="DefaultParagraphFont"/>
    <w:link w:val="Heading5"/>
    <w:uiPriority w:val="9"/>
    <w:semiHidden/>
    <w:rsid w:val="00545A71"/>
    <w:rPr>
      <w:rFonts w:ascii="Times New Roman" w:eastAsia="Times New Roman" w:hAnsi="Times New Roman" w:cs="Times New Roman"/>
      <w:b/>
      <w:sz w:val="22"/>
      <w:szCs w:val="22"/>
    </w:rPr>
  </w:style>
  <w:style w:type="character" w:customStyle="1" w:styleId="Heading6Char">
    <w:name w:val="Heading 6 Char"/>
    <w:basedOn w:val="DefaultParagraphFont"/>
    <w:link w:val="Heading6"/>
    <w:uiPriority w:val="9"/>
    <w:semiHidden/>
    <w:rsid w:val="00545A71"/>
    <w:rPr>
      <w:rFonts w:ascii="Times New Roman" w:eastAsia="Times New Roman" w:hAnsi="Times New Roman" w:cs="Times New Roman"/>
      <w:b/>
      <w:sz w:val="20"/>
      <w:szCs w:val="20"/>
    </w:rPr>
  </w:style>
  <w:style w:type="paragraph" w:styleId="Title">
    <w:name w:val="Title"/>
    <w:basedOn w:val="Normal"/>
    <w:next w:val="Normal"/>
    <w:link w:val="TitleChar"/>
    <w:uiPriority w:val="10"/>
    <w:qFormat/>
    <w:rsid w:val="00545A71"/>
    <w:pPr>
      <w:keepNext/>
      <w:keepLines/>
      <w:spacing w:before="480" w:after="120"/>
    </w:pPr>
    <w:rPr>
      <w:b/>
      <w:sz w:val="72"/>
      <w:szCs w:val="72"/>
    </w:rPr>
  </w:style>
  <w:style w:type="character" w:customStyle="1" w:styleId="TitleChar">
    <w:name w:val="Title Char"/>
    <w:basedOn w:val="DefaultParagraphFont"/>
    <w:link w:val="Title"/>
    <w:uiPriority w:val="10"/>
    <w:rsid w:val="00545A71"/>
    <w:rPr>
      <w:rFonts w:ascii="Times New Roman" w:eastAsia="Times New Roman" w:hAnsi="Times New Roman" w:cs="Times New Roman"/>
      <w:b/>
      <w:sz w:val="72"/>
      <w:szCs w:val="72"/>
    </w:rPr>
  </w:style>
  <w:style w:type="paragraph" w:styleId="Subtitle">
    <w:name w:val="Subtitle"/>
    <w:basedOn w:val="Normal"/>
    <w:next w:val="Normal"/>
    <w:link w:val="SubtitleChar"/>
    <w:uiPriority w:val="11"/>
    <w:qFormat/>
    <w:rsid w:val="00545A71"/>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545A71"/>
    <w:rPr>
      <w:rFonts w:ascii="Georgia" w:eastAsia="Georgia" w:hAnsi="Georgia" w:cs="Georgia"/>
      <w:i/>
      <w:color w:val="666666"/>
      <w:sz w:val="48"/>
      <w:szCs w:val="48"/>
    </w:rPr>
  </w:style>
  <w:style w:type="paragraph" w:styleId="CommentText">
    <w:name w:val="annotation text"/>
    <w:basedOn w:val="Normal"/>
    <w:link w:val="CommentTextChar"/>
    <w:uiPriority w:val="99"/>
    <w:unhideWhenUsed/>
    <w:rsid w:val="00545A71"/>
    <w:rPr>
      <w:sz w:val="20"/>
      <w:szCs w:val="20"/>
    </w:rPr>
  </w:style>
  <w:style w:type="character" w:customStyle="1" w:styleId="CommentTextChar">
    <w:name w:val="Comment Text Char"/>
    <w:basedOn w:val="DefaultParagraphFont"/>
    <w:link w:val="CommentText"/>
    <w:uiPriority w:val="99"/>
    <w:rsid w:val="00545A71"/>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545A71"/>
    <w:rPr>
      <w:sz w:val="16"/>
      <w:szCs w:val="16"/>
    </w:rPr>
  </w:style>
  <w:style w:type="paragraph" w:styleId="BalloonText">
    <w:name w:val="Balloon Text"/>
    <w:basedOn w:val="Normal"/>
    <w:link w:val="BalloonTextChar"/>
    <w:uiPriority w:val="99"/>
    <w:semiHidden/>
    <w:unhideWhenUsed/>
    <w:rsid w:val="00545A71"/>
    <w:rPr>
      <w:sz w:val="18"/>
      <w:szCs w:val="18"/>
    </w:rPr>
  </w:style>
  <w:style w:type="character" w:customStyle="1" w:styleId="BalloonTextChar">
    <w:name w:val="Balloon Text Char"/>
    <w:basedOn w:val="DefaultParagraphFont"/>
    <w:link w:val="BalloonText"/>
    <w:uiPriority w:val="99"/>
    <w:semiHidden/>
    <w:rsid w:val="00545A71"/>
    <w:rPr>
      <w:rFonts w:ascii="Times New Roman" w:eastAsia="Times New Roman" w:hAnsi="Times New Roman" w:cs="Times New Roman"/>
      <w:sz w:val="18"/>
      <w:szCs w:val="18"/>
    </w:rPr>
  </w:style>
  <w:style w:type="character" w:styleId="LineNumber">
    <w:name w:val="line number"/>
    <w:basedOn w:val="DefaultParagraphFont"/>
    <w:uiPriority w:val="99"/>
    <w:semiHidden/>
    <w:unhideWhenUsed/>
    <w:rsid w:val="00545A71"/>
  </w:style>
  <w:style w:type="table" w:styleId="TableGrid">
    <w:name w:val="Table Grid"/>
    <w:basedOn w:val="TableNormal"/>
    <w:uiPriority w:val="39"/>
    <w:rsid w:val="00545A71"/>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545A71"/>
    <w:rPr>
      <w:b/>
      <w:bCs/>
    </w:rPr>
  </w:style>
  <w:style w:type="character" w:customStyle="1" w:styleId="CommentSubjectChar">
    <w:name w:val="Comment Subject Char"/>
    <w:basedOn w:val="CommentTextChar"/>
    <w:link w:val="CommentSubject"/>
    <w:uiPriority w:val="99"/>
    <w:semiHidden/>
    <w:rsid w:val="00545A71"/>
    <w:rPr>
      <w:rFonts w:ascii="Times New Roman" w:eastAsia="Times New Roman" w:hAnsi="Times New Roman" w:cs="Times New Roman"/>
      <w:b/>
      <w:bCs/>
      <w:sz w:val="20"/>
      <w:szCs w:val="20"/>
    </w:rPr>
  </w:style>
  <w:style w:type="paragraph" w:styleId="Revision">
    <w:name w:val="Revision"/>
    <w:hidden/>
    <w:uiPriority w:val="99"/>
    <w:semiHidden/>
    <w:rsid w:val="00545A71"/>
    <w:rPr>
      <w:rFonts w:ascii="Times New Roman" w:eastAsia="Times New Roman" w:hAnsi="Times New Roman" w:cs="Times New Roman"/>
    </w:rPr>
  </w:style>
  <w:style w:type="paragraph" w:styleId="ListParagraph">
    <w:name w:val="List Paragraph"/>
    <w:basedOn w:val="Normal"/>
    <w:uiPriority w:val="34"/>
    <w:qFormat/>
    <w:rsid w:val="00545A71"/>
    <w:pPr>
      <w:ind w:left="720"/>
      <w:contextualSpacing/>
    </w:pPr>
  </w:style>
  <w:style w:type="paragraph" w:styleId="NormalWeb">
    <w:name w:val="Normal (Web)"/>
    <w:basedOn w:val="Normal"/>
    <w:uiPriority w:val="99"/>
    <w:semiHidden/>
    <w:unhideWhenUsed/>
    <w:rsid w:val="00545A71"/>
    <w:pPr>
      <w:spacing w:before="100" w:beforeAutospacing="1" w:after="100" w:afterAutospacing="1"/>
    </w:pPr>
  </w:style>
  <w:style w:type="character" w:styleId="Hyperlink">
    <w:name w:val="Hyperlink"/>
    <w:basedOn w:val="DefaultParagraphFont"/>
    <w:uiPriority w:val="99"/>
    <w:unhideWhenUsed/>
    <w:rsid w:val="00545A71"/>
    <w:rPr>
      <w:color w:val="0000FF"/>
      <w:u w:val="single"/>
    </w:rPr>
  </w:style>
  <w:style w:type="character" w:styleId="Emphasis">
    <w:name w:val="Emphasis"/>
    <w:basedOn w:val="DefaultParagraphFont"/>
    <w:uiPriority w:val="20"/>
    <w:qFormat/>
    <w:rsid w:val="00545A71"/>
    <w:rPr>
      <w:i/>
      <w:iCs/>
    </w:rPr>
  </w:style>
  <w:style w:type="character" w:styleId="FollowedHyperlink">
    <w:name w:val="FollowedHyperlink"/>
    <w:basedOn w:val="DefaultParagraphFont"/>
    <w:uiPriority w:val="99"/>
    <w:semiHidden/>
    <w:unhideWhenUsed/>
    <w:rsid w:val="00545A71"/>
    <w:rPr>
      <w:color w:val="954F72" w:themeColor="followedHyperlink"/>
      <w:u w:val="single"/>
    </w:rPr>
  </w:style>
  <w:style w:type="paragraph" w:styleId="Footer">
    <w:name w:val="footer"/>
    <w:basedOn w:val="Normal"/>
    <w:link w:val="FooterChar"/>
    <w:uiPriority w:val="99"/>
    <w:unhideWhenUsed/>
    <w:rsid w:val="00545A71"/>
    <w:pPr>
      <w:tabs>
        <w:tab w:val="center" w:pos="4680"/>
        <w:tab w:val="right" w:pos="9360"/>
      </w:tabs>
    </w:pPr>
  </w:style>
  <w:style w:type="character" w:customStyle="1" w:styleId="FooterChar">
    <w:name w:val="Footer Char"/>
    <w:basedOn w:val="DefaultParagraphFont"/>
    <w:link w:val="Footer"/>
    <w:uiPriority w:val="99"/>
    <w:rsid w:val="00545A71"/>
    <w:rPr>
      <w:rFonts w:ascii="Times New Roman" w:eastAsia="Times New Roman" w:hAnsi="Times New Roman" w:cs="Times New Roman"/>
    </w:rPr>
  </w:style>
  <w:style w:type="character" w:styleId="PageNumber">
    <w:name w:val="page number"/>
    <w:basedOn w:val="DefaultParagraphFont"/>
    <w:uiPriority w:val="99"/>
    <w:semiHidden/>
    <w:unhideWhenUsed/>
    <w:rsid w:val="00545A71"/>
  </w:style>
  <w:style w:type="character" w:customStyle="1" w:styleId="UnresolvedMention1">
    <w:name w:val="Unresolved Mention1"/>
    <w:basedOn w:val="DefaultParagraphFont"/>
    <w:uiPriority w:val="99"/>
    <w:semiHidden/>
    <w:unhideWhenUsed/>
    <w:rsid w:val="00545A71"/>
    <w:rPr>
      <w:color w:val="605E5C"/>
      <w:shd w:val="clear" w:color="auto" w:fill="E1DFDD"/>
    </w:rPr>
  </w:style>
  <w:style w:type="character" w:customStyle="1" w:styleId="apple-converted-space">
    <w:name w:val="apple-converted-space"/>
    <w:basedOn w:val="DefaultParagraphFont"/>
    <w:rsid w:val="00545A71"/>
  </w:style>
  <w:style w:type="paragraph" w:customStyle="1" w:styleId="Acknowledgement">
    <w:name w:val="Acknowledgement"/>
    <w:basedOn w:val="Normal"/>
    <w:rsid w:val="00545A71"/>
    <w:pPr>
      <w:spacing w:before="120"/>
      <w:ind w:left="720" w:hanging="720"/>
    </w:pPr>
  </w:style>
  <w:style w:type="character" w:customStyle="1" w:styleId="UnresolvedMention2">
    <w:name w:val="Unresolved Mention2"/>
    <w:basedOn w:val="DefaultParagraphFont"/>
    <w:uiPriority w:val="99"/>
    <w:semiHidden/>
    <w:unhideWhenUsed/>
    <w:rsid w:val="00545A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ateriso.utah.edu/waterisotopes/index.html" TargetMode="External"/><Relationship Id="rId18" Type="http://schemas.openxmlformats.org/officeDocument/2006/relationships/image" Target="media/image7.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orldclim.org/"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2EA85-CB16-0F40-94DE-9253FCDEC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29591</Words>
  <Characters>168671</Characters>
  <Application>Microsoft Office Word</Application>
  <DocSecurity>0</DocSecurity>
  <Lines>1405</Lines>
  <Paragraphs>395</Paragraphs>
  <ScaleCrop>false</ScaleCrop>
  <Company/>
  <LinksUpToDate>false</LinksUpToDate>
  <CharactersWithSpaces>197867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Mohd Yusuf Jameel</dc:creator>
  <cp:keywords/>
  <dc:description/>
  <cp:lastModifiedBy>Mohd Yusuf Jameel</cp:lastModifiedBy>
  <cp:revision>3</cp:revision>
  <dcterms:created xsi:type="dcterms:W3CDTF">2021-04-24T01:09:00Z</dcterms:created>
  <dcterms:modified xsi:type="dcterms:W3CDTF">2021-04-24T01:14:00Z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http://www.zotero.org/styles/science</vt:lpwstr>
  </property>
  <property fmtid="{D5CDD505-2E9C-101B-9397-08002B2CF9AE}" pid="19" name="Mendeley Recent Style Name 8_1">
    <vt:lpwstr>Science</vt:lpwstr>
  </property>
  <property fmtid="{D5CDD505-2E9C-101B-9397-08002B2CF9AE}" pid="20" name="Mendeley Recent Style Id 9_1">
    <vt:lpwstr>http://www.zotero.org/styles/science-of-the-total-environment</vt:lpwstr>
  </property>
  <property fmtid="{D5CDD505-2E9C-101B-9397-08002B2CF9AE}" pid="21" name="Mendeley Recent Style Name 9_1">
    <vt:lpwstr>Science of the Total Environment</vt:lpwstr>
  </property>
  <property fmtid="{D5CDD505-2E9C-101B-9397-08002B2CF9AE}" pid="22" name="Mendeley Document_1">
    <vt:lpwstr>True</vt:lpwstr>
  </property>
  <property fmtid="{D5CDD505-2E9C-101B-9397-08002B2CF9AE}" pid="23" name="Mendeley Unique User Id_1">
    <vt:lpwstr>0ad0983c-bdfd-3136-99a9-b36e45cb69d3</vt:lpwstr>
  </property>
  <property fmtid="{D5CDD505-2E9C-101B-9397-08002B2CF9AE}" pid="24" name="Mendeley Citation Style_1">
    <vt:lpwstr>http://www.zotero.org/styles/science</vt:lpwstr>
  </property>
</Properties>
</file>