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22"/>
        <w:gridCol w:w="7041"/>
        <w:gridCol w:w="720"/>
        <w:gridCol w:w="4320"/>
      </w:tblGrid>
      <w:tr w:rsidR="00D8098C" w:rsidRPr="00B853C6" w14:paraId="68BC94E2" w14:textId="1CEFEAFD" w:rsidTr="003D447D">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22"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7041"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720" w:type="dxa"/>
            <w:tcBorders>
              <w:top w:val="single" w:sz="4" w:space="0" w:color="auto"/>
              <w:bottom w:val="single" w:sz="6" w:space="0" w:color="7F7F7F"/>
            </w:tcBorders>
          </w:tcPr>
          <w:p w14:paraId="26D050FB" w14:textId="497E77E4" w:rsidR="00D8098C" w:rsidRPr="00F0337F"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Page No.</w:t>
            </w:r>
          </w:p>
        </w:tc>
        <w:tc>
          <w:tcPr>
            <w:tcW w:w="4320" w:type="dxa"/>
            <w:tcBorders>
              <w:top w:val="single" w:sz="4" w:space="0" w:color="auto"/>
              <w:bottom w:val="single" w:sz="6" w:space="0" w:color="7F7F7F"/>
            </w:tcBorders>
          </w:tcPr>
          <w:p w14:paraId="3B169EDD" w14:textId="040F4512" w:rsidR="00D8098C" w:rsidRDefault="00EF4B94" w:rsidP="00426603">
            <w:pPr>
              <w:spacing w:beforeLines="40" w:before="96" w:afterLines="40" w:after="96" w:line="24" w:lineRule="atLeast"/>
              <w:rPr>
                <w:rFonts w:eastAsia="Cambria"/>
                <w:b/>
                <w:bCs/>
                <w:sz w:val="18"/>
                <w:szCs w:val="18"/>
                <w:lang w:val="en-GB" w:eastAsia="en-US"/>
              </w:rPr>
            </w:pPr>
            <w:r>
              <w:rPr>
                <w:rFonts w:eastAsia="Cambria"/>
                <w:b/>
                <w:bCs/>
                <w:sz w:val="18"/>
                <w:szCs w:val="18"/>
                <w:lang w:val="en-GB" w:eastAsia="en-US"/>
              </w:rPr>
              <w:t>Relevant text from manuscript</w:t>
            </w:r>
          </w:p>
        </w:tc>
      </w:tr>
      <w:tr w:rsidR="00D8098C" w:rsidRPr="00B853C6" w14:paraId="6D71F361" w14:textId="15A67F44" w:rsidTr="003D447D">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22"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7041"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720" w:type="dxa"/>
            <w:tcBorders>
              <w:top w:val="single" w:sz="6" w:space="0" w:color="7F7F7F"/>
              <w:bottom w:val="single" w:sz="6" w:space="0" w:color="7F7F7F"/>
            </w:tcBorders>
            <w:shd w:val="clear" w:color="auto" w:fill="EEEEEE"/>
          </w:tcPr>
          <w:p w14:paraId="428F187D" w14:textId="27FA0B3E" w:rsidR="00D8098C" w:rsidRPr="00905B18" w:rsidRDefault="00905B18"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1,2</w:t>
            </w:r>
          </w:p>
        </w:tc>
        <w:tc>
          <w:tcPr>
            <w:tcW w:w="4320" w:type="dxa"/>
            <w:tcBorders>
              <w:top w:val="single" w:sz="6" w:space="0" w:color="7F7F7F"/>
              <w:bottom w:val="single" w:sz="6" w:space="0" w:color="7F7F7F"/>
            </w:tcBorders>
            <w:shd w:val="clear" w:color="auto" w:fill="EEEEEE"/>
          </w:tcPr>
          <w:p w14:paraId="2F6D1FAF" w14:textId="53FB60F9" w:rsidR="00D8098C" w:rsidRDefault="000A56B5" w:rsidP="00426603">
            <w:pPr>
              <w:spacing w:beforeLines="40" w:before="96" w:afterLines="40" w:after="96" w:line="24" w:lineRule="atLeast"/>
              <w:rPr>
                <w:rFonts w:eastAsia="Times New Roman"/>
                <w:sz w:val="18"/>
                <w:szCs w:val="18"/>
                <w:lang w:val="en-GB" w:eastAsia="en-GB"/>
              </w:rPr>
            </w:pPr>
            <w:r w:rsidRPr="000A56B5">
              <w:rPr>
                <w:rFonts w:eastAsia="Times New Roman"/>
                <w:sz w:val="18"/>
                <w:szCs w:val="18"/>
                <w:lang w:val="en-GB" w:eastAsia="en-GB"/>
              </w:rPr>
              <w:t>Television time raised the fasting plasma glucose in non-diabetes population: evidences from NHANES and Mendelian randomization study</w:t>
            </w:r>
          </w:p>
        </w:tc>
      </w:tr>
      <w:tr w:rsidR="00D8098C" w:rsidRPr="00B853C6" w14:paraId="641E6A58" w14:textId="3A4EC1CE" w:rsidTr="003D447D">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7041"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3D447D">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22"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7041"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720" w:type="dxa"/>
            <w:shd w:val="clear" w:color="auto" w:fill="EEEEEE"/>
          </w:tcPr>
          <w:p w14:paraId="460FB29C" w14:textId="38FB977A" w:rsidR="00D8098C" w:rsidRPr="00905B18" w:rsidRDefault="00905B18"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2,3</w:t>
            </w:r>
          </w:p>
        </w:tc>
        <w:tc>
          <w:tcPr>
            <w:tcW w:w="4320" w:type="dxa"/>
            <w:shd w:val="clear" w:color="auto" w:fill="EEEEEE"/>
          </w:tcPr>
          <w:p w14:paraId="5D990A22" w14:textId="46E4A1A6" w:rsidR="00D8098C" w:rsidRPr="000A56B5" w:rsidRDefault="000A56B5" w:rsidP="00426603">
            <w:pPr>
              <w:spacing w:beforeLines="40" w:before="96" w:afterLines="40" w:after="96" w:line="24" w:lineRule="atLeast"/>
              <w:rPr>
                <w:rFonts w:eastAsiaTheme="minorEastAsia" w:hint="eastAsia"/>
                <w:sz w:val="18"/>
                <w:szCs w:val="18"/>
                <w:lang w:val="en-GB" w:eastAsia="zh-CN"/>
              </w:rPr>
            </w:pPr>
            <w:proofErr w:type="gramStart"/>
            <w:r>
              <w:rPr>
                <w:rFonts w:eastAsiaTheme="minorEastAsia"/>
                <w:sz w:val="18"/>
                <w:szCs w:val="18"/>
                <w:lang w:val="en-GB" w:eastAsia="zh-CN"/>
              </w:rPr>
              <w:t>…</w:t>
            </w:r>
            <w:r>
              <w:rPr>
                <w:rFonts w:eastAsiaTheme="minorEastAsia" w:hint="eastAsia"/>
                <w:sz w:val="18"/>
                <w:szCs w:val="18"/>
                <w:lang w:val="en-GB" w:eastAsia="zh-CN"/>
              </w:rPr>
              <w:t>..</w:t>
            </w:r>
            <w:proofErr w:type="gramEnd"/>
            <w:r w:rsidRPr="000A56B5">
              <w:rPr>
                <w:rFonts w:eastAsia="Times New Roman"/>
                <w:sz w:val="18"/>
                <w:szCs w:val="18"/>
                <w:lang w:val="en-GB" w:eastAsia="en-GB"/>
              </w:rPr>
              <w:t>However, based on the evidence from epidemiology, the causal relationship among them in the population requires further verification</w:t>
            </w:r>
            <w:r>
              <w:rPr>
                <w:rFonts w:eastAsia="Times New Roman"/>
                <w:sz w:val="18"/>
                <w:szCs w:val="18"/>
                <w:lang w:val="en-GB" w:eastAsia="en-GB"/>
              </w:rPr>
              <w:t>…</w:t>
            </w:r>
            <w:r>
              <w:rPr>
                <w:rFonts w:eastAsiaTheme="minorEastAsia" w:hint="eastAsia"/>
                <w:sz w:val="18"/>
                <w:szCs w:val="18"/>
                <w:lang w:val="en-GB" w:eastAsia="zh-CN"/>
              </w:rPr>
              <w:t>..</w:t>
            </w:r>
          </w:p>
        </w:tc>
      </w:tr>
      <w:tr w:rsidR="00D8098C" w:rsidRPr="00B853C6" w14:paraId="7907A3D3" w14:textId="5AB948A7" w:rsidTr="003D447D">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22"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7041"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720" w:type="dxa"/>
            <w:tcBorders>
              <w:bottom w:val="single" w:sz="6" w:space="0" w:color="7F7F7F"/>
            </w:tcBorders>
          </w:tcPr>
          <w:p w14:paraId="2294F6C5" w14:textId="26EEE8A1" w:rsidR="00D8098C" w:rsidRPr="00905B18" w:rsidRDefault="00905B18"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w:t>
            </w:r>
          </w:p>
        </w:tc>
        <w:tc>
          <w:tcPr>
            <w:tcW w:w="4320" w:type="dxa"/>
            <w:tcBorders>
              <w:bottom w:val="single" w:sz="6" w:space="0" w:color="7F7F7F"/>
            </w:tcBorders>
          </w:tcPr>
          <w:p w14:paraId="11250836" w14:textId="42001EAC" w:rsidR="00D8098C" w:rsidRDefault="000A56B5" w:rsidP="00426603">
            <w:pPr>
              <w:spacing w:beforeLines="40" w:before="96" w:afterLines="40" w:after="96" w:line="24" w:lineRule="atLeast"/>
              <w:rPr>
                <w:rFonts w:eastAsia="Times New Roman"/>
                <w:sz w:val="18"/>
                <w:szCs w:val="18"/>
                <w:lang w:val="en-GB" w:eastAsia="en-GB"/>
              </w:rPr>
            </w:pPr>
            <w:r w:rsidRPr="000A56B5">
              <w:rPr>
                <w:rFonts w:eastAsia="Times New Roman"/>
                <w:sz w:val="18"/>
                <w:szCs w:val="18"/>
                <w:lang w:val="en-GB" w:eastAsia="en-GB"/>
              </w:rPr>
              <w:t>Specially, focusing on the relationship between watching TV and blood glucose in non-diabetic individuals is more beneficial for diabetes prevention.</w:t>
            </w:r>
          </w:p>
        </w:tc>
      </w:tr>
      <w:tr w:rsidR="00D8098C" w:rsidRPr="00B853C6" w14:paraId="59599383" w14:textId="2880B554" w:rsidTr="003D447D">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7041"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3D447D">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22"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7041"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720" w:type="dxa"/>
          </w:tcPr>
          <w:p w14:paraId="0E181C75" w14:textId="272EF53F" w:rsidR="00D8098C" w:rsidRPr="00905B18" w:rsidRDefault="00905B18"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3,4,5</w:t>
            </w:r>
          </w:p>
        </w:tc>
        <w:tc>
          <w:tcPr>
            <w:tcW w:w="4320" w:type="dxa"/>
          </w:tcPr>
          <w:p w14:paraId="23CE0AC6" w14:textId="04142EA3" w:rsidR="00D8098C" w:rsidRPr="000A56B5" w:rsidRDefault="000A56B5" w:rsidP="00426603">
            <w:pPr>
              <w:spacing w:beforeLines="40" w:before="96" w:afterLines="40" w:after="96" w:line="24" w:lineRule="atLeast"/>
              <w:rPr>
                <w:rFonts w:eastAsiaTheme="minorEastAsia" w:hint="eastAsia"/>
                <w:sz w:val="18"/>
                <w:szCs w:val="18"/>
                <w:lang w:val="en-GB" w:eastAsia="zh-CN"/>
              </w:rPr>
            </w:pPr>
            <w:r w:rsidRPr="000A56B5">
              <w:rPr>
                <w:rFonts w:eastAsia="Times New Roman"/>
                <w:sz w:val="18"/>
                <w:szCs w:val="18"/>
                <w:lang w:val="en-GB" w:eastAsia="en-GB"/>
              </w:rPr>
              <w:t>The epidemiology population from NHANES</w:t>
            </w:r>
            <w:r>
              <w:rPr>
                <w:rFonts w:eastAsiaTheme="minorEastAsia" w:hint="eastAsia"/>
                <w:sz w:val="18"/>
                <w:szCs w:val="18"/>
                <w:lang w:val="en-GB" w:eastAsia="zh-CN"/>
              </w:rPr>
              <w:t xml:space="preserve">; </w:t>
            </w:r>
            <w:r w:rsidRPr="000A56B5">
              <w:rPr>
                <w:rFonts w:eastAsiaTheme="minorEastAsia"/>
                <w:sz w:val="18"/>
                <w:szCs w:val="18"/>
                <w:lang w:val="en-GB" w:eastAsia="zh-CN"/>
              </w:rPr>
              <w:t xml:space="preserve">The GWAS data from </w:t>
            </w:r>
            <w:proofErr w:type="spellStart"/>
            <w:r w:rsidRPr="000A56B5">
              <w:rPr>
                <w:rFonts w:eastAsiaTheme="minorEastAsia"/>
                <w:sz w:val="18"/>
                <w:szCs w:val="18"/>
                <w:lang w:val="en-GB" w:eastAsia="zh-CN"/>
              </w:rPr>
              <w:t>ieu-opengwas</w:t>
            </w:r>
            <w:proofErr w:type="spellEnd"/>
            <w:r w:rsidRPr="000A56B5">
              <w:rPr>
                <w:rFonts w:eastAsiaTheme="minorEastAsia"/>
                <w:sz w:val="18"/>
                <w:szCs w:val="18"/>
                <w:lang w:val="en-GB" w:eastAsia="zh-CN"/>
              </w:rPr>
              <w:t xml:space="preserve"> project</w:t>
            </w:r>
          </w:p>
        </w:tc>
      </w:tr>
      <w:tr w:rsidR="00D8098C" w:rsidRPr="00B853C6" w14:paraId="47D5AE21" w14:textId="3CA8D4AF" w:rsidTr="003D447D">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720" w:type="dxa"/>
            <w:shd w:val="clear" w:color="auto" w:fill="EEEEEE"/>
          </w:tcPr>
          <w:p w14:paraId="048ED5CF" w14:textId="4F834847" w:rsidR="00D8098C" w:rsidRPr="00905B18" w:rsidRDefault="00905B18" w:rsidP="00426603">
            <w:pPr>
              <w:spacing w:beforeLines="40" w:before="96" w:afterLines="40" w:after="96" w:line="24" w:lineRule="atLeast"/>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3</w:t>
            </w:r>
          </w:p>
        </w:tc>
        <w:tc>
          <w:tcPr>
            <w:tcW w:w="4320" w:type="dxa"/>
            <w:shd w:val="clear" w:color="auto" w:fill="EEEEEE"/>
          </w:tcPr>
          <w:p w14:paraId="33F4171D" w14:textId="7CCA6B3E" w:rsidR="00D8098C" w:rsidRPr="000A56B5" w:rsidRDefault="000A56B5" w:rsidP="00426603">
            <w:pPr>
              <w:spacing w:beforeLines="40" w:before="96" w:afterLines="40" w:after="96" w:line="24" w:lineRule="atLeast"/>
              <w:rPr>
                <w:rFonts w:eastAsiaTheme="minorEastAsia" w:hint="eastAsia"/>
                <w:sz w:val="18"/>
                <w:szCs w:val="18"/>
                <w:shd w:val="clear" w:color="auto" w:fill="FFFFFF"/>
                <w:lang w:val="en-GB" w:eastAsia="zh-CN"/>
              </w:rPr>
            </w:pPr>
            <w:r w:rsidRPr="000A56B5">
              <w:rPr>
                <w:rFonts w:eastAsia="Times New Roman"/>
                <w:sz w:val="18"/>
                <w:szCs w:val="18"/>
                <w:shd w:val="clear" w:color="auto" w:fill="FFFFFF"/>
                <w:lang w:val="en-GB" w:eastAsia="en-GB"/>
              </w:rPr>
              <w:t>Outcome – FPG and HbA1c</w:t>
            </w:r>
            <w:r>
              <w:rPr>
                <w:rFonts w:eastAsiaTheme="minorEastAsia" w:hint="eastAsia"/>
                <w:sz w:val="18"/>
                <w:szCs w:val="18"/>
                <w:shd w:val="clear" w:color="auto" w:fill="FFFFFF"/>
                <w:lang w:val="en-GB" w:eastAsia="zh-CN"/>
              </w:rPr>
              <w:t xml:space="preserve">; </w:t>
            </w:r>
            <w:r w:rsidRPr="000A56B5">
              <w:rPr>
                <w:rFonts w:eastAsiaTheme="minorEastAsia"/>
                <w:sz w:val="18"/>
                <w:szCs w:val="18"/>
                <w:shd w:val="clear" w:color="auto" w:fill="FFFFFF"/>
                <w:lang w:val="en-GB" w:eastAsia="zh-CN"/>
              </w:rPr>
              <w:t>Physical activity-watching TV time</w:t>
            </w:r>
            <w:r>
              <w:rPr>
                <w:rFonts w:eastAsiaTheme="minorEastAsia" w:hint="eastAsia"/>
                <w:sz w:val="18"/>
                <w:szCs w:val="18"/>
                <w:shd w:val="clear" w:color="auto" w:fill="FFFFFF"/>
                <w:lang w:val="en-GB" w:eastAsia="zh-CN"/>
              </w:rPr>
              <w:t xml:space="preserve">, exposure factor. </w:t>
            </w:r>
          </w:p>
        </w:tc>
      </w:tr>
      <w:tr w:rsidR="00D8098C" w:rsidRPr="00B853C6" w14:paraId="376A6F82" w14:textId="43693FDC" w:rsidTr="003D447D">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720" w:type="dxa"/>
          </w:tcPr>
          <w:p w14:paraId="29ACC32C" w14:textId="03D80C66" w:rsidR="00D8098C" w:rsidRPr="00905B18" w:rsidRDefault="00905B18" w:rsidP="00426603">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3,4</w:t>
            </w:r>
          </w:p>
        </w:tc>
        <w:tc>
          <w:tcPr>
            <w:tcW w:w="4320" w:type="dxa"/>
          </w:tcPr>
          <w:p w14:paraId="37C3B4C3" w14:textId="08016AE0" w:rsidR="00D8098C" w:rsidRDefault="000A56B5"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0A56B5">
              <w:rPr>
                <w:rFonts w:eastAsia="Times New Roman"/>
                <w:sz w:val="18"/>
                <w:szCs w:val="18"/>
                <w:shd w:val="clear" w:color="auto" w:fill="FFFFFF"/>
                <w:lang w:val="en-GB" w:eastAsia="en-GB"/>
              </w:rPr>
              <w:t>Ukb-a-5, which was uploaded by Neale and his colleagues in 2017, included 10,894,596 SNPs and 319,740 European population participants. Ukb-b-5192, which was uploaded by Ben and his colleagues in 2018, included 9,851,867 SNPs and 437,887 European individuals.</w:t>
            </w:r>
          </w:p>
        </w:tc>
      </w:tr>
      <w:tr w:rsidR="00D8098C" w:rsidRPr="00B853C6" w14:paraId="04B065C7" w14:textId="72F11B68" w:rsidTr="003D447D">
        <w:tc>
          <w:tcPr>
            <w:tcW w:w="587" w:type="dxa"/>
            <w:shd w:val="clear" w:color="auto" w:fill="EEEEEE"/>
          </w:tcPr>
          <w:p w14:paraId="09448E2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60DD29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7B54F10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720" w:type="dxa"/>
            <w:shd w:val="clear" w:color="auto" w:fill="EEEEEE"/>
          </w:tcPr>
          <w:p w14:paraId="2CDB28F5" w14:textId="385C6848" w:rsidR="00D8098C" w:rsidRPr="00905B18" w:rsidRDefault="00905B18" w:rsidP="00426603">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3,4,5</w:t>
            </w:r>
          </w:p>
        </w:tc>
        <w:tc>
          <w:tcPr>
            <w:tcW w:w="4320" w:type="dxa"/>
            <w:shd w:val="clear" w:color="auto" w:fill="EEEEEE"/>
          </w:tcPr>
          <w:p w14:paraId="26B556E6" w14:textId="6D3192BA" w:rsidR="00D8098C" w:rsidRDefault="000A56B5" w:rsidP="00426603">
            <w:pPr>
              <w:spacing w:beforeLines="40" w:before="96" w:afterLines="40" w:after="96" w:line="24" w:lineRule="atLeast"/>
              <w:rPr>
                <w:rFonts w:eastAsia="Times New Roman"/>
                <w:sz w:val="18"/>
                <w:szCs w:val="18"/>
                <w:lang w:val="en-GB" w:eastAsia="en-GB"/>
              </w:rPr>
            </w:pPr>
            <w:r w:rsidRPr="000A56B5">
              <w:rPr>
                <w:rFonts w:eastAsia="Times New Roman"/>
                <w:sz w:val="18"/>
                <w:szCs w:val="18"/>
                <w:lang w:val="en-GB" w:eastAsia="en-GB"/>
              </w:rPr>
              <w:t>R packages such as “</w:t>
            </w:r>
            <w:proofErr w:type="spellStart"/>
            <w:r w:rsidRPr="000A56B5">
              <w:rPr>
                <w:rFonts w:eastAsia="Times New Roman"/>
                <w:sz w:val="18"/>
                <w:szCs w:val="18"/>
                <w:lang w:val="en-GB" w:eastAsia="en-GB"/>
              </w:rPr>
              <w:t>TwoSampleMR</w:t>
            </w:r>
            <w:proofErr w:type="spellEnd"/>
            <w:r w:rsidRPr="000A56B5">
              <w:rPr>
                <w:rFonts w:eastAsia="Times New Roman"/>
                <w:sz w:val="18"/>
                <w:szCs w:val="18"/>
                <w:lang w:val="en-GB" w:eastAsia="en-GB"/>
              </w:rPr>
              <w:t>” and “MRPRESSO” were utilized to explore the causal association exposure factor (TV-watching times) and outcome index (FPG) using GWAS data.</w:t>
            </w:r>
          </w:p>
        </w:tc>
      </w:tr>
      <w:tr w:rsidR="000A56B5" w:rsidRPr="00B853C6" w14:paraId="215DDE8E" w14:textId="5C8C984B" w:rsidTr="003D447D">
        <w:tc>
          <w:tcPr>
            <w:tcW w:w="587" w:type="dxa"/>
            <w:shd w:val="clear" w:color="auto" w:fill="auto"/>
          </w:tcPr>
          <w:p w14:paraId="7E3D460D"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0FB55ADC"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B6B6065" w14:textId="77777777" w:rsidR="000A56B5" w:rsidRPr="00A1236D" w:rsidRDefault="000A56B5" w:rsidP="000A56B5">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720" w:type="dxa"/>
          </w:tcPr>
          <w:p w14:paraId="37FB656C" w14:textId="4C19634E" w:rsidR="000A56B5" w:rsidRPr="00905B18" w:rsidRDefault="000A56B5" w:rsidP="000A56B5">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4</w:t>
            </w:r>
          </w:p>
        </w:tc>
        <w:tc>
          <w:tcPr>
            <w:tcW w:w="4320" w:type="dxa"/>
          </w:tcPr>
          <w:p w14:paraId="18BB4B57" w14:textId="19107F0A" w:rsidR="000A56B5" w:rsidRDefault="000A56B5" w:rsidP="000A56B5">
            <w:pPr>
              <w:spacing w:beforeLines="40" w:before="96" w:afterLines="40" w:after="96" w:line="24" w:lineRule="atLeast"/>
              <w:textAlignment w:val="baseline"/>
              <w:rPr>
                <w:rFonts w:eastAsia="Times New Roman"/>
                <w:sz w:val="18"/>
                <w:szCs w:val="18"/>
                <w:shd w:val="clear" w:color="auto" w:fill="FFFFFF"/>
                <w:lang w:val="en-GB" w:eastAsia="en-GB"/>
              </w:rPr>
            </w:pPr>
            <w:r w:rsidRPr="000A56B5">
              <w:rPr>
                <w:rFonts w:eastAsia="Times New Roman"/>
                <w:sz w:val="18"/>
                <w:szCs w:val="18"/>
                <w:shd w:val="clear" w:color="auto" w:fill="FFFFFF"/>
                <w:lang w:val="en-GB" w:eastAsia="en-GB"/>
              </w:rPr>
              <w:t>Outcome – FPG and HbA1c</w:t>
            </w:r>
            <w:r>
              <w:rPr>
                <w:rFonts w:eastAsiaTheme="minorEastAsia" w:hint="eastAsia"/>
                <w:sz w:val="18"/>
                <w:szCs w:val="18"/>
                <w:shd w:val="clear" w:color="auto" w:fill="FFFFFF"/>
                <w:lang w:val="en-GB" w:eastAsia="zh-CN"/>
              </w:rPr>
              <w:t xml:space="preserve">; </w:t>
            </w:r>
            <w:r w:rsidRPr="000A56B5">
              <w:rPr>
                <w:rFonts w:eastAsiaTheme="minorEastAsia"/>
                <w:sz w:val="18"/>
                <w:szCs w:val="18"/>
                <w:shd w:val="clear" w:color="auto" w:fill="FFFFFF"/>
                <w:lang w:val="en-GB" w:eastAsia="zh-CN"/>
              </w:rPr>
              <w:t>Physical activity-watching TV time</w:t>
            </w:r>
            <w:r>
              <w:rPr>
                <w:rFonts w:eastAsiaTheme="minorEastAsia" w:hint="eastAsia"/>
                <w:sz w:val="18"/>
                <w:szCs w:val="18"/>
                <w:shd w:val="clear" w:color="auto" w:fill="FFFFFF"/>
                <w:lang w:val="en-GB" w:eastAsia="zh-CN"/>
              </w:rPr>
              <w:t xml:space="preserve">, exposure factor. </w:t>
            </w:r>
          </w:p>
        </w:tc>
      </w:tr>
      <w:tr w:rsidR="000A56B5" w:rsidRPr="00B853C6" w14:paraId="69A6C8B1" w14:textId="39D94CE4" w:rsidTr="003D447D">
        <w:tc>
          <w:tcPr>
            <w:tcW w:w="587" w:type="dxa"/>
            <w:shd w:val="clear" w:color="auto" w:fill="EEEEEE"/>
          </w:tcPr>
          <w:p w14:paraId="292FBB97"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3C46B4"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EEEEEE"/>
          </w:tcPr>
          <w:p w14:paraId="4E713FBB" w14:textId="77777777" w:rsidR="000A56B5" w:rsidRPr="00A1236D" w:rsidRDefault="000A56B5" w:rsidP="000A56B5">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720" w:type="dxa"/>
            <w:shd w:val="clear" w:color="auto" w:fill="EEEEEE"/>
          </w:tcPr>
          <w:p w14:paraId="2754FA07" w14:textId="7CA6D1E5" w:rsidR="000A56B5" w:rsidRPr="00905B18" w:rsidRDefault="000A56B5" w:rsidP="000A56B5">
            <w:pPr>
              <w:spacing w:beforeLines="40" w:before="96" w:afterLines="40" w:after="96" w:line="24" w:lineRule="atLeast"/>
              <w:textAlignment w:val="baseline"/>
              <w:rPr>
                <w:rFonts w:eastAsiaTheme="minorEastAsia" w:hint="eastAsia"/>
                <w:sz w:val="18"/>
                <w:szCs w:val="18"/>
                <w:shd w:val="clear" w:color="auto" w:fill="FFFFFF"/>
                <w:lang w:val="en-GB" w:eastAsia="zh-CN"/>
              </w:rPr>
            </w:pPr>
            <w:r>
              <w:rPr>
                <w:rFonts w:eastAsiaTheme="minorEastAsia" w:hint="eastAsia"/>
                <w:sz w:val="18"/>
                <w:szCs w:val="18"/>
                <w:shd w:val="clear" w:color="auto" w:fill="FFFFFF"/>
                <w:lang w:val="en-GB" w:eastAsia="zh-CN"/>
              </w:rPr>
              <w:t>8</w:t>
            </w:r>
          </w:p>
        </w:tc>
        <w:tc>
          <w:tcPr>
            <w:tcW w:w="4320" w:type="dxa"/>
            <w:shd w:val="clear" w:color="auto" w:fill="EEEEEE"/>
          </w:tcPr>
          <w:p w14:paraId="6067A95B" w14:textId="16C9F53D" w:rsidR="000A56B5" w:rsidRDefault="000A56B5" w:rsidP="000A56B5">
            <w:pPr>
              <w:spacing w:beforeLines="40" w:before="96" w:afterLines="40" w:after="96" w:line="24" w:lineRule="atLeast"/>
              <w:textAlignment w:val="baseline"/>
              <w:rPr>
                <w:rFonts w:eastAsia="Times New Roman"/>
                <w:sz w:val="18"/>
                <w:szCs w:val="18"/>
                <w:shd w:val="clear" w:color="auto" w:fill="FFFFFF"/>
                <w:lang w:val="en-GB" w:eastAsia="en-GB"/>
              </w:rPr>
            </w:pPr>
            <w:r w:rsidRPr="000A56B5">
              <w:rPr>
                <w:rFonts w:eastAsia="Times New Roman"/>
                <w:sz w:val="18"/>
                <w:szCs w:val="18"/>
                <w:shd w:val="clear" w:color="auto" w:fill="FFFFFF"/>
                <w:lang w:val="en-GB" w:eastAsia="en-GB"/>
              </w:rPr>
              <w:t xml:space="preserve">The study was reviewed and approved by the ethics committee of the Xuzhou central hospital. </w:t>
            </w:r>
            <w:r w:rsidRPr="000A56B5">
              <w:rPr>
                <w:rFonts w:eastAsia="Times New Roman"/>
                <w:sz w:val="18"/>
                <w:szCs w:val="18"/>
                <w:shd w:val="clear" w:color="auto" w:fill="FFFFFF"/>
                <w:lang w:val="en-GB" w:eastAsia="en-GB"/>
              </w:rPr>
              <w:lastRenderedPageBreak/>
              <w:t>The NO. of ethics committee approval is XZXY-LJ-20201110-060.</w:t>
            </w:r>
          </w:p>
        </w:tc>
      </w:tr>
      <w:tr w:rsidR="000A56B5" w:rsidRPr="00B853C6" w14:paraId="23EA53EC" w14:textId="1D3E4E77" w:rsidTr="003D447D">
        <w:tc>
          <w:tcPr>
            <w:tcW w:w="587" w:type="dxa"/>
            <w:shd w:val="clear" w:color="auto" w:fill="auto"/>
          </w:tcPr>
          <w:p w14:paraId="3E6E0D63"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5</w:t>
            </w:r>
          </w:p>
        </w:tc>
        <w:tc>
          <w:tcPr>
            <w:tcW w:w="1822" w:type="dxa"/>
            <w:shd w:val="clear" w:color="auto" w:fill="auto"/>
          </w:tcPr>
          <w:p w14:paraId="1F0455B3"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0A56B5" w:rsidRPr="00F0337F" w:rsidRDefault="000A56B5" w:rsidP="000A56B5">
            <w:pPr>
              <w:spacing w:beforeLines="40" w:before="96" w:afterLines="40" w:after="96" w:line="24" w:lineRule="atLeast"/>
              <w:jc w:val="center"/>
              <w:rPr>
                <w:rFonts w:eastAsia="Cambria"/>
                <w:sz w:val="18"/>
                <w:szCs w:val="18"/>
                <w:lang w:val="en-GB" w:eastAsia="en-US"/>
              </w:rPr>
            </w:pPr>
          </w:p>
        </w:tc>
        <w:tc>
          <w:tcPr>
            <w:tcW w:w="7041" w:type="dxa"/>
            <w:shd w:val="clear" w:color="auto" w:fill="auto"/>
          </w:tcPr>
          <w:p w14:paraId="5139727F"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720" w:type="dxa"/>
          </w:tcPr>
          <w:p w14:paraId="6A2AE76D" w14:textId="59B74EB6"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7A54DE1B" w14:textId="41E7B385" w:rsidR="000A56B5" w:rsidRDefault="00816BB4" w:rsidP="000A56B5">
            <w:pPr>
              <w:spacing w:beforeLines="40" w:before="96" w:afterLines="40" w:after="96" w:line="24" w:lineRule="atLeast"/>
              <w:rPr>
                <w:rFonts w:eastAsia="Times New Roman"/>
                <w:sz w:val="18"/>
                <w:szCs w:val="18"/>
                <w:lang w:val="en-GB" w:eastAsia="en-GB"/>
              </w:rPr>
            </w:pPr>
            <w:r w:rsidRPr="00816BB4">
              <w:rPr>
                <w:rFonts w:eastAsia="Times New Roman"/>
                <w:sz w:val="18"/>
                <w:szCs w:val="18"/>
                <w:lang w:val="en-GB" w:eastAsia="en-GB"/>
              </w:rPr>
              <w:t>R packages such as “</w:t>
            </w:r>
            <w:proofErr w:type="spellStart"/>
            <w:r w:rsidRPr="00816BB4">
              <w:rPr>
                <w:rFonts w:eastAsia="Times New Roman"/>
                <w:sz w:val="18"/>
                <w:szCs w:val="18"/>
                <w:lang w:val="en-GB" w:eastAsia="en-GB"/>
              </w:rPr>
              <w:t>TwoSampleMR</w:t>
            </w:r>
            <w:proofErr w:type="spellEnd"/>
            <w:r w:rsidRPr="00816BB4">
              <w:rPr>
                <w:rFonts w:eastAsia="Times New Roman"/>
                <w:sz w:val="18"/>
                <w:szCs w:val="18"/>
                <w:lang w:val="en-GB" w:eastAsia="en-GB"/>
              </w:rPr>
              <w:t>” and “MRPRESSO” were utilized to explore the causal association exposure factor (TV-watching times) and outcome index (FPG) using GWAS data</w:t>
            </w:r>
          </w:p>
        </w:tc>
      </w:tr>
      <w:tr w:rsidR="000A56B5" w:rsidRPr="00B853C6" w14:paraId="6209F8C8" w14:textId="78A53B40" w:rsidTr="003D447D">
        <w:tc>
          <w:tcPr>
            <w:tcW w:w="587" w:type="dxa"/>
            <w:shd w:val="clear" w:color="auto" w:fill="EEEEEE"/>
          </w:tcPr>
          <w:p w14:paraId="6FA239C8"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6</w:t>
            </w:r>
          </w:p>
        </w:tc>
        <w:tc>
          <w:tcPr>
            <w:tcW w:w="1822" w:type="dxa"/>
            <w:shd w:val="clear" w:color="auto" w:fill="EEEEEE"/>
          </w:tcPr>
          <w:p w14:paraId="3D8F9E93"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7041" w:type="dxa"/>
            <w:shd w:val="clear" w:color="auto" w:fill="EEEEEE"/>
          </w:tcPr>
          <w:p w14:paraId="49C33D0D"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720" w:type="dxa"/>
            <w:shd w:val="clear" w:color="auto" w:fill="EEEEEE"/>
          </w:tcPr>
          <w:p w14:paraId="0D1191BA" w14:textId="68539367"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75DF0C4B" w14:textId="6716EED8" w:rsidR="000A56B5" w:rsidRDefault="00816BB4" w:rsidP="000A56B5">
            <w:pPr>
              <w:spacing w:beforeLines="40" w:before="96" w:afterLines="40" w:after="96" w:line="24" w:lineRule="atLeast"/>
              <w:rPr>
                <w:rFonts w:eastAsia="Times New Roman"/>
                <w:sz w:val="18"/>
                <w:szCs w:val="18"/>
                <w:lang w:val="en-GB" w:eastAsia="en-GB"/>
              </w:rPr>
            </w:pPr>
            <w:r w:rsidRPr="00816BB4">
              <w:rPr>
                <w:rFonts w:eastAsia="Times New Roman"/>
                <w:sz w:val="18"/>
                <w:szCs w:val="18"/>
                <w:lang w:val="en-GB" w:eastAsia="en-GB"/>
              </w:rPr>
              <w:t>R packages such as “</w:t>
            </w:r>
            <w:proofErr w:type="spellStart"/>
            <w:r w:rsidRPr="00816BB4">
              <w:rPr>
                <w:rFonts w:eastAsia="Times New Roman"/>
                <w:sz w:val="18"/>
                <w:szCs w:val="18"/>
                <w:lang w:val="en-GB" w:eastAsia="en-GB"/>
              </w:rPr>
              <w:t>TwoSampleMR</w:t>
            </w:r>
            <w:proofErr w:type="spellEnd"/>
            <w:r w:rsidRPr="00816BB4">
              <w:rPr>
                <w:rFonts w:eastAsia="Times New Roman"/>
                <w:sz w:val="18"/>
                <w:szCs w:val="18"/>
                <w:lang w:val="en-GB" w:eastAsia="en-GB"/>
              </w:rPr>
              <w:t>” and “MRPRESSO” were utilized to explore the causal association exposure factor (TV-watching times) and outcome index (FPG) using GWAS data</w:t>
            </w:r>
          </w:p>
        </w:tc>
      </w:tr>
      <w:tr w:rsidR="000A56B5" w:rsidRPr="00B853C6" w14:paraId="4346E621" w14:textId="11B8B572" w:rsidTr="003D447D">
        <w:tc>
          <w:tcPr>
            <w:tcW w:w="587" w:type="dxa"/>
            <w:shd w:val="clear" w:color="auto" w:fill="auto"/>
          </w:tcPr>
          <w:p w14:paraId="339A016D"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3635743C"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3BB90022"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quantitative variables were handled in the analyses (i.e., scale, units, model)</w:t>
            </w:r>
          </w:p>
        </w:tc>
        <w:tc>
          <w:tcPr>
            <w:tcW w:w="720" w:type="dxa"/>
          </w:tcPr>
          <w:p w14:paraId="22720A53" w14:textId="694AB6D9"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76159846" w14:textId="4176D873" w:rsidR="000A56B5" w:rsidRDefault="00816BB4" w:rsidP="000A56B5">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Not applicable</w:t>
            </w:r>
          </w:p>
        </w:tc>
      </w:tr>
      <w:tr w:rsidR="000A56B5" w:rsidRPr="00B853C6" w14:paraId="642A4D4B" w14:textId="4880F3BA" w:rsidTr="003D447D">
        <w:tc>
          <w:tcPr>
            <w:tcW w:w="587" w:type="dxa"/>
            <w:shd w:val="clear" w:color="auto" w:fill="EEEEEE"/>
          </w:tcPr>
          <w:p w14:paraId="11F7484C"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69D49F3"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6B2ACDE9"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720" w:type="dxa"/>
            <w:shd w:val="clear" w:color="auto" w:fill="EEEEEE"/>
          </w:tcPr>
          <w:p w14:paraId="0DAE64B0" w14:textId="72559A44"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4</w:t>
            </w:r>
          </w:p>
        </w:tc>
        <w:tc>
          <w:tcPr>
            <w:tcW w:w="4320" w:type="dxa"/>
            <w:shd w:val="clear" w:color="auto" w:fill="EEEEEE"/>
          </w:tcPr>
          <w:p w14:paraId="1612F89F" w14:textId="00867659" w:rsidR="000A56B5" w:rsidRDefault="00816BB4" w:rsidP="000A56B5">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Not applicable</w:t>
            </w:r>
          </w:p>
        </w:tc>
      </w:tr>
      <w:tr w:rsidR="000A56B5" w:rsidRPr="00B853C6" w14:paraId="70378831" w14:textId="0868B0A4" w:rsidTr="003D447D">
        <w:tc>
          <w:tcPr>
            <w:tcW w:w="587" w:type="dxa"/>
            <w:shd w:val="clear" w:color="auto" w:fill="auto"/>
          </w:tcPr>
          <w:p w14:paraId="45E41495"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9F665E7"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CB03D96"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720" w:type="dxa"/>
          </w:tcPr>
          <w:p w14:paraId="7B7E7C35" w14:textId="590C1112"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334D44EB" w14:textId="4A24CAD7" w:rsidR="000A56B5" w:rsidRDefault="00816BB4" w:rsidP="000A56B5">
            <w:pPr>
              <w:spacing w:beforeLines="40" w:before="96" w:afterLines="40" w:after="96" w:line="24" w:lineRule="atLeast"/>
              <w:rPr>
                <w:rFonts w:eastAsia="Times New Roman"/>
                <w:sz w:val="18"/>
                <w:szCs w:val="18"/>
                <w:lang w:val="en-GB" w:eastAsia="en-GB"/>
              </w:rPr>
            </w:pPr>
            <w:r>
              <w:rPr>
                <w:rFonts w:eastAsiaTheme="minorEastAsia" w:hint="eastAsia"/>
                <w:sz w:val="18"/>
                <w:szCs w:val="18"/>
                <w:lang w:val="en-GB" w:eastAsia="zh-CN"/>
              </w:rPr>
              <w:t>Not applicable</w:t>
            </w:r>
          </w:p>
        </w:tc>
      </w:tr>
      <w:tr w:rsidR="000A56B5" w:rsidRPr="00B853C6" w14:paraId="0D8F3A7E" w14:textId="14623463" w:rsidTr="003D447D">
        <w:tc>
          <w:tcPr>
            <w:tcW w:w="587" w:type="dxa"/>
            <w:shd w:val="clear" w:color="auto" w:fill="EEEEEE"/>
          </w:tcPr>
          <w:p w14:paraId="1D70C4CD"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0A3AAFD6"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08786389"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720" w:type="dxa"/>
            <w:shd w:val="clear" w:color="auto" w:fill="EEEEEE"/>
          </w:tcPr>
          <w:p w14:paraId="297C3632" w14:textId="3EF7CECF"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16808665"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77F037B8" w14:textId="6696FA54" w:rsidTr="003D447D">
        <w:tc>
          <w:tcPr>
            <w:tcW w:w="587" w:type="dxa"/>
            <w:shd w:val="clear" w:color="auto" w:fill="auto"/>
          </w:tcPr>
          <w:p w14:paraId="4AC39E55"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D9E0350"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shd w:val="clear" w:color="auto" w:fill="auto"/>
          </w:tcPr>
          <w:p w14:paraId="41F1E523"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720" w:type="dxa"/>
          </w:tcPr>
          <w:p w14:paraId="6B5C4982" w14:textId="43C5AAEC"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490E44D4" w14:textId="6A09AA68" w:rsidR="000A56B5" w:rsidRPr="00816BB4" w:rsidRDefault="00816BB4"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Not applicable</w:t>
            </w:r>
          </w:p>
        </w:tc>
      </w:tr>
      <w:tr w:rsidR="000A56B5" w:rsidRPr="00B853C6" w14:paraId="585043CE" w14:textId="4922F612" w:rsidTr="003D447D">
        <w:tc>
          <w:tcPr>
            <w:tcW w:w="587" w:type="dxa"/>
            <w:shd w:val="clear" w:color="auto" w:fill="EEEEEE"/>
          </w:tcPr>
          <w:p w14:paraId="55967D09"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22" w:type="dxa"/>
            <w:shd w:val="clear" w:color="auto" w:fill="EEEEEE"/>
          </w:tcPr>
          <w:p w14:paraId="0947B164"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1E6D0B1E" w14:textId="77777777" w:rsidR="000A56B5" w:rsidRPr="00A1236D" w:rsidRDefault="000A56B5" w:rsidP="000A56B5">
            <w:pPr>
              <w:tabs>
                <w:tab w:val="left" w:pos="162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methods or prior knowledge used to assess the assumptions or justify their validity</w:t>
            </w:r>
            <w:r w:rsidRPr="00A1236D">
              <w:rPr>
                <w:rFonts w:eastAsia="Cambria"/>
                <w:sz w:val="18"/>
                <w:szCs w:val="18"/>
                <w:lang w:val="en-GB" w:eastAsia="en-US"/>
              </w:rPr>
              <w:tab/>
            </w:r>
          </w:p>
        </w:tc>
        <w:tc>
          <w:tcPr>
            <w:tcW w:w="720" w:type="dxa"/>
            <w:shd w:val="clear" w:color="auto" w:fill="EEEEEE"/>
          </w:tcPr>
          <w:p w14:paraId="61C50F74" w14:textId="106F2D19" w:rsidR="000A56B5" w:rsidRPr="00905B18" w:rsidRDefault="000A56B5" w:rsidP="000A56B5">
            <w:pPr>
              <w:tabs>
                <w:tab w:val="left" w:pos="1620"/>
              </w:tabs>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shd w:val="clear" w:color="auto" w:fill="EEEEEE"/>
          </w:tcPr>
          <w:p w14:paraId="5D46DB2B" w14:textId="77777777" w:rsidR="000A56B5" w:rsidRDefault="000A56B5" w:rsidP="000A56B5">
            <w:pPr>
              <w:tabs>
                <w:tab w:val="left" w:pos="1620"/>
              </w:tabs>
              <w:spacing w:beforeLines="40" w:before="96" w:afterLines="40" w:after="96" w:line="24" w:lineRule="atLeast"/>
              <w:rPr>
                <w:rFonts w:eastAsia="Times New Roman"/>
                <w:sz w:val="18"/>
                <w:szCs w:val="18"/>
                <w:lang w:val="en-GB" w:eastAsia="en-GB"/>
              </w:rPr>
            </w:pPr>
          </w:p>
        </w:tc>
      </w:tr>
      <w:tr w:rsidR="000A56B5" w:rsidRPr="00B853C6" w14:paraId="383932D9" w14:textId="2C1AFE56" w:rsidTr="003D447D">
        <w:tc>
          <w:tcPr>
            <w:tcW w:w="587" w:type="dxa"/>
            <w:shd w:val="clear" w:color="auto" w:fill="auto"/>
          </w:tcPr>
          <w:p w14:paraId="1A4621BC"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8</w:t>
            </w:r>
          </w:p>
        </w:tc>
        <w:tc>
          <w:tcPr>
            <w:tcW w:w="1822" w:type="dxa"/>
            <w:shd w:val="clear" w:color="auto" w:fill="auto"/>
          </w:tcPr>
          <w:p w14:paraId="0F88F25B"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7041" w:type="dxa"/>
            <w:shd w:val="clear" w:color="auto" w:fill="auto"/>
          </w:tcPr>
          <w:p w14:paraId="13C6445C"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720" w:type="dxa"/>
          </w:tcPr>
          <w:p w14:paraId="4B9B6FF5" w14:textId="72371FD7"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229BFDFD" w14:textId="336A43B2" w:rsidR="000A56B5" w:rsidRDefault="00816BB4" w:rsidP="000A56B5">
            <w:pPr>
              <w:spacing w:beforeLines="40" w:before="96" w:afterLines="40" w:after="96" w:line="24" w:lineRule="atLeast"/>
              <w:rPr>
                <w:rFonts w:eastAsia="Times New Roman"/>
                <w:sz w:val="18"/>
                <w:szCs w:val="18"/>
                <w:lang w:val="en-GB" w:eastAsia="en-GB"/>
              </w:rPr>
            </w:pPr>
            <w:r w:rsidRPr="00816BB4">
              <w:rPr>
                <w:rFonts w:eastAsia="Times New Roman"/>
                <w:sz w:val="18"/>
                <w:szCs w:val="18"/>
                <w:lang w:val="en-GB" w:eastAsia="en-GB"/>
              </w:rPr>
              <w:t>R packages such as “</w:t>
            </w:r>
            <w:proofErr w:type="spellStart"/>
            <w:r w:rsidRPr="00816BB4">
              <w:rPr>
                <w:rFonts w:eastAsia="Times New Roman"/>
                <w:sz w:val="18"/>
                <w:szCs w:val="18"/>
                <w:lang w:val="en-GB" w:eastAsia="en-GB"/>
              </w:rPr>
              <w:t>TwoSampleMR</w:t>
            </w:r>
            <w:proofErr w:type="spellEnd"/>
            <w:r w:rsidRPr="00816BB4">
              <w:rPr>
                <w:rFonts w:eastAsia="Times New Roman"/>
                <w:sz w:val="18"/>
                <w:szCs w:val="18"/>
                <w:lang w:val="en-GB" w:eastAsia="en-GB"/>
              </w:rPr>
              <w:t>” and “MRPRESSO” were utilized to explore the causal association exposure factor (TV-watching times) and outcome index (FPG) using GWAS data</w:t>
            </w:r>
          </w:p>
        </w:tc>
      </w:tr>
      <w:tr w:rsidR="000A56B5" w:rsidRPr="00B853C6" w14:paraId="55C7A410" w14:textId="0BAB653A" w:rsidTr="003D447D">
        <w:tc>
          <w:tcPr>
            <w:tcW w:w="587" w:type="dxa"/>
            <w:shd w:val="clear" w:color="auto" w:fill="EEEEEE"/>
          </w:tcPr>
          <w:p w14:paraId="056075DE"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22" w:type="dxa"/>
            <w:shd w:val="clear" w:color="auto" w:fill="EEEEEE"/>
          </w:tcPr>
          <w:p w14:paraId="6096809E"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7041" w:type="dxa"/>
            <w:shd w:val="clear" w:color="auto" w:fill="EEEEEE"/>
          </w:tcPr>
          <w:p w14:paraId="08D1055E"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shd w:val="clear" w:color="auto" w:fill="EEEEEE"/>
          </w:tcPr>
          <w:p w14:paraId="721E714E"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4320" w:type="dxa"/>
            <w:shd w:val="clear" w:color="auto" w:fill="EEEEEE"/>
          </w:tcPr>
          <w:p w14:paraId="495710C0"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5EA9EBD1" w14:textId="4D05FA5B" w:rsidTr="003D447D">
        <w:tc>
          <w:tcPr>
            <w:tcW w:w="587" w:type="dxa"/>
            <w:shd w:val="clear" w:color="auto" w:fill="auto"/>
          </w:tcPr>
          <w:p w14:paraId="66EDED80"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BD32B9"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054FBA47"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720" w:type="dxa"/>
          </w:tcPr>
          <w:p w14:paraId="305BB821" w14:textId="1F5E871A"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79626260" w14:textId="5DC91A67" w:rsidR="000A56B5" w:rsidRDefault="00816BB4" w:rsidP="000A56B5">
            <w:pPr>
              <w:spacing w:beforeLines="40" w:before="96" w:afterLines="40" w:after="96" w:line="24" w:lineRule="atLeast"/>
              <w:rPr>
                <w:rFonts w:eastAsia="Times New Roman"/>
                <w:sz w:val="18"/>
                <w:szCs w:val="18"/>
                <w:lang w:val="en-GB" w:eastAsia="en-GB"/>
              </w:rPr>
            </w:pPr>
            <w:r w:rsidRPr="00816BB4">
              <w:rPr>
                <w:rFonts w:eastAsia="Times New Roman"/>
                <w:sz w:val="18"/>
                <w:szCs w:val="18"/>
                <w:lang w:val="en-GB" w:eastAsia="en-GB"/>
              </w:rPr>
              <w:t>R packages such as “</w:t>
            </w:r>
            <w:proofErr w:type="spellStart"/>
            <w:r w:rsidRPr="00816BB4">
              <w:rPr>
                <w:rFonts w:eastAsia="Times New Roman"/>
                <w:sz w:val="18"/>
                <w:szCs w:val="18"/>
                <w:lang w:val="en-GB" w:eastAsia="en-GB"/>
              </w:rPr>
              <w:t>TwoSampleMR</w:t>
            </w:r>
            <w:proofErr w:type="spellEnd"/>
            <w:r w:rsidRPr="00816BB4">
              <w:rPr>
                <w:rFonts w:eastAsia="Times New Roman"/>
                <w:sz w:val="18"/>
                <w:szCs w:val="18"/>
                <w:lang w:val="en-GB" w:eastAsia="en-GB"/>
              </w:rPr>
              <w:t>” and “MRPRESSO” were utilized to explore the causal association exposure factor (TV-watching times) and outcome index (FPG) using GWAS data</w:t>
            </w:r>
          </w:p>
        </w:tc>
      </w:tr>
      <w:tr w:rsidR="000A56B5" w:rsidRPr="00B853C6" w14:paraId="6A631D93" w14:textId="2BD5AA8E" w:rsidTr="003D447D">
        <w:tc>
          <w:tcPr>
            <w:tcW w:w="587" w:type="dxa"/>
            <w:tcBorders>
              <w:bottom w:val="single" w:sz="6" w:space="0" w:color="7F7F7F"/>
            </w:tcBorders>
            <w:shd w:val="clear" w:color="auto" w:fill="EEEEEE"/>
          </w:tcPr>
          <w:p w14:paraId="37C88958"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2349B556"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tcBorders>
              <w:bottom w:val="single" w:sz="6" w:space="0" w:color="7F7F7F"/>
            </w:tcBorders>
            <w:shd w:val="clear" w:color="auto" w:fill="EEEEEE"/>
          </w:tcPr>
          <w:p w14:paraId="5DBE58D7"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720" w:type="dxa"/>
            <w:tcBorders>
              <w:bottom w:val="single" w:sz="6" w:space="0" w:color="7F7F7F"/>
            </w:tcBorders>
            <w:shd w:val="clear" w:color="auto" w:fill="EEEEEE"/>
          </w:tcPr>
          <w:p w14:paraId="2325504F" w14:textId="0B53FEC8"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Borders>
              <w:bottom w:val="single" w:sz="6" w:space="0" w:color="7F7F7F"/>
            </w:tcBorders>
            <w:shd w:val="clear" w:color="auto" w:fill="EEEEEE"/>
          </w:tcPr>
          <w:p w14:paraId="3EFCD231" w14:textId="6DBC20D8" w:rsidR="000A56B5" w:rsidRDefault="00816BB4" w:rsidP="000A56B5">
            <w:pPr>
              <w:spacing w:beforeLines="40" w:before="96" w:afterLines="40" w:after="96" w:line="24" w:lineRule="atLeast"/>
              <w:rPr>
                <w:rFonts w:eastAsia="Times New Roman"/>
                <w:sz w:val="18"/>
                <w:szCs w:val="18"/>
                <w:lang w:val="en-GB" w:eastAsia="en-GB"/>
              </w:rPr>
            </w:pPr>
            <w:r w:rsidRPr="00816BB4">
              <w:rPr>
                <w:rFonts w:eastAsia="Times New Roman"/>
                <w:sz w:val="18"/>
                <w:szCs w:val="18"/>
                <w:lang w:val="en-GB" w:eastAsia="en-GB"/>
              </w:rPr>
              <w:t>R packages such as “</w:t>
            </w:r>
            <w:proofErr w:type="spellStart"/>
            <w:r w:rsidRPr="00816BB4">
              <w:rPr>
                <w:rFonts w:eastAsia="Times New Roman"/>
                <w:sz w:val="18"/>
                <w:szCs w:val="18"/>
                <w:lang w:val="en-GB" w:eastAsia="en-GB"/>
              </w:rPr>
              <w:t>TwoSampleMR</w:t>
            </w:r>
            <w:proofErr w:type="spellEnd"/>
            <w:r w:rsidRPr="00816BB4">
              <w:rPr>
                <w:rFonts w:eastAsia="Times New Roman"/>
                <w:sz w:val="18"/>
                <w:szCs w:val="18"/>
                <w:lang w:val="en-GB" w:eastAsia="en-GB"/>
              </w:rPr>
              <w:t>” and “MRPRESSO” were utilized to explore the causal association exposure factor (TV-watching times) and outcome index (FPG) using GWAS data</w:t>
            </w:r>
          </w:p>
        </w:tc>
      </w:tr>
      <w:tr w:rsidR="000A56B5" w:rsidRPr="00B853C6" w14:paraId="040F15E5" w14:textId="3B11C618" w:rsidTr="003D447D">
        <w:tc>
          <w:tcPr>
            <w:tcW w:w="587" w:type="dxa"/>
            <w:tcBorders>
              <w:top w:val="single" w:sz="6" w:space="0" w:color="7F7F7F"/>
            </w:tcBorders>
            <w:shd w:val="clear" w:color="auto" w:fill="auto"/>
          </w:tcPr>
          <w:p w14:paraId="777278B3"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7D8D653B"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7041" w:type="dxa"/>
            <w:tcBorders>
              <w:top w:val="single" w:sz="6" w:space="0" w:color="7F7F7F"/>
            </w:tcBorders>
            <w:shd w:val="clear" w:color="auto" w:fill="auto"/>
          </w:tcPr>
          <w:p w14:paraId="34719287"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0E355A69"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3E956D1"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67F47EED" w14:textId="4A481C08" w:rsidTr="003D447D">
        <w:tc>
          <w:tcPr>
            <w:tcW w:w="587" w:type="dxa"/>
            <w:shd w:val="clear" w:color="auto" w:fill="EEEEEE"/>
          </w:tcPr>
          <w:p w14:paraId="51C7A54B"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22" w:type="dxa"/>
            <w:shd w:val="clear" w:color="auto" w:fill="EEEEEE"/>
          </w:tcPr>
          <w:p w14:paraId="731D0370"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7041" w:type="dxa"/>
            <w:shd w:val="clear" w:color="auto" w:fill="EEEEEE"/>
          </w:tcPr>
          <w:p w14:paraId="3B19CDAF"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shd w:val="clear" w:color="auto" w:fill="EEEEEE"/>
          </w:tcPr>
          <w:p w14:paraId="1091FF57"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4320" w:type="dxa"/>
            <w:shd w:val="clear" w:color="auto" w:fill="EEEEEE"/>
          </w:tcPr>
          <w:p w14:paraId="4B684E79"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6CA228D1" w14:textId="316B6A36" w:rsidTr="003D447D">
        <w:tc>
          <w:tcPr>
            <w:tcW w:w="587" w:type="dxa"/>
            <w:shd w:val="clear" w:color="auto" w:fill="auto"/>
          </w:tcPr>
          <w:p w14:paraId="29B62776"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C1499C8"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4D5C652C" w14:textId="6B5065AC"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numbers of individuals at each stage of included studies and reasons for ex</w:t>
            </w:r>
            <w:r>
              <w:rPr>
                <w:rFonts w:eastAsia="Times New Roman"/>
                <w:sz w:val="18"/>
                <w:szCs w:val="18"/>
                <w:lang w:val="en-GB" w:eastAsia="en-GB"/>
              </w:rPr>
              <w:t xml:space="preserve">clusion. Consider use of a flow </w:t>
            </w:r>
            <w:r w:rsidRPr="00A1236D">
              <w:rPr>
                <w:rFonts w:eastAsia="Times New Roman"/>
                <w:sz w:val="18"/>
                <w:szCs w:val="18"/>
                <w:lang w:val="en-GB" w:eastAsia="en-GB"/>
              </w:rPr>
              <w:t>diagram</w:t>
            </w:r>
          </w:p>
        </w:tc>
        <w:tc>
          <w:tcPr>
            <w:tcW w:w="720" w:type="dxa"/>
          </w:tcPr>
          <w:p w14:paraId="7AF8CC23" w14:textId="73BD2122"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5</w:t>
            </w:r>
          </w:p>
        </w:tc>
        <w:tc>
          <w:tcPr>
            <w:tcW w:w="4320" w:type="dxa"/>
          </w:tcPr>
          <w:p w14:paraId="00D65497" w14:textId="1A83E65C" w:rsidR="000A56B5" w:rsidRPr="00816BB4" w:rsidRDefault="00816BB4" w:rsidP="000A56B5">
            <w:pPr>
              <w:spacing w:beforeLines="40" w:before="96" w:afterLines="40" w:after="96" w:line="24" w:lineRule="atLeast"/>
              <w:rPr>
                <w:rFonts w:eastAsiaTheme="minorEastAsia" w:hint="eastAsia"/>
                <w:sz w:val="18"/>
                <w:szCs w:val="18"/>
                <w:lang w:val="en-GB" w:eastAsia="zh-CN"/>
              </w:rPr>
            </w:pPr>
            <w:r w:rsidRPr="00816BB4">
              <w:rPr>
                <w:rFonts w:eastAsia="Times New Roman"/>
                <w:sz w:val="18"/>
                <w:szCs w:val="18"/>
                <w:lang w:val="en-GB" w:eastAsia="en-GB"/>
              </w:rPr>
              <w:t>A total of 8,402 non-diabetes participants who met inclusion and exclusion criteria were divided into three groups based on their TV-watching habits: the group watching less than 2 hours (n = 2,673), the group watching 2 to 4 hours (n = 3,693</w:t>
            </w:r>
            <w:proofErr w:type="gramStart"/>
            <w:r w:rsidRPr="00816BB4">
              <w:rPr>
                <w:rFonts w:eastAsia="Times New Roman"/>
                <w:sz w:val="18"/>
                <w:szCs w:val="18"/>
                <w:lang w:val="en-GB" w:eastAsia="en-GB"/>
              </w:rPr>
              <w:t>),</w:t>
            </w:r>
            <w:r>
              <w:rPr>
                <w:rFonts w:eastAsiaTheme="minorEastAsia" w:hint="eastAsia"/>
                <w:sz w:val="18"/>
                <w:szCs w:val="18"/>
                <w:lang w:val="en-GB" w:eastAsia="zh-CN"/>
              </w:rPr>
              <w:t>;</w:t>
            </w:r>
            <w:proofErr w:type="gramEnd"/>
            <w:r>
              <w:t xml:space="preserve"> </w:t>
            </w:r>
            <w:r w:rsidRPr="00816BB4">
              <w:rPr>
                <w:rFonts w:eastAsiaTheme="minorEastAsia"/>
                <w:sz w:val="18"/>
                <w:szCs w:val="18"/>
                <w:lang w:val="en-GB" w:eastAsia="zh-CN"/>
              </w:rPr>
              <w:t>Ukb-a-5, which was uploaded by Neale and his colleagues in 2017, included 10,894,596 SNPs and 319,740 European population participants. Ukb-b-5192, which was uploaded by Ben and his colleagues in 2018, included 9,851,867 SNPs and 437,887 European individuals. Scott et al performed a GWAS meta-analysis and identified certain SNPs that increased the risk of diabetes. This GWAS study involved 133,010 European individuals, and its dataset was uploaded to the IEU-</w:t>
            </w:r>
            <w:proofErr w:type="spellStart"/>
            <w:r w:rsidRPr="00816BB4">
              <w:rPr>
                <w:rFonts w:eastAsiaTheme="minorEastAsia"/>
                <w:sz w:val="18"/>
                <w:szCs w:val="18"/>
                <w:lang w:val="en-GB" w:eastAsia="zh-CN"/>
              </w:rPr>
              <w:t>opengwas</w:t>
            </w:r>
            <w:proofErr w:type="spellEnd"/>
            <w:r w:rsidRPr="00816BB4">
              <w:rPr>
                <w:rFonts w:eastAsiaTheme="minorEastAsia"/>
                <w:sz w:val="18"/>
                <w:szCs w:val="18"/>
                <w:lang w:val="en-GB" w:eastAsia="zh-CN"/>
              </w:rPr>
              <w:t xml:space="preserve"> project website under the name ieu-b-114. Ebi-a-GCST90002232, another GWAS study about FPG and diabetes, included 31,008,728 SNPs and 200,622 European individuals.</w:t>
            </w:r>
          </w:p>
        </w:tc>
      </w:tr>
      <w:tr w:rsidR="000A56B5" w:rsidRPr="00B853C6" w14:paraId="0765C344" w14:textId="3B2EDCCF" w:rsidTr="003D447D">
        <w:tc>
          <w:tcPr>
            <w:tcW w:w="587" w:type="dxa"/>
            <w:shd w:val="clear" w:color="auto" w:fill="EEEEEE"/>
          </w:tcPr>
          <w:p w14:paraId="2404BFFB"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545C2F1"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5491AF" w14:textId="3F437E24"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summary statistics for phenotypic exposure(s), outcome(s)</w:t>
            </w:r>
            <w:r>
              <w:rPr>
                <w:rFonts w:eastAsia="Times New Roman"/>
                <w:sz w:val="18"/>
                <w:szCs w:val="18"/>
                <w:lang w:val="en-GB" w:eastAsia="en-GB"/>
              </w:rPr>
              <w:t>,</w:t>
            </w:r>
            <w:r w:rsidRPr="00A1236D">
              <w:rPr>
                <w:rFonts w:eastAsia="Times New Roman"/>
                <w:sz w:val="18"/>
                <w:szCs w:val="18"/>
                <w:lang w:val="en-GB" w:eastAsia="en-GB"/>
              </w:rPr>
              <w:t xml:space="preserve"> and other relevant variables (e.g. means, </w:t>
            </w:r>
            <w:r>
              <w:rPr>
                <w:rFonts w:eastAsia="Times New Roman"/>
                <w:sz w:val="18"/>
                <w:szCs w:val="18"/>
                <w:lang w:val="en-GB" w:eastAsia="en-GB"/>
              </w:rPr>
              <w:t>SDs</w:t>
            </w:r>
            <w:r w:rsidRPr="00A1236D">
              <w:rPr>
                <w:rFonts w:eastAsia="Times New Roman"/>
                <w:sz w:val="18"/>
                <w:szCs w:val="18"/>
                <w:lang w:val="en-GB" w:eastAsia="en-GB"/>
              </w:rPr>
              <w:t>, proportions)</w:t>
            </w:r>
          </w:p>
        </w:tc>
        <w:tc>
          <w:tcPr>
            <w:tcW w:w="720" w:type="dxa"/>
            <w:shd w:val="clear" w:color="auto" w:fill="EEEEEE"/>
          </w:tcPr>
          <w:p w14:paraId="03BBA613" w14:textId="39AD0A04"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0FD9D468" w14:textId="6C3F153F" w:rsidR="000A56B5" w:rsidRDefault="00816BB4" w:rsidP="000A56B5">
            <w:pPr>
              <w:spacing w:beforeLines="40" w:before="96" w:afterLines="40" w:after="96" w:line="24" w:lineRule="atLeast"/>
              <w:rPr>
                <w:rFonts w:eastAsia="Times New Roman"/>
                <w:sz w:val="18"/>
                <w:szCs w:val="18"/>
                <w:lang w:val="en-GB" w:eastAsia="en-GB"/>
              </w:rPr>
            </w:pPr>
            <w:r w:rsidRPr="00816BB4">
              <w:rPr>
                <w:rFonts w:eastAsia="Times New Roman"/>
                <w:sz w:val="18"/>
                <w:szCs w:val="18"/>
                <w:lang w:val="en-GB" w:eastAsia="en-GB"/>
              </w:rPr>
              <w:t>In this comprehensive analysis, we incorporated four autonomous genetic variants into our MR investigations (Table 2). The effect sizes of SNPs on both exposure (watching TV times) and the outcome (FPG) have been present through Figure 4. According to the recognized inverse variance weighted (IVW) method, our estimations indicate the causal relationship between TV-watching times and FPG level in three pairs</w:t>
            </w:r>
          </w:p>
        </w:tc>
      </w:tr>
      <w:tr w:rsidR="000A56B5" w:rsidRPr="00B853C6" w14:paraId="48F10342" w14:textId="398F2C24" w:rsidTr="003D447D">
        <w:tc>
          <w:tcPr>
            <w:tcW w:w="587" w:type="dxa"/>
            <w:shd w:val="clear" w:color="auto" w:fill="auto"/>
          </w:tcPr>
          <w:p w14:paraId="6600AF43"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435099F2"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062EB561"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720" w:type="dxa"/>
          </w:tcPr>
          <w:p w14:paraId="10F6EF39" w14:textId="3E660E40"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449D40FD" w14:textId="3A6A0674" w:rsidR="000A56B5" w:rsidRPr="007914C5" w:rsidRDefault="007914C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Not appliable</w:t>
            </w:r>
          </w:p>
        </w:tc>
      </w:tr>
      <w:tr w:rsidR="000A56B5" w:rsidRPr="00B853C6" w14:paraId="51930A8C" w14:textId="221D5A9E" w:rsidTr="003D447D">
        <w:tc>
          <w:tcPr>
            <w:tcW w:w="587" w:type="dxa"/>
            <w:shd w:val="clear" w:color="auto" w:fill="EEEEEE"/>
          </w:tcPr>
          <w:p w14:paraId="6116DD95"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453F7877"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EEEEEE"/>
          </w:tcPr>
          <w:p w14:paraId="2EFD572E" w14:textId="5230C0F8" w:rsidR="000A56B5" w:rsidRPr="00A1236D" w:rsidRDefault="000A56B5" w:rsidP="000A56B5">
            <w:pPr>
              <w:spacing w:beforeLines="40" w:before="96" w:afterLines="40" w:after="96" w:line="24" w:lineRule="atLeast"/>
              <w:rPr>
                <w:rFonts w:eastAsia="Times New Roman"/>
                <w:sz w:val="18"/>
                <w:szCs w:val="18"/>
                <w:lang w:val="en-GB" w:eastAsia="en-GB"/>
              </w:rPr>
            </w:pPr>
            <w:r w:rsidRPr="009E033F">
              <w:rPr>
                <w:rFonts w:eastAsia="Times New Roman"/>
                <w:sz w:val="18"/>
                <w:szCs w:val="18"/>
                <w:lang w:val="en-GB" w:eastAsia="en-GB"/>
              </w:rPr>
              <w:t xml:space="preserve">For </w:t>
            </w:r>
            <w:r w:rsidRPr="009E033F">
              <w:rPr>
                <w:rFonts w:eastAsia="Times New Roman"/>
                <w:iCs/>
                <w:sz w:val="18"/>
                <w:szCs w:val="18"/>
                <w:lang w:val="en-GB" w:eastAsia="en-GB"/>
              </w:rPr>
              <w:t>two-sample</w:t>
            </w:r>
            <w:r w:rsidRPr="00A1236D">
              <w:rPr>
                <w:rFonts w:eastAsia="Times New Roman"/>
                <w:sz w:val="18"/>
                <w:szCs w:val="18"/>
                <w:lang w:val="en-GB" w:eastAsia="en-GB"/>
              </w:rPr>
              <w:t xml:space="preserve"> </w:t>
            </w:r>
            <w:r>
              <w:rPr>
                <w:rFonts w:eastAsia="Times New Roman"/>
                <w:sz w:val="18"/>
                <w:szCs w:val="18"/>
                <w:lang w:val="en-GB" w:eastAsia="en-GB"/>
              </w:rPr>
              <w:t>MR</w:t>
            </w:r>
            <w:r w:rsidRPr="00A1236D">
              <w:rPr>
                <w:rFonts w:eastAsia="Times New Roman"/>
                <w:sz w:val="18"/>
                <w:szCs w:val="18"/>
                <w:lang w:val="en-GB" w:eastAsia="en-GB"/>
              </w:rPr>
              <w:t>:</w:t>
            </w:r>
          </w:p>
          <w:p w14:paraId="48065368"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   </w:t>
            </w:r>
            <w:proofErr w:type="spellStart"/>
            <w:r w:rsidRPr="00A1236D">
              <w:rPr>
                <w:rFonts w:eastAsia="Times New Roman"/>
                <w:sz w:val="18"/>
                <w:szCs w:val="18"/>
                <w:lang w:val="en-GB" w:eastAsia="en-GB"/>
              </w:rPr>
              <w:t>i</w:t>
            </w:r>
            <w:proofErr w:type="spellEnd"/>
            <w:r w:rsidRPr="00A1236D">
              <w:rPr>
                <w:rFonts w:eastAsia="Times New Roman"/>
                <w:sz w:val="18"/>
                <w:szCs w:val="18"/>
                <w:lang w:val="en-GB" w:eastAsia="en-GB"/>
              </w:rPr>
              <w:t>.  Provide justification of the similarity of the genetic variant-exposure associations between the exposure and outcome samples</w:t>
            </w:r>
          </w:p>
          <w:p w14:paraId="35BA9280"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720" w:type="dxa"/>
            <w:shd w:val="clear" w:color="auto" w:fill="EEEEEE"/>
          </w:tcPr>
          <w:p w14:paraId="4948EE3D" w14:textId="6C3D7C12"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5B2A1A71" w14:textId="0E53B998" w:rsidR="000A56B5" w:rsidRDefault="007914C5" w:rsidP="000A56B5">
            <w:pPr>
              <w:spacing w:beforeLines="40" w:before="96" w:afterLines="40" w:after="96" w:line="24" w:lineRule="atLeast"/>
              <w:rPr>
                <w:rFonts w:eastAsia="Times New Roman"/>
                <w:sz w:val="18"/>
                <w:szCs w:val="18"/>
                <w:lang w:val="en-GB" w:eastAsia="en-GB"/>
              </w:rPr>
            </w:pPr>
            <w:r w:rsidRPr="007914C5">
              <w:rPr>
                <w:rFonts w:eastAsia="Times New Roman"/>
                <w:sz w:val="18"/>
                <w:szCs w:val="18"/>
                <w:lang w:val="en-GB" w:eastAsia="en-GB"/>
              </w:rPr>
              <w:t>In this comprehensive analysis, we incorporated four autonomous genetic variants into our MR investigations (Table 2). The effect sizes of SNPs on both exposure (watching TV times) and the outcome (FPG) have been present through Figure 4. According to the recognized inverse variance weighted (IVW) method, our estimations indicate the causal relationship between TV-watching times and FPG level in three pairs</w:t>
            </w:r>
          </w:p>
        </w:tc>
      </w:tr>
      <w:tr w:rsidR="000A56B5" w:rsidRPr="00B853C6" w14:paraId="52CFCA59" w14:textId="5AC9CE3E" w:rsidTr="003D447D">
        <w:tc>
          <w:tcPr>
            <w:tcW w:w="587" w:type="dxa"/>
            <w:shd w:val="clear" w:color="auto" w:fill="auto"/>
          </w:tcPr>
          <w:p w14:paraId="110872BB"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11</w:t>
            </w:r>
          </w:p>
        </w:tc>
        <w:tc>
          <w:tcPr>
            <w:tcW w:w="1822" w:type="dxa"/>
            <w:shd w:val="clear" w:color="auto" w:fill="auto"/>
          </w:tcPr>
          <w:p w14:paraId="0C26298F"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7041" w:type="dxa"/>
            <w:shd w:val="clear" w:color="auto" w:fill="auto"/>
          </w:tcPr>
          <w:p w14:paraId="2F14FA37"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tcPr>
          <w:p w14:paraId="035B3367"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4320" w:type="dxa"/>
          </w:tcPr>
          <w:p w14:paraId="0AFA0083"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56845A2A" w14:textId="1DC0780C" w:rsidTr="003D447D">
        <w:tc>
          <w:tcPr>
            <w:tcW w:w="587" w:type="dxa"/>
            <w:shd w:val="clear" w:color="auto" w:fill="EEEEEE"/>
          </w:tcPr>
          <w:p w14:paraId="0892A548"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7CDB72AD"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09CB478B"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720" w:type="dxa"/>
            <w:shd w:val="clear" w:color="auto" w:fill="EEEEEE"/>
          </w:tcPr>
          <w:p w14:paraId="7F1B8B69" w14:textId="0DCDC20B"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7BCA1C07"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2FAEFE68" w14:textId="09D82DE1" w:rsidTr="003D447D">
        <w:tc>
          <w:tcPr>
            <w:tcW w:w="587" w:type="dxa"/>
            <w:shd w:val="clear" w:color="auto" w:fill="auto"/>
          </w:tcPr>
          <w:p w14:paraId="2E83DFB7"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42A3CE2"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336E75EE" w14:textId="144F95EC"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720" w:type="dxa"/>
          </w:tcPr>
          <w:p w14:paraId="1E1B567F" w14:textId="2999CB15"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4564CEDB" w14:textId="1EB68022" w:rsidR="000A56B5" w:rsidRDefault="007914C5" w:rsidP="000A56B5">
            <w:pPr>
              <w:spacing w:beforeLines="40" w:before="96" w:afterLines="40" w:after="96" w:line="24" w:lineRule="atLeast"/>
              <w:rPr>
                <w:rFonts w:eastAsia="Times New Roman"/>
                <w:sz w:val="18"/>
                <w:szCs w:val="18"/>
                <w:lang w:val="en-GB" w:eastAsia="en-GB"/>
              </w:rPr>
            </w:pPr>
            <w:r w:rsidRPr="007914C5">
              <w:rPr>
                <w:rFonts w:eastAsia="Times New Roman"/>
                <w:sz w:val="18"/>
                <w:szCs w:val="18"/>
                <w:lang w:val="en-GB" w:eastAsia="en-GB"/>
              </w:rPr>
              <w:t xml:space="preserve">In this comprehensive analysis, we incorporated four autonomous genetic variants into our MR investigations (Table 2). The effect sizes of SNPs on both exposure (watching TV times) and the outcome (FPG) have been present through Figure 4. According to the recognized inverse variance weighted (IVW) method, our estimations indicate the causal relationship between TV-watching times and FPG level in three pairs (“ukb-a-5 and 34059833”, β = 0.066, 95%C.I = 0.009~0.123; “ukb-a-5 and 22885924, β = 0.204, 95%C.I = 0.112~0.296; “ukb-b-5192 and 22885924”, β = 0.151, 95%C.I = 0.057~0.245) , one pair did not find significant association between them (“ukb-b-5192 and 34059833”, β = 0.037, 95%C.I = -0.008~0.082). In addition, other mendelian randomization methods, such as simple mode, weighted mode, also recognized the causal relationship between TV-watching times and FPG. Supplement Figure 1 showed the forest plot of four pairs.  </w:t>
            </w:r>
          </w:p>
        </w:tc>
      </w:tr>
      <w:tr w:rsidR="000A56B5" w:rsidRPr="00B853C6" w14:paraId="1FAC379E" w14:textId="0C198578" w:rsidTr="003D447D">
        <w:tc>
          <w:tcPr>
            <w:tcW w:w="587" w:type="dxa"/>
            <w:shd w:val="clear" w:color="auto" w:fill="EEEEEE"/>
          </w:tcPr>
          <w:p w14:paraId="6762B88A"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514E8164"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4BC6AB73"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720" w:type="dxa"/>
            <w:shd w:val="clear" w:color="auto" w:fill="EEEEEE"/>
          </w:tcPr>
          <w:p w14:paraId="326BA5CA" w14:textId="0C10A91E"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4A2216FF"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00F87C74" w14:textId="30F32A00" w:rsidTr="003D447D">
        <w:tc>
          <w:tcPr>
            <w:tcW w:w="587" w:type="dxa"/>
            <w:shd w:val="clear" w:color="auto" w:fill="auto"/>
          </w:tcPr>
          <w:p w14:paraId="2CDE5DE6"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9C50E8E"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47CC3ACC"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720" w:type="dxa"/>
          </w:tcPr>
          <w:p w14:paraId="777DAC23" w14:textId="7634981F"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7B9F0A4D"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62E6DFEA" w14:textId="107C6F5B" w:rsidTr="003D447D">
        <w:tc>
          <w:tcPr>
            <w:tcW w:w="587" w:type="dxa"/>
            <w:shd w:val="clear" w:color="auto" w:fill="EEEEEE"/>
          </w:tcPr>
          <w:p w14:paraId="57CB2789"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22" w:type="dxa"/>
            <w:shd w:val="clear" w:color="auto" w:fill="EEEEEE"/>
          </w:tcPr>
          <w:p w14:paraId="27B891DB"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7041" w:type="dxa"/>
            <w:shd w:val="clear" w:color="auto" w:fill="EEEEEE"/>
          </w:tcPr>
          <w:p w14:paraId="6EC050C1"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shd w:val="clear" w:color="auto" w:fill="EEEEEE"/>
          </w:tcPr>
          <w:p w14:paraId="3871A389"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4320" w:type="dxa"/>
            <w:shd w:val="clear" w:color="auto" w:fill="EEEEEE"/>
          </w:tcPr>
          <w:p w14:paraId="10C8ADE2"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48EE0AFA" w14:textId="55C0BF1C" w:rsidTr="003D447D">
        <w:tc>
          <w:tcPr>
            <w:tcW w:w="587" w:type="dxa"/>
            <w:shd w:val="clear" w:color="auto" w:fill="auto"/>
          </w:tcPr>
          <w:p w14:paraId="4E29121D"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18A8B0EA"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1A97B456"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720" w:type="dxa"/>
          </w:tcPr>
          <w:p w14:paraId="6E2D56F0" w14:textId="5ABCCE41"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5E7081D1"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7BDA55CD" w14:textId="6465618D" w:rsidTr="003D447D">
        <w:tc>
          <w:tcPr>
            <w:tcW w:w="587" w:type="dxa"/>
            <w:shd w:val="clear" w:color="auto" w:fill="EEEEEE"/>
          </w:tcPr>
          <w:p w14:paraId="6F27FA73"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BC0019D"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00ADD58"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720" w:type="dxa"/>
            <w:shd w:val="clear" w:color="auto" w:fill="EEEEEE"/>
          </w:tcPr>
          <w:p w14:paraId="2D6E39C6" w14:textId="18416A29"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205C4ED8"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23F1C43D" w14:textId="6396118D" w:rsidTr="003D447D">
        <w:tc>
          <w:tcPr>
            <w:tcW w:w="587" w:type="dxa"/>
            <w:shd w:val="clear" w:color="auto" w:fill="auto"/>
          </w:tcPr>
          <w:p w14:paraId="021A9BB4"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22" w:type="dxa"/>
            <w:shd w:val="clear" w:color="auto" w:fill="auto"/>
          </w:tcPr>
          <w:p w14:paraId="51D3F02D"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7041" w:type="dxa"/>
            <w:shd w:val="clear" w:color="auto" w:fill="auto"/>
          </w:tcPr>
          <w:p w14:paraId="4AB1D97F"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tcPr>
          <w:p w14:paraId="50481D19"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4320" w:type="dxa"/>
          </w:tcPr>
          <w:p w14:paraId="0F2C43F0"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1ABE2F1D" w14:textId="316B0F58" w:rsidTr="003D447D">
        <w:tc>
          <w:tcPr>
            <w:tcW w:w="587" w:type="dxa"/>
            <w:shd w:val="clear" w:color="auto" w:fill="EEEEEE"/>
          </w:tcPr>
          <w:p w14:paraId="0D022F9B"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27E8FFD0"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EEEEEE"/>
          </w:tcPr>
          <w:p w14:paraId="30AA9260"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720" w:type="dxa"/>
            <w:shd w:val="clear" w:color="auto" w:fill="EEEEEE"/>
          </w:tcPr>
          <w:p w14:paraId="39DB2F0E" w14:textId="20925281"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73386906"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3696A9F1" w14:textId="63B96DDA" w:rsidTr="003D447D">
        <w:tc>
          <w:tcPr>
            <w:tcW w:w="587" w:type="dxa"/>
            <w:shd w:val="clear" w:color="auto" w:fill="auto"/>
          </w:tcPr>
          <w:p w14:paraId="0D2234E5"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7453E1FF"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auto"/>
          </w:tcPr>
          <w:p w14:paraId="5111E54D"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720" w:type="dxa"/>
          </w:tcPr>
          <w:p w14:paraId="447F5BF5" w14:textId="2873EDC4"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5BB83735"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1650BAB8" w14:textId="79D11DE7" w:rsidTr="003D447D">
        <w:tc>
          <w:tcPr>
            <w:tcW w:w="587" w:type="dxa"/>
            <w:shd w:val="clear" w:color="auto" w:fill="EEEEEE"/>
          </w:tcPr>
          <w:p w14:paraId="4D025CC4"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EAD995A"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EEEEEE"/>
          </w:tcPr>
          <w:p w14:paraId="14E0FCD9"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720" w:type="dxa"/>
            <w:shd w:val="clear" w:color="auto" w:fill="EEEEEE"/>
          </w:tcPr>
          <w:p w14:paraId="03D1A085" w14:textId="027535F3"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66751F07"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2034ACF7" w14:textId="19A8CB33" w:rsidTr="003D447D">
        <w:tc>
          <w:tcPr>
            <w:tcW w:w="587" w:type="dxa"/>
            <w:shd w:val="clear" w:color="auto" w:fill="auto"/>
          </w:tcPr>
          <w:p w14:paraId="3217ECED"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AE90FE5"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7041" w:type="dxa"/>
            <w:shd w:val="clear" w:color="auto" w:fill="auto"/>
          </w:tcPr>
          <w:p w14:paraId="3A13AF31"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720" w:type="dxa"/>
          </w:tcPr>
          <w:p w14:paraId="528F9F4C" w14:textId="65A3522A"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Pr>
          <w:p w14:paraId="7B882C5B"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3E7CFBFC" w14:textId="3F99A047" w:rsidTr="003D447D">
        <w:tc>
          <w:tcPr>
            <w:tcW w:w="587" w:type="dxa"/>
            <w:tcBorders>
              <w:bottom w:val="single" w:sz="6" w:space="0" w:color="7F7F7F"/>
            </w:tcBorders>
            <w:shd w:val="clear" w:color="auto" w:fill="EEEEEE"/>
          </w:tcPr>
          <w:p w14:paraId="1FDC421F"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tcBorders>
              <w:bottom w:val="single" w:sz="6" w:space="0" w:color="7F7F7F"/>
            </w:tcBorders>
            <w:shd w:val="clear" w:color="auto" w:fill="EEEEEE"/>
          </w:tcPr>
          <w:p w14:paraId="5FE15030"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7041" w:type="dxa"/>
            <w:tcBorders>
              <w:bottom w:val="single" w:sz="6" w:space="0" w:color="7F7F7F"/>
            </w:tcBorders>
            <w:shd w:val="clear" w:color="auto" w:fill="EEEEEE"/>
          </w:tcPr>
          <w:p w14:paraId="61CE32BA"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720" w:type="dxa"/>
            <w:tcBorders>
              <w:bottom w:val="single" w:sz="6" w:space="0" w:color="7F7F7F"/>
            </w:tcBorders>
            <w:shd w:val="clear" w:color="auto" w:fill="EEEEEE"/>
          </w:tcPr>
          <w:p w14:paraId="33892A62" w14:textId="4593F984"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tcBorders>
              <w:bottom w:val="single" w:sz="6" w:space="0" w:color="7F7F7F"/>
            </w:tcBorders>
            <w:shd w:val="clear" w:color="auto" w:fill="EEEEEE"/>
          </w:tcPr>
          <w:p w14:paraId="03A6AB93"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5B7D2773" w14:textId="7D8D257A" w:rsidTr="003D447D">
        <w:tc>
          <w:tcPr>
            <w:tcW w:w="587" w:type="dxa"/>
            <w:tcBorders>
              <w:top w:val="single" w:sz="6" w:space="0" w:color="7F7F7F"/>
            </w:tcBorders>
            <w:shd w:val="clear" w:color="auto" w:fill="auto"/>
          </w:tcPr>
          <w:p w14:paraId="5BDBDA65"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1C564B75"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7041" w:type="dxa"/>
            <w:tcBorders>
              <w:top w:val="single" w:sz="6" w:space="0" w:color="7F7F7F"/>
            </w:tcBorders>
            <w:shd w:val="clear" w:color="auto" w:fill="auto"/>
          </w:tcPr>
          <w:p w14:paraId="35997729"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1AAD7FFB" w14:textId="72D5B399" w:rsidR="000A56B5" w:rsidRPr="00905B18" w:rsidRDefault="000A56B5" w:rsidP="000A56B5">
            <w:pPr>
              <w:spacing w:beforeLines="40" w:before="96" w:afterLines="40" w:after="96" w:line="24" w:lineRule="atLeast"/>
              <w:rPr>
                <w:rFonts w:eastAsiaTheme="minorEastAsia" w:hint="eastAsia"/>
                <w:sz w:val="18"/>
                <w:szCs w:val="18"/>
                <w:lang w:val="en-GB" w:eastAsia="zh-CN"/>
              </w:rPr>
            </w:pPr>
          </w:p>
        </w:tc>
        <w:tc>
          <w:tcPr>
            <w:tcW w:w="4320" w:type="dxa"/>
            <w:tcBorders>
              <w:top w:val="single" w:sz="6" w:space="0" w:color="7F7F7F"/>
            </w:tcBorders>
          </w:tcPr>
          <w:p w14:paraId="2AE3A897"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1800AF05" w14:textId="4BEA2748" w:rsidTr="003D447D">
        <w:tc>
          <w:tcPr>
            <w:tcW w:w="587" w:type="dxa"/>
            <w:shd w:val="clear" w:color="auto" w:fill="EEEEEE"/>
          </w:tcPr>
          <w:p w14:paraId="6B5F5286"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22" w:type="dxa"/>
            <w:shd w:val="clear" w:color="auto" w:fill="EEEEEE"/>
          </w:tcPr>
          <w:p w14:paraId="42EDC029"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7041" w:type="dxa"/>
            <w:shd w:val="clear" w:color="auto" w:fill="EEEEEE"/>
          </w:tcPr>
          <w:p w14:paraId="35F1CADF"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720" w:type="dxa"/>
            <w:shd w:val="clear" w:color="auto" w:fill="EEEEEE"/>
          </w:tcPr>
          <w:p w14:paraId="2C7117BF" w14:textId="0B57F7B6"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6</w:t>
            </w:r>
          </w:p>
        </w:tc>
        <w:tc>
          <w:tcPr>
            <w:tcW w:w="4320" w:type="dxa"/>
            <w:shd w:val="clear" w:color="auto" w:fill="EEEEEE"/>
          </w:tcPr>
          <w:p w14:paraId="70F1DDE7"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06BFAFA4" w14:textId="151FB6CE" w:rsidTr="003D447D">
        <w:tc>
          <w:tcPr>
            <w:tcW w:w="587" w:type="dxa"/>
            <w:shd w:val="clear" w:color="auto" w:fill="auto"/>
          </w:tcPr>
          <w:p w14:paraId="6D471CC5"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15</w:t>
            </w:r>
          </w:p>
        </w:tc>
        <w:tc>
          <w:tcPr>
            <w:tcW w:w="1822" w:type="dxa"/>
            <w:shd w:val="clear" w:color="auto" w:fill="auto"/>
          </w:tcPr>
          <w:p w14:paraId="5C27961E"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7041" w:type="dxa"/>
            <w:shd w:val="clear" w:color="auto" w:fill="auto"/>
          </w:tcPr>
          <w:p w14:paraId="75B6F41B" w14:textId="77777777"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720" w:type="dxa"/>
          </w:tcPr>
          <w:p w14:paraId="201D4281" w14:textId="48C6AFCC"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8</w:t>
            </w:r>
          </w:p>
        </w:tc>
        <w:tc>
          <w:tcPr>
            <w:tcW w:w="4320" w:type="dxa"/>
          </w:tcPr>
          <w:p w14:paraId="7CB4BA33"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71F8B8B5" w14:textId="34C247AC" w:rsidTr="003D447D">
        <w:tc>
          <w:tcPr>
            <w:tcW w:w="587" w:type="dxa"/>
            <w:shd w:val="clear" w:color="auto" w:fill="EEEEEE"/>
          </w:tcPr>
          <w:p w14:paraId="02C1D590"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16</w:t>
            </w:r>
          </w:p>
        </w:tc>
        <w:tc>
          <w:tcPr>
            <w:tcW w:w="1822" w:type="dxa"/>
            <w:shd w:val="clear" w:color="auto" w:fill="EEEEEE"/>
          </w:tcPr>
          <w:p w14:paraId="612AA484"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7041" w:type="dxa"/>
            <w:shd w:val="clear" w:color="auto" w:fill="EEEEEE"/>
          </w:tcPr>
          <w:p w14:paraId="3BF6466E"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720" w:type="dxa"/>
            <w:shd w:val="clear" w:color="auto" w:fill="EEEEEE"/>
          </w:tcPr>
          <w:p w14:paraId="4B5179B2" w14:textId="77777777" w:rsidR="000A56B5" w:rsidRPr="00A1236D" w:rsidRDefault="000A56B5" w:rsidP="000A56B5">
            <w:pPr>
              <w:spacing w:beforeLines="40" w:before="96" w:afterLines="40" w:after="96" w:line="24" w:lineRule="atLeast"/>
              <w:rPr>
                <w:rFonts w:eastAsia="Cambria"/>
                <w:sz w:val="18"/>
                <w:szCs w:val="18"/>
                <w:lang w:val="en-GB" w:eastAsia="en-US"/>
              </w:rPr>
            </w:pPr>
          </w:p>
        </w:tc>
        <w:tc>
          <w:tcPr>
            <w:tcW w:w="4320" w:type="dxa"/>
            <w:shd w:val="clear" w:color="auto" w:fill="EEEEEE"/>
          </w:tcPr>
          <w:p w14:paraId="1C445080"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62E6D51A" w14:textId="140D03A2" w:rsidTr="003D447D">
        <w:tc>
          <w:tcPr>
            <w:tcW w:w="587" w:type="dxa"/>
            <w:shd w:val="clear" w:color="auto" w:fill="auto"/>
          </w:tcPr>
          <w:p w14:paraId="6DD2F448"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50F26A29"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7041" w:type="dxa"/>
            <w:shd w:val="clear" w:color="auto" w:fill="auto"/>
          </w:tcPr>
          <w:p w14:paraId="7EDF9868" w14:textId="096ED659"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w:t>
            </w:r>
            <w:proofErr w:type="gramStart"/>
            <w:r w:rsidRPr="00A1236D">
              <w:rPr>
                <w:rFonts w:eastAsia="Times New Roman"/>
                <w:sz w:val="18"/>
                <w:szCs w:val="18"/>
                <w:lang w:val="en-GB" w:eastAsia="en-GB"/>
              </w:rPr>
              <w:t xml:space="preserve">and in comparison </w:t>
            </w:r>
            <w:proofErr w:type="gramEnd"/>
            <w:r>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720" w:type="dxa"/>
          </w:tcPr>
          <w:p w14:paraId="565CC165" w14:textId="77777777" w:rsidR="000A56B5" w:rsidRPr="00A1236D" w:rsidRDefault="000A56B5" w:rsidP="000A56B5">
            <w:pPr>
              <w:spacing w:beforeLines="40" w:before="96" w:afterLines="40" w:after="96" w:line="24" w:lineRule="atLeast"/>
              <w:rPr>
                <w:rFonts w:eastAsia="Times New Roman"/>
                <w:sz w:val="18"/>
                <w:szCs w:val="18"/>
                <w:lang w:val="en-GB" w:eastAsia="en-GB"/>
              </w:rPr>
            </w:pPr>
          </w:p>
        </w:tc>
        <w:tc>
          <w:tcPr>
            <w:tcW w:w="4320" w:type="dxa"/>
          </w:tcPr>
          <w:p w14:paraId="5251245C"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156B69E5" w14:textId="453FC5BE" w:rsidTr="003D447D">
        <w:tc>
          <w:tcPr>
            <w:tcW w:w="587" w:type="dxa"/>
            <w:shd w:val="clear" w:color="auto" w:fill="EEEEEE"/>
          </w:tcPr>
          <w:p w14:paraId="4C8A2215"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EEEEEE"/>
          </w:tcPr>
          <w:p w14:paraId="6A4A5F16"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7041" w:type="dxa"/>
            <w:shd w:val="clear" w:color="auto" w:fill="EEEEEE"/>
          </w:tcPr>
          <w:p w14:paraId="422EB891" w14:textId="35DEA636" w:rsidR="000A56B5" w:rsidRPr="00A1236D" w:rsidRDefault="000A56B5" w:rsidP="000A56B5">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720" w:type="dxa"/>
            <w:shd w:val="clear" w:color="auto" w:fill="EEEEEE"/>
          </w:tcPr>
          <w:p w14:paraId="2FA4AA4D" w14:textId="77777777" w:rsidR="000A56B5" w:rsidRPr="00A1236D" w:rsidRDefault="000A56B5" w:rsidP="000A56B5">
            <w:pPr>
              <w:spacing w:beforeLines="40" w:before="96" w:afterLines="40" w:after="96" w:line="24" w:lineRule="atLeast"/>
              <w:rPr>
                <w:rFonts w:eastAsia="Times New Roman"/>
                <w:sz w:val="18"/>
                <w:szCs w:val="18"/>
                <w:lang w:val="en-GB" w:eastAsia="en-GB"/>
              </w:rPr>
            </w:pPr>
          </w:p>
        </w:tc>
        <w:tc>
          <w:tcPr>
            <w:tcW w:w="4320" w:type="dxa"/>
            <w:shd w:val="clear" w:color="auto" w:fill="EEEEEE"/>
          </w:tcPr>
          <w:p w14:paraId="3A91F000"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203390A0" w14:textId="367D17C4" w:rsidTr="003D447D">
        <w:tc>
          <w:tcPr>
            <w:tcW w:w="587" w:type="dxa"/>
            <w:shd w:val="clear" w:color="auto" w:fill="auto"/>
          </w:tcPr>
          <w:p w14:paraId="54CA3A27" w14:textId="77777777" w:rsidR="000A56B5" w:rsidRPr="00F0337F" w:rsidRDefault="000A56B5" w:rsidP="000A56B5">
            <w:pPr>
              <w:spacing w:beforeLines="40" w:before="96" w:afterLines="40" w:after="96" w:line="24" w:lineRule="atLeast"/>
              <w:jc w:val="right"/>
              <w:rPr>
                <w:rFonts w:eastAsia="Cambria"/>
                <w:b/>
                <w:bCs/>
                <w:sz w:val="18"/>
                <w:szCs w:val="18"/>
                <w:lang w:val="en-GB" w:eastAsia="en-US"/>
              </w:rPr>
            </w:pPr>
          </w:p>
        </w:tc>
        <w:tc>
          <w:tcPr>
            <w:tcW w:w="1822" w:type="dxa"/>
            <w:shd w:val="clear" w:color="auto" w:fill="auto"/>
          </w:tcPr>
          <w:p w14:paraId="6D25BA57" w14:textId="77777777" w:rsidR="000A56B5" w:rsidRPr="00F0337F" w:rsidRDefault="000A56B5" w:rsidP="000A56B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7041" w:type="dxa"/>
            <w:shd w:val="clear" w:color="auto" w:fill="auto"/>
          </w:tcPr>
          <w:p w14:paraId="5B6A8315" w14:textId="77777777" w:rsidR="000A56B5" w:rsidRPr="00A1236D" w:rsidRDefault="000A56B5" w:rsidP="000A56B5">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720" w:type="dxa"/>
          </w:tcPr>
          <w:p w14:paraId="32FCF028" w14:textId="77777777" w:rsidR="000A56B5" w:rsidRPr="00A1236D" w:rsidRDefault="000A56B5" w:rsidP="000A56B5">
            <w:pPr>
              <w:tabs>
                <w:tab w:val="left" w:pos="1350"/>
              </w:tabs>
              <w:spacing w:beforeLines="40" w:before="96" w:afterLines="40" w:after="96" w:line="24" w:lineRule="atLeast"/>
              <w:rPr>
                <w:rFonts w:eastAsia="Times New Roman"/>
                <w:sz w:val="18"/>
                <w:szCs w:val="18"/>
                <w:lang w:val="en-GB" w:eastAsia="en-GB"/>
              </w:rPr>
            </w:pPr>
          </w:p>
        </w:tc>
        <w:tc>
          <w:tcPr>
            <w:tcW w:w="4320" w:type="dxa"/>
          </w:tcPr>
          <w:p w14:paraId="78058AE6" w14:textId="77777777" w:rsidR="000A56B5" w:rsidRDefault="000A56B5" w:rsidP="000A56B5">
            <w:pPr>
              <w:tabs>
                <w:tab w:val="left" w:pos="1350"/>
              </w:tabs>
              <w:spacing w:beforeLines="40" w:before="96" w:afterLines="40" w:after="96" w:line="24" w:lineRule="atLeast"/>
              <w:rPr>
                <w:rFonts w:eastAsia="Times New Roman"/>
                <w:sz w:val="18"/>
                <w:szCs w:val="18"/>
                <w:lang w:val="en-GB" w:eastAsia="en-GB"/>
              </w:rPr>
            </w:pPr>
          </w:p>
        </w:tc>
      </w:tr>
      <w:tr w:rsidR="000A56B5" w:rsidRPr="00B853C6" w14:paraId="71FDAFC1" w14:textId="00A47F15" w:rsidTr="003D447D">
        <w:tc>
          <w:tcPr>
            <w:tcW w:w="587" w:type="dxa"/>
            <w:tcBorders>
              <w:bottom w:val="single" w:sz="6" w:space="0" w:color="7F7F7F"/>
            </w:tcBorders>
            <w:shd w:val="clear" w:color="auto" w:fill="EEEEEE"/>
          </w:tcPr>
          <w:p w14:paraId="7540155A"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22" w:type="dxa"/>
            <w:tcBorders>
              <w:bottom w:val="single" w:sz="6" w:space="0" w:color="7F7F7F"/>
            </w:tcBorders>
            <w:shd w:val="clear" w:color="auto" w:fill="EEEEEE"/>
          </w:tcPr>
          <w:p w14:paraId="3680059F"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7041" w:type="dxa"/>
            <w:tcBorders>
              <w:bottom w:val="single" w:sz="6" w:space="0" w:color="7F7F7F"/>
            </w:tcBorders>
            <w:shd w:val="clear" w:color="auto" w:fill="EEEEEE"/>
          </w:tcPr>
          <w:p w14:paraId="68647C33" w14:textId="77777777" w:rsidR="000A56B5" w:rsidRPr="00A1236D" w:rsidRDefault="000A56B5" w:rsidP="000A56B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720" w:type="dxa"/>
            <w:tcBorders>
              <w:bottom w:val="single" w:sz="6" w:space="0" w:color="7F7F7F"/>
            </w:tcBorders>
            <w:shd w:val="clear" w:color="auto" w:fill="EEEEEE"/>
          </w:tcPr>
          <w:p w14:paraId="3ACD3D08" w14:textId="77777777" w:rsidR="000A56B5" w:rsidRPr="00A1236D" w:rsidRDefault="000A56B5" w:rsidP="000A56B5">
            <w:pPr>
              <w:spacing w:beforeLines="40" w:before="96" w:afterLines="40" w:after="96" w:line="24" w:lineRule="atLeast"/>
              <w:rPr>
                <w:rFonts w:eastAsia="Times New Roman"/>
                <w:sz w:val="18"/>
                <w:szCs w:val="18"/>
                <w:lang w:val="en-GB" w:eastAsia="en-GB"/>
              </w:rPr>
            </w:pPr>
          </w:p>
        </w:tc>
        <w:tc>
          <w:tcPr>
            <w:tcW w:w="4320" w:type="dxa"/>
            <w:tcBorders>
              <w:bottom w:val="single" w:sz="6" w:space="0" w:color="7F7F7F"/>
            </w:tcBorders>
            <w:shd w:val="clear" w:color="auto" w:fill="EEEEEE"/>
          </w:tcPr>
          <w:p w14:paraId="41ABF5A9"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57884E75" w14:textId="6FD41AE6" w:rsidTr="003D447D">
        <w:tc>
          <w:tcPr>
            <w:tcW w:w="587" w:type="dxa"/>
            <w:tcBorders>
              <w:top w:val="single" w:sz="6" w:space="0" w:color="7F7F7F"/>
            </w:tcBorders>
            <w:shd w:val="clear" w:color="auto" w:fill="auto"/>
          </w:tcPr>
          <w:p w14:paraId="2C4C694A"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p>
        </w:tc>
        <w:tc>
          <w:tcPr>
            <w:tcW w:w="1822" w:type="dxa"/>
            <w:tcBorders>
              <w:top w:val="single" w:sz="6" w:space="0" w:color="7F7F7F"/>
            </w:tcBorders>
            <w:shd w:val="clear" w:color="auto" w:fill="auto"/>
          </w:tcPr>
          <w:p w14:paraId="0A6FFE33"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7041" w:type="dxa"/>
            <w:tcBorders>
              <w:top w:val="single" w:sz="6" w:space="0" w:color="7F7F7F"/>
            </w:tcBorders>
            <w:shd w:val="clear" w:color="auto" w:fill="auto"/>
          </w:tcPr>
          <w:p w14:paraId="0577947E" w14:textId="77777777" w:rsidR="000A56B5" w:rsidRPr="00F0337F" w:rsidRDefault="000A56B5" w:rsidP="000A56B5">
            <w:pPr>
              <w:spacing w:beforeLines="40" w:before="96" w:afterLines="40" w:after="96" w:line="24" w:lineRule="atLeast"/>
              <w:rPr>
                <w:rFonts w:eastAsia="Cambria"/>
                <w:sz w:val="18"/>
                <w:szCs w:val="18"/>
                <w:lang w:val="en-GB" w:eastAsia="en-US"/>
              </w:rPr>
            </w:pPr>
          </w:p>
        </w:tc>
        <w:tc>
          <w:tcPr>
            <w:tcW w:w="720" w:type="dxa"/>
            <w:tcBorders>
              <w:top w:val="single" w:sz="6" w:space="0" w:color="7F7F7F"/>
            </w:tcBorders>
          </w:tcPr>
          <w:p w14:paraId="7561574C" w14:textId="77777777" w:rsidR="000A56B5" w:rsidRPr="00F0337F" w:rsidRDefault="000A56B5" w:rsidP="000A56B5">
            <w:pPr>
              <w:spacing w:beforeLines="40" w:before="96" w:afterLines="40" w:after="96" w:line="24" w:lineRule="atLeast"/>
              <w:rPr>
                <w:rFonts w:eastAsia="Cambria"/>
                <w:sz w:val="18"/>
                <w:szCs w:val="18"/>
                <w:lang w:val="en-GB" w:eastAsia="en-US"/>
              </w:rPr>
            </w:pPr>
          </w:p>
        </w:tc>
        <w:tc>
          <w:tcPr>
            <w:tcW w:w="4320" w:type="dxa"/>
            <w:tcBorders>
              <w:top w:val="single" w:sz="6" w:space="0" w:color="7F7F7F"/>
            </w:tcBorders>
          </w:tcPr>
          <w:p w14:paraId="3718ED5B" w14:textId="77777777" w:rsidR="000A56B5" w:rsidRDefault="000A56B5" w:rsidP="000A56B5">
            <w:pPr>
              <w:spacing w:beforeLines="40" w:before="96" w:afterLines="40" w:after="96" w:line="24" w:lineRule="atLeast"/>
              <w:rPr>
                <w:rFonts w:eastAsia="Cambria"/>
                <w:sz w:val="18"/>
                <w:szCs w:val="18"/>
                <w:lang w:val="en-GB" w:eastAsia="en-US"/>
              </w:rPr>
            </w:pPr>
          </w:p>
        </w:tc>
      </w:tr>
      <w:tr w:rsidR="000A56B5" w:rsidRPr="00B853C6" w14:paraId="0014C6D1" w14:textId="2FC4D004" w:rsidTr="003D447D">
        <w:tc>
          <w:tcPr>
            <w:tcW w:w="587" w:type="dxa"/>
            <w:shd w:val="clear" w:color="auto" w:fill="EEEEEE"/>
          </w:tcPr>
          <w:p w14:paraId="2336D08C"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22" w:type="dxa"/>
            <w:shd w:val="clear" w:color="auto" w:fill="EEEEEE"/>
          </w:tcPr>
          <w:p w14:paraId="08EB4FDF" w14:textId="77777777" w:rsidR="000A56B5" w:rsidRPr="00F0337F" w:rsidRDefault="000A56B5" w:rsidP="000A56B5">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7041" w:type="dxa"/>
            <w:shd w:val="clear" w:color="auto" w:fill="EEEEEE"/>
          </w:tcPr>
          <w:p w14:paraId="4663DCA7"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720" w:type="dxa"/>
            <w:shd w:val="clear" w:color="auto" w:fill="EEEEEE"/>
          </w:tcPr>
          <w:p w14:paraId="33E2D855" w14:textId="0953052C"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shd w:val="clear" w:color="auto" w:fill="EEEEEE"/>
          </w:tcPr>
          <w:p w14:paraId="2C6CE5FF"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1B22CB41" w14:textId="102364C9" w:rsidTr="003D447D">
        <w:tc>
          <w:tcPr>
            <w:tcW w:w="587" w:type="dxa"/>
            <w:shd w:val="clear" w:color="auto" w:fill="auto"/>
          </w:tcPr>
          <w:p w14:paraId="381BF2BA"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22" w:type="dxa"/>
            <w:shd w:val="clear" w:color="auto" w:fill="auto"/>
          </w:tcPr>
          <w:p w14:paraId="233BA942"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7041" w:type="dxa"/>
            <w:shd w:val="clear" w:color="auto" w:fill="auto"/>
          </w:tcPr>
          <w:p w14:paraId="42D9085E"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720" w:type="dxa"/>
          </w:tcPr>
          <w:p w14:paraId="5725EE6D" w14:textId="50FA1737"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tcPr>
          <w:p w14:paraId="38DE3AA7" w14:textId="77777777" w:rsidR="000A56B5" w:rsidRDefault="000A56B5" w:rsidP="000A56B5">
            <w:pPr>
              <w:spacing w:beforeLines="40" w:before="96" w:afterLines="40" w:after="96" w:line="24" w:lineRule="atLeast"/>
              <w:rPr>
                <w:rFonts w:eastAsia="Times New Roman"/>
                <w:sz w:val="18"/>
                <w:szCs w:val="18"/>
                <w:lang w:val="en-GB" w:eastAsia="en-GB"/>
              </w:rPr>
            </w:pPr>
          </w:p>
        </w:tc>
      </w:tr>
      <w:tr w:rsidR="000A56B5" w:rsidRPr="00B853C6" w14:paraId="1BFE6A86" w14:textId="26747AA0" w:rsidTr="003D447D">
        <w:tc>
          <w:tcPr>
            <w:tcW w:w="587" w:type="dxa"/>
            <w:tcBorders>
              <w:bottom w:val="single" w:sz="6" w:space="0" w:color="7F7F7F"/>
            </w:tcBorders>
            <w:shd w:val="clear" w:color="auto" w:fill="EEEEEE"/>
          </w:tcPr>
          <w:p w14:paraId="20DC2C92" w14:textId="77777777" w:rsidR="000A56B5" w:rsidRPr="00F0337F" w:rsidRDefault="000A56B5" w:rsidP="000A56B5">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22" w:type="dxa"/>
            <w:tcBorders>
              <w:bottom w:val="single" w:sz="6" w:space="0" w:color="7F7F7F"/>
            </w:tcBorders>
            <w:shd w:val="clear" w:color="auto" w:fill="EEEEEE"/>
          </w:tcPr>
          <w:p w14:paraId="39A69A1B"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7041" w:type="dxa"/>
            <w:tcBorders>
              <w:bottom w:val="single" w:sz="6" w:space="0" w:color="7F7F7F"/>
            </w:tcBorders>
            <w:shd w:val="clear" w:color="auto" w:fill="EEEEEE"/>
          </w:tcPr>
          <w:p w14:paraId="4772D912" w14:textId="77777777" w:rsidR="000A56B5" w:rsidRPr="00F0337F" w:rsidRDefault="000A56B5" w:rsidP="000A56B5">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720" w:type="dxa"/>
            <w:tcBorders>
              <w:bottom w:val="single" w:sz="6" w:space="0" w:color="7F7F7F"/>
            </w:tcBorders>
            <w:shd w:val="clear" w:color="auto" w:fill="EEEEEE"/>
          </w:tcPr>
          <w:p w14:paraId="1B63BC8B" w14:textId="25597598" w:rsidR="000A56B5" w:rsidRPr="00905B18" w:rsidRDefault="000A56B5" w:rsidP="000A56B5">
            <w:pPr>
              <w:spacing w:beforeLines="40" w:before="96" w:afterLines="40" w:after="96" w:line="24" w:lineRule="atLeast"/>
              <w:rPr>
                <w:rFonts w:eastAsiaTheme="minorEastAsia" w:hint="eastAsia"/>
                <w:sz w:val="18"/>
                <w:szCs w:val="18"/>
                <w:lang w:val="en-GB" w:eastAsia="zh-CN"/>
              </w:rPr>
            </w:pPr>
            <w:r>
              <w:rPr>
                <w:rFonts w:eastAsiaTheme="minorEastAsia" w:hint="eastAsia"/>
                <w:sz w:val="18"/>
                <w:szCs w:val="18"/>
                <w:lang w:val="en-GB" w:eastAsia="zh-CN"/>
              </w:rPr>
              <w:t>9</w:t>
            </w:r>
          </w:p>
        </w:tc>
        <w:tc>
          <w:tcPr>
            <w:tcW w:w="4320" w:type="dxa"/>
            <w:tcBorders>
              <w:bottom w:val="single" w:sz="6" w:space="0" w:color="7F7F7F"/>
            </w:tcBorders>
            <w:shd w:val="clear" w:color="auto" w:fill="EEEEEE"/>
          </w:tcPr>
          <w:p w14:paraId="5D9123A4" w14:textId="77777777" w:rsidR="000A56B5" w:rsidRDefault="000A56B5" w:rsidP="000A56B5">
            <w:pPr>
              <w:spacing w:beforeLines="40" w:before="96" w:afterLines="40" w:after="96" w:line="24" w:lineRule="atLeast"/>
              <w:rPr>
                <w:rFonts w:eastAsia="Times New Roman"/>
                <w:sz w:val="18"/>
                <w:szCs w:val="18"/>
                <w:lang w:val="en-GB" w:eastAsia="en-GB"/>
              </w:rPr>
            </w:pPr>
          </w:p>
        </w:tc>
      </w:tr>
    </w:tbl>
    <w:p w14:paraId="386115B2" w14:textId="17D6D8D3" w:rsidR="00000000" w:rsidRPr="009854A9" w:rsidRDefault="00D65199" w:rsidP="005520ED">
      <w:pPr>
        <w:spacing w:before="240" w:after="240"/>
        <w:rPr>
          <w:sz w:val="19"/>
          <w:szCs w:val="19"/>
        </w:rPr>
      </w:pPr>
      <w:r w:rsidRPr="009854A9">
        <w:rPr>
          <w:sz w:val="19"/>
          <w:szCs w:val="19"/>
        </w:rPr>
        <w:lastRenderedPageBreak/>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40D85D" w14:textId="77777777" w:rsidR="003B1518" w:rsidRDefault="003B1518">
      <w:pPr>
        <w:spacing w:line="240" w:lineRule="auto"/>
      </w:pPr>
      <w:r>
        <w:separator/>
      </w:r>
    </w:p>
  </w:endnote>
  <w:endnote w:type="continuationSeparator" w:id="0">
    <w:p w14:paraId="1B7C2FC8" w14:textId="77777777" w:rsidR="003B1518" w:rsidRDefault="003B151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000000" w:rsidRDefault="00000000" w:rsidP="00A365E5">
    <w:pPr>
      <w:pStyle w:val="a3"/>
      <w:framePr w:wrap="none" w:vAnchor="text" w:hAnchor="margin" w:xAlign="right" w:y="1"/>
      <w:rPr>
        <w:rStyle w:val="a5"/>
      </w:rPr>
    </w:pPr>
  </w:p>
  <w:p w14:paraId="40A0897E" w14:textId="77777777" w:rsidR="00000000" w:rsidRDefault="00000000" w:rsidP="00C141F7">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000000" w:rsidRDefault="003D447D">
    <w:pPr>
      <w:pStyle w:val="a3"/>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000000" w:rsidRDefault="00000000" w:rsidP="00C141F7">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15F127" w14:textId="77777777" w:rsidR="003B1518" w:rsidRDefault="003B1518">
      <w:pPr>
        <w:spacing w:line="240" w:lineRule="auto"/>
      </w:pPr>
      <w:r>
        <w:separator/>
      </w:r>
    </w:p>
  </w:footnote>
  <w:footnote w:type="continuationSeparator" w:id="0">
    <w:p w14:paraId="0BBFB9BC" w14:textId="77777777" w:rsidR="003B1518" w:rsidRDefault="003B151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C56"/>
    <w:rsid w:val="0005787F"/>
    <w:rsid w:val="000A4CE8"/>
    <w:rsid w:val="000A56B5"/>
    <w:rsid w:val="002663E6"/>
    <w:rsid w:val="003B1518"/>
    <w:rsid w:val="003D447D"/>
    <w:rsid w:val="003D47DD"/>
    <w:rsid w:val="00445DF9"/>
    <w:rsid w:val="004B5CBB"/>
    <w:rsid w:val="004E11D4"/>
    <w:rsid w:val="00514462"/>
    <w:rsid w:val="005520ED"/>
    <w:rsid w:val="005A0D0D"/>
    <w:rsid w:val="00685D31"/>
    <w:rsid w:val="006912BF"/>
    <w:rsid w:val="006A41D0"/>
    <w:rsid w:val="006B08D5"/>
    <w:rsid w:val="007914C5"/>
    <w:rsid w:val="00804498"/>
    <w:rsid w:val="00816BB4"/>
    <w:rsid w:val="00905B18"/>
    <w:rsid w:val="00914C56"/>
    <w:rsid w:val="00950729"/>
    <w:rsid w:val="009854A9"/>
    <w:rsid w:val="009E033F"/>
    <w:rsid w:val="00BB6328"/>
    <w:rsid w:val="00D65199"/>
    <w:rsid w:val="00D8098C"/>
    <w:rsid w:val="00ED48A3"/>
    <w:rsid w:val="00EF4B9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14C56"/>
    <w:pPr>
      <w:spacing w:after="0" w:line="276" w:lineRule="auto"/>
    </w:pPr>
    <w:rPr>
      <w:rFonts w:ascii="Arial" w:eastAsia="Arial" w:hAnsi="Arial" w:cs="Arial"/>
      <w:lang w:val="en" w:eastAsia="de-CH"/>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14C56"/>
    <w:pPr>
      <w:tabs>
        <w:tab w:val="center" w:pos="4680"/>
        <w:tab w:val="right" w:pos="9360"/>
      </w:tabs>
      <w:spacing w:line="240" w:lineRule="auto"/>
    </w:pPr>
  </w:style>
  <w:style w:type="character" w:customStyle="1" w:styleId="a4">
    <w:name w:val="页脚 字符"/>
    <w:basedOn w:val="a0"/>
    <w:link w:val="a3"/>
    <w:uiPriority w:val="99"/>
    <w:rsid w:val="00914C56"/>
    <w:rPr>
      <w:rFonts w:ascii="Arial" w:eastAsia="Arial" w:hAnsi="Arial" w:cs="Arial"/>
      <w:lang w:val="en" w:eastAsia="de-CH"/>
    </w:rPr>
  </w:style>
  <w:style w:type="character" w:styleId="a5">
    <w:name w:val="page number"/>
    <w:basedOn w:val="a0"/>
    <w:uiPriority w:val="99"/>
    <w:semiHidden/>
    <w:unhideWhenUsed/>
    <w:rsid w:val="00914C56"/>
  </w:style>
  <w:style w:type="character" w:styleId="a6">
    <w:name w:val="line number"/>
    <w:basedOn w:val="a0"/>
    <w:uiPriority w:val="99"/>
    <w:semiHidden/>
    <w:unhideWhenUsed/>
    <w:rsid w:val="00914C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customXml/itemProps2.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4.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6</Pages>
  <Words>2690</Words>
  <Characters>15339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17994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liuxuekui314@njmu.edu.cn</cp:lastModifiedBy>
  <cp:revision>3</cp:revision>
  <cp:lastPrinted>2021-09-28T07:08:00Z</cp:lastPrinted>
  <dcterms:created xsi:type="dcterms:W3CDTF">2022-04-07T08:09:00Z</dcterms:created>
  <dcterms:modified xsi:type="dcterms:W3CDTF">2024-07-31T08:01:00Z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ies>
</file>