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Appendices</w:t>
      </w:r>
    </w:p>
    <w:p>
      <w:pP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Appendix A</w:t>
      </w:r>
    </w:p>
    <w:p>
      <w:pP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drawing>
          <wp:inline distT="0" distB="0" distL="114300" distR="114300">
            <wp:extent cx="5264150" cy="7249795"/>
            <wp:effectExtent l="0" t="0" r="12700" b="8255"/>
            <wp:docPr id="1" name="图片 1" descr="CDI Ad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I Ad example"/>
                    <pic:cNvPicPr>
                      <a:picLocks noChangeAspect="1"/>
                    </pic:cNvPicPr>
                  </pic:nvPicPr>
                  <pic:blipFill>
                    <a:blip r:embed="rId4"/>
                    <a:stretch>
                      <a:fillRect/>
                    </a:stretch>
                  </pic:blipFill>
                  <pic:spPr>
                    <a:xfrm>
                      <a:off x="0" y="0"/>
                      <a:ext cx="5264150" cy="7249795"/>
                    </a:xfrm>
                    <a:prstGeom prst="rect">
                      <a:avLst/>
                    </a:prstGeom>
                  </pic:spPr>
                </pic:pic>
              </a:graphicData>
            </a:graphic>
          </wp:inline>
        </w:drawing>
      </w:r>
    </w:p>
    <w:p>
      <w:pPr>
        <w:rPr>
          <w:rFonts w:hint="default" w:ascii="Times New Roman" w:hAnsi="Times New Roman" w:eastAsia="宋体" w:cs="Times New Roman"/>
          <w:b/>
          <w:bCs/>
          <w:lang w:val="en-US" w:eastAsia="zh-CN"/>
        </w:rPr>
      </w:pPr>
    </w:p>
    <w:p>
      <w:pP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Appendix B</w:t>
      </w:r>
      <w:bookmarkStart w:id="0" w:name="_GoBack"/>
      <w:bookmarkEnd w:id="0"/>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val="0"/>
          <w:lang w:val="en-US" w:eastAsia="zh-CN"/>
        </w:rPr>
      </w:pPr>
      <w:r>
        <w:rPr>
          <w:rFonts w:hint="default" w:ascii="Times New Roman" w:hAnsi="Times New Roman" w:eastAsia="宋体" w:cs="Times New Roman"/>
          <w:b w:val="0"/>
          <w:bCs w:val="0"/>
          <w:i/>
          <w:iCs/>
          <w:lang w:val="en-US" w:eastAsia="zh-CN"/>
        </w:rPr>
        <w:t>LRIF (r=1, control group): National Cancer Center (NCC) presented the data showing that there are new cancer cases with 18.6% incidence rate every year in China. The National Reimbursement Drug List (NRDL) only covers a limited number of cancer drugs, and cancer drugs annual spending up to CNY tens or hundreds of thousands, imposing heavy financial burdens on most ordinary families.</w:t>
      </w:r>
      <w:r>
        <w:rPr>
          <w:rFonts w:hint="default" w:ascii="Times New Roman" w:hAnsi="Times New Roman" w:eastAsia="宋体" w:cs="Times New Roman"/>
          <w:b w:val="0"/>
          <w:bCs w:val="0"/>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val="0"/>
          <w:i/>
          <w:iCs/>
          <w:lang w:val="en-US" w:eastAsia="zh-CN"/>
        </w:rPr>
      </w:pPr>
      <w:r>
        <w:rPr>
          <w:rFonts w:hint="default" w:ascii="Times New Roman" w:hAnsi="Times New Roman" w:eastAsia="宋体" w:cs="Times New Roman"/>
          <w:b w:val="0"/>
          <w:bCs w:val="0"/>
          <w:i/>
          <w:iCs/>
          <w:lang w:val="en-US" w:eastAsia="zh-CN"/>
        </w:rPr>
        <w:t>HRIF (r=2, treatment group): National Cancer Center (NCC) presented the latest data showing that there are 4.06 million new cancer cases with 18.6% incidence rate every year, and deaths are increasing by 2.41 million per year with the incidence continues to rise in China. To date, the steep price of commercially available cancer drugs is still prohibitive. The National Reimbursement Drug List (NRDL) only covers 157 specific cancer drugs as of 2023, each pack of cancer drug that not included in NRDL costs CNY 50,000 averagely, and cancer drugs annual spending up to CNY 600,000! However, the vast majority of cancer drugs fee needs to be paid by patients themselves due to not covered by NRDL, causing great physical and mental suffering due to the lack of cancer drugs treatment and imposing heavy financial burdens on most ordinary families. This tend to mean that one person gets cancer, one or several families collapse!</w:t>
      </w:r>
    </w:p>
    <w:p>
      <w:pPr>
        <w:rPr>
          <w:rFonts w:hint="default" w:ascii="Times New Roman" w:hAnsi="Times New Roman" w:eastAsia="宋体" w:cs="Times New Roman"/>
          <w:b/>
          <w:bCs/>
          <w:lang w:val="en-US" w:eastAsia="zh-CN"/>
        </w:rPr>
      </w:pPr>
    </w:p>
    <w:p>
      <w:pP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Appendix C</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5"/>
        <w:gridCol w:w="3124"/>
        <w:gridCol w:w="3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3"/>
          </w:tcPr>
          <w:p>
            <w:pPr>
              <w:rPr>
                <w:rFonts w:hint="default" w:ascii="Times New Roman" w:hAnsi="Times New Roman" w:eastAsia="宋体" w:cs="Times New Roman"/>
                <w:b w:val="0"/>
                <w:bCs w:val="0"/>
                <w:vertAlign w:val="baseline"/>
                <w:lang w:val="en-US" w:eastAsia="zh-CN"/>
              </w:rPr>
            </w:pPr>
          </w:p>
          <w:p>
            <w:pPr>
              <w:rPr>
                <w:rFonts w:hint="default" w:ascii="Times New Roman" w:hAnsi="Times New Roman" w:eastAsia="宋体" w:cs="Times New Roman"/>
                <w:b w:val="0"/>
                <w:bCs w:val="0"/>
                <w:vertAlign w:val="baseline"/>
                <w:lang w:val="en-US" w:eastAsia="zh-CN"/>
              </w:rPr>
            </w:pPr>
            <w:r>
              <w:rPr>
                <w:rFonts w:hint="default" w:ascii="Times New Roman" w:hAnsi="Times New Roman" w:eastAsia="宋体" w:cs="Times New Roman"/>
                <w:b w:val="0"/>
                <w:bCs w:val="0"/>
                <w:vertAlign w:val="baseline"/>
                <w:lang w:val="en-US" w:eastAsia="zh-CN"/>
              </w:rPr>
              <w:t>Annual benefit limit: CNY 2 million; Deductible: CNY 0; Waiting period: 30 days</w:t>
            </w:r>
          </w:p>
          <w:p>
            <w:pPr>
              <w:rPr>
                <w:rFonts w:hint="default" w:ascii="Times New Roman" w:hAnsi="Times New Roman" w:eastAsia="宋体" w:cs="Times New Roman"/>
                <w:b w:val="0"/>
                <w:bCs w:val="0"/>
                <w:vertAlign w:val="baseline"/>
                <w:lang w:val="en-US" w:eastAsia="zh-CN"/>
              </w:rPr>
            </w:pPr>
            <w:r>
              <w:rPr>
                <w:rFonts w:hint="default" w:ascii="Times New Roman" w:hAnsi="Times New Roman" w:eastAsia="宋体" w:cs="Times New Roman"/>
                <w:b w:val="0"/>
                <w:bCs w:val="0"/>
                <w:vertAlign w:val="baseline"/>
                <w:lang w:val="en-US" w:eastAsia="zh-CN"/>
              </w:rPr>
              <w:t>Guarantee content: 122 domestic and 60 overseas cancer drugs on the market</w:t>
            </w:r>
          </w:p>
          <w:p>
            <w:pPr>
              <w:rPr>
                <w:rFonts w:hint="default" w:ascii="Times New Roman" w:hAnsi="Times New Roman" w:eastAsia="宋体" w:cs="Times New Roman"/>
                <w:b w:val="0"/>
                <w:bCs w:val="0"/>
                <w:vertAlign w:val="baseline"/>
                <w:lang w:val="en-US" w:eastAsia="zh-CN"/>
              </w:rPr>
            </w:pPr>
            <w:r>
              <w:rPr>
                <w:rFonts w:hint="default" w:ascii="Times New Roman" w:hAnsi="Times New Roman" w:eastAsia="宋体" w:cs="Times New Roman"/>
                <w:b w:val="0"/>
                <w:bCs w:val="0"/>
                <w:vertAlign w:val="baseline"/>
                <w:lang w:val="en-US" w:eastAsia="zh-CN"/>
              </w:rPr>
              <w:t>Guarantee duration: valid during the insurance period; Compensation ratio: 100%</w:t>
            </w:r>
          </w:p>
          <w:p>
            <w:pPr>
              <w:rPr>
                <w:rFonts w:hint="default" w:ascii="Times New Roman" w:hAnsi="Times New Roman" w:eastAsia="宋体" w:cs="Times New Roman"/>
                <w:b w:val="0"/>
                <w:bCs w:val="0"/>
                <w:vertAlign w:val="baseline"/>
                <w:lang w:val="en-US" w:eastAsia="zh-CN"/>
              </w:rPr>
            </w:pPr>
            <w:r>
              <w:rPr>
                <w:rFonts w:hint="default" w:ascii="Times New Roman" w:hAnsi="Times New Roman" w:eastAsia="宋体" w:cs="Times New Roman"/>
                <w:b w:val="0"/>
                <w:bCs w:val="0"/>
                <w:vertAlign w:val="baseline"/>
                <w:lang w:val="en-US" w:eastAsia="zh-CN"/>
              </w:rPr>
              <w:t>Free cancer drugs provided duration after diagnosis: j years (j=1, 2, or 3), renewal not guaranteed</w:t>
            </w:r>
          </w:p>
          <w:p>
            <w:pPr>
              <w:rPr>
                <w:rFonts w:hint="default" w:ascii="Times New Roman" w:hAnsi="Times New Roman" w:eastAsia="宋体" w:cs="Times New Roman"/>
                <w:b w:val="0"/>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center"/>
          </w:tcPr>
          <w:p>
            <w:pPr>
              <w:jc w:val="center"/>
              <w:rPr>
                <w:rFonts w:hint="default" w:ascii="Times New Roman" w:hAnsi="Times New Roman" w:eastAsia="宋体" w:cs="Times New Roman"/>
                <w:b w:val="0"/>
                <w:bCs w:val="0"/>
                <w:vertAlign w:val="baseline"/>
                <w:lang w:val="en-US" w:eastAsia="zh-CN"/>
              </w:rPr>
            </w:pPr>
            <w:r>
              <w:rPr>
                <w:rFonts w:hint="default" w:ascii="Times New Roman" w:hAnsi="Times New Roman" w:eastAsia="宋体" w:cs="Times New Roman"/>
                <w:b w:val="0"/>
                <w:bCs w:val="0"/>
                <w:vertAlign w:val="baseline"/>
                <w:lang w:val="en-US" w:eastAsia="zh-CN"/>
              </w:rPr>
              <w:sym w:font="Wingdings" w:char="00A8"/>
            </w:r>
            <w:r>
              <w:rPr>
                <w:rFonts w:hint="default" w:ascii="Times New Roman" w:hAnsi="Times New Roman" w:eastAsia="宋体" w:cs="Times New Roman"/>
                <w:b w:val="0"/>
                <w:bCs w:val="0"/>
                <w:vertAlign w:val="baseline"/>
                <w:lang w:val="en-US" w:eastAsia="zh-CN"/>
              </w:rPr>
              <w:t xml:space="preserve"> Option 0: Not insured</w:t>
            </w:r>
          </w:p>
        </w:tc>
        <w:tc>
          <w:tcPr>
            <w:tcW w:w="3124" w:type="dxa"/>
            <w:vAlign w:val="center"/>
          </w:tcPr>
          <w:p>
            <w:pPr>
              <w:jc w:val="center"/>
              <w:rPr>
                <w:rFonts w:hint="default" w:ascii="Times New Roman" w:hAnsi="Times New Roman" w:eastAsia="宋体" w:cs="Times New Roman"/>
                <w:b w:val="0"/>
                <w:bCs w:val="0"/>
                <w:vertAlign w:val="baseline"/>
                <w:lang w:val="en-US" w:eastAsia="zh-CN"/>
              </w:rPr>
            </w:pPr>
            <w:r>
              <w:rPr>
                <w:rFonts w:hint="default" w:ascii="Times New Roman" w:hAnsi="Times New Roman" w:eastAsia="宋体" w:cs="Times New Roman"/>
                <w:b w:val="0"/>
                <w:bCs w:val="0"/>
                <w:vertAlign w:val="baseline"/>
                <w:lang w:val="en-US" w:eastAsia="zh-CN"/>
              </w:rPr>
              <w:sym w:font="Wingdings" w:char="00A8"/>
            </w:r>
            <w:r>
              <w:rPr>
                <w:rFonts w:hint="default" w:ascii="Times New Roman" w:hAnsi="Times New Roman" w:eastAsia="宋体" w:cs="Times New Roman"/>
                <w:b w:val="0"/>
                <w:bCs w:val="0"/>
                <w:vertAlign w:val="baseline"/>
                <w:lang w:val="en-US" w:eastAsia="zh-CN"/>
              </w:rPr>
              <w:t xml:space="preserve"> Option 1: Just insured 1 year, premium CNY 179</w:t>
            </w:r>
          </w:p>
        </w:tc>
        <w:tc>
          <w:tcPr>
            <w:tcW w:w="3103" w:type="dxa"/>
            <w:vAlign w:val="center"/>
          </w:tcPr>
          <w:p>
            <w:pPr>
              <w:jc w:val="center"/>
              <w:rPr>
                <w:rFonts w:hint="default" w:ascii="Times New Roman" w:hAnsi="Times New Roman" w:eastAsia="宋体" w:cs="Times New Roman"/>
                <w:b w:val="0"/>
                <w:bCs w:val="0"/>
                <w:vertAlign w:val="baseline"/>
                <w:lang w:val="en-US" w:eastAsia="zh-CN"/>
              </w:rPr>
            </w:pPr>
            <w:r>
              <w:rPr>
                <w:rFonts w:hint="default" w:ascii="Times New Roman" w:hAnsi="Times New Roman" w:eastAsia="宋体" w:cs="Times New Roman"/>
                <w:b w:val="0"/>
                <w:bCs w:val="0"/>
                <w:vertAlign w:val="baseline"/>
                <w:lang w:val="en-US" w:eastAsia="zh-CN"/>
              </w:rPr>
              <w:sym w:font="Wingdings" w:char="00A8"/>
            </w:r>
            <w:r>
              <w:rPr>
                <w:rFonts w:hint="default" w:ascii="Times New Roman" w:hAnsi="Times New Roman" w:eastAsia="宋体" w:cs="Times New Roman"/>
                <w:b w:val="0"/>
                <w:bCs w:val="0"/>
                <w:vertAlign w:val="baseline"/>
                <w:lang w:val="en-US" w:eastAsia="zh-CN"/>
              </w:rPr>
              <w:t xml:space="preserve"> Option 2: Insured 3 years consecutively, premium CNY 521</w:t>
            </w:r>
          </w:p>
        </w:tc>
      </w:tr>
    </w:tbl>
    <w:p>
      <w:pPr>
        <w:rPr>
          <w:rFonts w:hint="default" w:ascii="Times New Roman" w:hAnsi="Times New Roman" w:eastAsia="宋体" w:cs="Times New Roman"/>
          <w:b/>
          <w:bCs/>
          <w:lang w:val="en-US" w:eastAsia="zh-CN"/>
        </w:rPr>
      </w:pPr>
    </w:p>
    <w:p>
      <w:pP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Appendix</w:t>
      </w:r>
      <w:r>
        <w:rPr>
          <w:rFonts w:hint="eastAsia" w:ascii="Times New Roman" w:hAnsi="Times New Roman" w:eastAsia="宋体" w:cs="Times New Roman"/>
          <w:b/>
          <w:bCs/>
          <w:lang w:val="en-US" w:eastAsia="zh-CN"/>
        </w:rPr>
        <w:t xml:space="preserve"> D</w:t>
      </w:r>
    </w:p>
    <w:p>
      <w:pP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Selected demographic characteristics of subjects for each study group (15% sample size)</w:t>
      </w:r>
    </w:p>
    <w:tbl>
      <w:tblPr>
        <w:tblStyle w:val="3"/>
        <w:tblW w:w="0" w:type="auto"/>
        <w:tblInd w:w="-110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76"/>
        <w:gridCol w:w="883"/>
        <w:gridCol w:w="883"/>
        <w:gridCol w:w="883"/>
        <w:gridCol w:w="883"/>
        <w:gridCol w:w="883"/>
        <w:gridCol w:w="883"/>
        <w:gridCol w:w="963"/>
        <w:gridCol w:w="656"/>
        <w:gridCol w:w="57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vMerge w:val="restar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Variable</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Group 1.1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Group 1.2</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Group 1.3</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Group 2.1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Group 2.2</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Group 2.3</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Total</w:t>
            </w:r>
          </w:p>
        </w:tc>
        <w:tc>
          <w:tcPr>
            <w:tcW w:w="656" w:type="dxa"/>
            <w:vMerge w:val="restart"/>
            <w:tcBorders>
              <w:tl2br w:val="nil"/>
              <w:tr2bl w:val="nil"/>
            </w:tcBorders>
            <w:vAlign w:val="top"/>
          </w:tcPr>
          <w:p>
            <w:pPr>
              <w:jc w:val="both"/>
              <w:rPr>
                <w:rFonts w:hint="default" w:ascii="Times New Roman" w:hAnsi="Times New Roman" w:eastAsia="宋体" w:cs="Times New Roman"/>
                <w:b w:val="0"/>
                <w:bCs w:val="0"/>
                <w:i/>
                <w:iCs/>
                <w:sz w:val="15"/>
                <w:szCs w:val="15"/>
                <w:vertAlign w:val="baseline"/>
                <w:lang w:val="en-US" w:eastAsia="zh-CN"/>
              </w:rPr>
            </w:pPr>
            <w:r>
              <w:rPr>
                <w:rFonts w:hint="default" w:ascii="Times New Roman" w:hAnsi="Times New Roman" w:eastAsia="宋体" w:cs="Times New Roman"/>
                <w:b w:val="0"/>
                <w:bCs w:val="0"/>
                <w:i/>
                <w:iCs/>
                <w:sz w:val="15"/>
                <w:szCs w:val="15"/>
                <w:vertAlign w:val="baseline"/>
                <w:lang w:val="en-US" w:eastAsia="zh-CN"/>
              </w:rPr>
              <w:sym w:font="Symbol" w:char="0063"/>
            </w:r>
            <w:r>
              <w:rPr>
                <w:rFonts w:hint="default" w:ascii="Times New Roman" w:hAnsi="Times New Roman" w:eastAsia="宋体" w:cs="Times New Roman"/>
                <w:b w:val="0"/>
                <w:bCs w:val="0"/>
                <w:i/>
                <w:iCs/>
                <w:sz w:val="15"/>
                <w:szCs w:val="15"/>
                <w:vertAlign w:val="superscript"/>
                <w:lang w:val="en-US" w:eastAsia="zh-CN"/>
              </w:rPr>
              <w:t>2</w:t>
            </w:r>
          </w:p>
        </w:tc>
        <w:tc>
          <w:tcPr>
            <w:tcW w:w="576" w:type="dxa"/>
            <w:vMerge w:val="restart"/>
            <w:tcBorders>
              <w:tl2br w:val="nil"/>
              <w:tr2bl w:val="nil"/>
            </w:tcBorders>
            <w:vAlign w:val="top"/>
          </w:tcPr>
          <w:p>
            <w:pPr>
              <w:jc w:val="both"/>
              <w:rPr>
                <w:rFonts w:hint="default" w:ascii="Times New Roman" w:hAnsi="Times New Roman" w:eastAsia="宋体" w:cs="Times New Roman"/>
                <w:b w:val="0"/>
                <w:bCs w:val="0"/>
                <w:i/>
                <w:iCs/>
                <w:sz w:val="15"/>
                <w:szCs w:val="15"/>
                <w:vertAlign w:val="baseline"/>
                <w:lang w:val="en-US" w:eastAsia="zh-CN"/>
              </w:rPr>
            </w:pPr>
            <w:r>
              <w:rPr>
                <w:rFonts w:hint="default" w:ascii="Times New Roman" w:hAnsi="Times New Roman" w:eastAsia="宋体" w:cs="Times New Roman"/>
                <w:b w:val="0"/>
                <w:bCs w:val="0"/>
                <w:i/>
                <w:iCs/>
                <w:sz w:val="15"/>
                <w:szCs w:val="15"/>
                <w:vertAlign w:val="baseline"/>
                <w:lang w:val="en-US" w:eastAsia="zh-CN"/>
              </w:rPr>
              <w:t>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vMerge w:val="continue"/>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 (%)</w:t>
            </w:r>
          </w:p>
        </w:tc>
        <w:tc>
          <w:tcPr>
            <w:tcW w:w="883" w:type="dxa"/>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 (%)</w:t>
            </w:r>
          </w:p>
        </w:tc>
        <w:tc>
          <w:tcPr>
            <w:tcW w:w="883" w:type="dxa"/>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 (%)</w:t>
            </w:r>
          </w:p>
        </w:tc>
        <w:tc>
          <w:tcPr>
            <w:tcW w:w="883" w:type="dxa"/>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 (%)</w:t>
            </w:r>
          </w:p>
        </w:tc>
        <w:tc>
          <w:tcPr>
            <w:tcW w:w="883" w:type="dxa"/>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 (%)</w:t>
            </w:r>
          </w:p>
        </w:tc>
        <w:tc>
          <w:tcPr>
            <w:tcW w:w="883" w:type="dxa"/>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 (%)</w:t>
            </w:r>
          </w:p>
        </w:tc>
        <w:tc>
          <w:tcPr>
            <w:tcW w:w="963" w:type="dxa"/>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 (%)</w:t>
            </w:r>
          </w:p>
        </w:tc>
        <w:tc>
          <w:tcPr>
            <w:tcW w:w="656" w:type="dxa"/>
            <w:vMerge w:val="continue"/>
            <w:tcBorders>
              <w:bottom w:val="single" w:color="auto" w:sz="4" w:space="0"/>
              <w:tl2br w:val="nil"/>
              <w:tr2bl w:val="nil"/>
            </w:tcBorders>
            <w:vAlign w:val="top"/>
          </w:tcPr>
          <w:p>
            <w:pPr>
              <w:jc w:val="both"/>
              <w:rPr>
                <w:rFonts w:hint="default" w:ascii="Times New Roman" w:hAnsi="Times New Roman" w:eastAsia="宋体" w:cs="Times New Roman"/>
                <w:b w:val="0"/>
                <w:bCs w:val="0"/>
                <w:i/>
                <w:iCs/>
                <w:sz w:val="15"/>
                <w:szCs w:val="15"/>
                <w:vertAlign w:val="baseline"/>
                <w:lang w:val="en-US" w:eastAsia="zh-CN"/>
              </w:rPr>
            </w:pPr>
          </w:p>
        </w:tc>
        <w:tc>
          <w:tcPr>
            <w:tcW w:w="576" w:type="dxa"/>
            <w:vMerge w:val="continue"/>
            <w:tcBorders>
              <w:bottom w:val="single" w:color="auto" w:sz="4" w:space="0"/>
              <w:tl2br w:val="nil"/>
              <w:tr2bl w:val="nil"/>
            </w:tcBorders>
            <w:vAlign w:val="top"/>
          </w:tcPr>
          <w:p>
            <w:pPr>
              <w:jc w:val="both"/>
              <w:rPr>
                <w:rFonts w:hint="default" w:ascii="Times New Roman" w:hAnsi="Times New Roman" w:eastAsia="宋体" w:cs="Times New Roman"/>
                <w:b w:val="0"/>
                <w:bCs w:val="0"/>
                <w:i/>
                <w:iCs/>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Age</w:t>
            </w:r>
          </w:p>
        </w:tc>
        <w:tc>
          <w:tcPr>
            <w:tcW w:w="883"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963"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656"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9.971</w:t>
            </w:r>
          </w:p>
        </w:tc>
        <w:tc>
          <w:tcPr>
            <w:tcW w:w="576"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0.822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numPr>
                <w:ilvl w:val="0"/>
                <w:numId w:val="0"/>
              </w:num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18 to 29 years old</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73 (51.4)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68 (49.6)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68 (45.6)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67 (51.1)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76 (55.1)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71 (53.0)</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423 (50.9)</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30 to 39 years old</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50 (35.2)</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51 (37.2)</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59 (39.6)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39 (29.8)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41 (29.7)</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39 (29.1)</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279 (33.6)</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40 to 49 years old</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14 (9.9)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12 (8.8)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15 (10.1)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20 (15.3)</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15 (10.9)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16 (11.9)</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92 (11.1)</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50 to 60 years old</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 (3.5)</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 (4.4)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 (4.7)</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 (3.8)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 (4.3)</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 (6.0)</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37 (4.5)</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Gender</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5.105</w:t>
            </w: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0.403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Male</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79 (55.6)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82 (59.9)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82 (55.0)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67 (51.1)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73 (52.9)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84 (62.7)</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467 (56.2)</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Female</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63 (44.4)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55 (40.1)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67 (45.0)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64 (48.9)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65 (47.1)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50 (37.3)</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364 (43.8)</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Marital</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5.447</w:t>
            </w: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0.364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Married</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63 (44.4)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72 (52.6)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85 (57.0)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70 (53.4)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67 (48.6)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69 (51.5)</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426 (51.3)</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Not married</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79 (55.6)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65 (47.4)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64 (43.0)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61 (46.6)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71 (51.4)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65 (48.5)</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405 (48.7)</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Residence</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7.714</w:t>
            </w: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0.173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Rural</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41 (28.9)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52 (38.0)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46 (30.9)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38 (29.0)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54 (39.1)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52 (38.8)</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283 (34.1)</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bottom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Urban</w:t>
            </w:r>
          </w:p>
        </w:tc>
        <w:tc>
          <w:tcPr>
            <w:tcW w:w="883" w:type="dxa"/>
            <w:tcBorders>
              <w:bottom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101 (69.6)</w:t>
            </w:r>
          </w:p>
        </w:tc>
        <w:tc>
          <w:tcPr>
            <w:tcW w:w="883" w:type="dxa"/>
            <w:tcBorders>
              <w:bottom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85 (65.7)</w:t>
            </w:r>
          </w:p>
        </w:tc>
        <w:tc>
          <w:tcPr>
            <w:tcW w:w="883" w:type="dxa"/>
            <w:tcBorders>
              <w:bottom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103 (66.6)</w:t>
            </w:r>
          </w:p>
        </w:tc>
        <w:tc>
          <w:tcPr>
            <w:tcW w:w="883" w:type="dxa"/>
            <w:tcBorders>
              <w:bottom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93 (68.6)</w:t>
            </w:r>
          </w:p>
        </w:tc>
        <w:tc>
          <w:tcPr>
            <w:tcW w:w="883" w:type="dxa"/>
            <w:tcBorders>
              <w:bottom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84 (65.4)</w:t>
            </w:r>
          </w:p>
        </w:tc>
        <w:tc>
          <w:tcPr>
            <w:tcW w:w="883" w:type="dxa"/>
            <w:tcBorders>
              <w:bottom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82 (64.8)</w:t>
            </w:r>
          </w:p>
        </w:tc>
        <w:tc>
          <w:tcPr>
            <w:tcW w:w="963" w:type="dxa"/>
            <w:tcBorders>
              <w:bottom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548 (66.8)</w:t>
            </w:r>
          </w:p>
        </w:tc>
        <w:tc>
          <w:tcPr>
            <w:tcW w:w="656" w:type="dxa"/>
            <w:tcBorders>
              <w:bottom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bottom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Annual disposable income individually</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96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65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14.622</w:t>
            </w:r>
          </w:p>
        </w:tc>
        <w:tc>
          <w:tcPr>
            <w:tcW w:w="57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0.479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Up to 19999 CNY</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30 (21.1)</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28 (20.4)</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32 (21.5)</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30 (22.9)</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38 (27.5)</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22 (16.4)</w:t>
            </w:r>
          </w:p>
        </w:tc>
        <w:tc>
          <w:tcPr>
            <w:tcW w:w="96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180 (21.7)</w:t>
            </w:r>
          </w:p>
        </w:tc>
        <w:tc>
          <w:tcPr>
            <w:tcW w:w="65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20000 to 29999 CNY</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12 (8.5)</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15 (10.9)</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 (5.4)</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13 (9.9)</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15 (10.9)</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13 (9.7)</w:t>
            </w:r>
          </w:p>
        </w:tc>
        <w:tc>
          <w:tcPr>
            <w:tcW w:w="96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76 (9.1)</w:t>
            </w:r>
          </w:p>
        </w:tc>
        <w:tc>
          <w:tcPr>
            <w:tcW w:w="65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30000 to 49999 CNY</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57 (40.1)</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59 (43.1)</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63 (42.3)</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61 (46.6)</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51 (37.0)</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66 (49.3)</w:t>
            </w:r>
          </w:p>
        </w:tc>
        <w:tc>
          <w:tcPr>
            <w:tcW w:w="96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357 (43.0)</w:t>
            </w:r>
          </w:p>
        </w:tc>
        <w:tc>
          <w:tcPr>
            <w:tcW w:w="65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At least 50000 CNY</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43 (30.3)</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35 (25.5)</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46 (30.9)</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27 (20.6)</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34 (24.6)</w:t>
            </w:r>
          </w:p>
        </w:tc>
        <w:tc>
          <w:tcPr>
            <w:tcW w:w="88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33 (24.6)</w:t>
            </w:r>
          </w:p>
        </w:tc>
        <w:tc>
          <w:tcPr>
            <w:tcW w:w="963"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218 (26.2)</w:t>
            </w:r>
          </w:p>
        </w:tc>
        <w:tc>
          <w:tcPr>
            <w:tcW w:w="65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op w:val="nil"/>
              <w:left w:val="nil"/>
              <w:bottom w:val="nil"/>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op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Education</w:t>
            </w:r>
          </w:p>
        </w:tc>
        <w:tc>
          <w:tcPr>
            <w:tcW w:w="883" w:type="dxa"/>
            <w:tcBorders>
              <w:top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op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963" w:type="dxa"/>
            <w:tcBorders>
              <w:top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656" w:type="dxa"/>
            <w:tcBorders>
              <w:top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16.671</w:t>
            </w:r>
          </w:p>
        </w:tc>
        <w:tc>
          <w:tcPr>
            <w:tcW w:w="576" w:type="dxa"/>
            <w:tcBorders>
              <w:top w:val="nil"/>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0.674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Junior</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 (3.5)</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 (1.5)</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 (3.4)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 (2.3)</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 (2.9)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 (3.7)</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24 (2.9)</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Senior</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18 (12.7)</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23 (16.8)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19 (12.8)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21 (16.0)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16 (11.6)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22 (16.4)</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119 (14.3)</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Associate</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47 (33.1)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32 (23.4)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28 (18.8)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33 (25.2)</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36 (26.1)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37 (27.6)</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213 (25.6)</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Undergraduate</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65 (45.8)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69 (50.4)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88 (59.1)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69 (52.7)</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74 (53.6)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61 (45.5)</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426 (51.3)</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Postgraduate</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 (4.9)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11 (8.0)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9 (6.0)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 (3.8)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 (5.8)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9 (6.7)</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49 (5.9)</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Health insurance type</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16.285</w:t>
            </w: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0.699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Free</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15 (10.6)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14 (10.2)</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16 (10.7)</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17 (13.0)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10 (7.2)</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18 (13.4)</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90 (10.8)</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Urban employees</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57 (40.1)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51 (37.2)</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66 (44.3)</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52 (39.7)</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50 (36.2)</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44 (32.8)</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320 (38.5)</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Urban and rural residents</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57 (40.1)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59 (43.1)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59 (39.6)</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58 (44.3)</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68 (49.3)</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63 (47.0)</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364 (43.8)</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Commercial</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9 (6.3)</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 (5.1)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 (4.0)</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 (1.5)</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 (4.3)</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 (5.2)</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37 (4.5)</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Without</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 (2.8)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6 (4.4)</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 (1.3)</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 (1.5)</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 (2.9)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 (1.5)</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20 (2.4)</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 xml:space="preserve">Sample size </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 xml:space="preserve">142 </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137</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149</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131</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138</w:t>
            </w:r>
          </w:p>
        </w:tc>
        <w:tc>
          <w:tcPr>
            <w:tcW w:w="88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134</w:t>
            </w:r>
          </w:p>
        </w:tc>
        <w:tc>
          <w:tcPr>
            <w:tcW w:w="96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831</w:t>
            </w:r>
          </w:p>
        </w:tc>
        <w:tc>
          <w:tcPr>
            <w:tcW w:w="65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76"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bl>
    <w:p>
      <w:pPr>
        <w:rPr>
          <w:rFonts w:hint="default" w:ascii="Times New Roman" w:hAnsi="Times New Roman" w:eastAsia="宋体" w:cs="Times New Roman"/>
          <w:lang w:val="en-US" w:eastAsia="zh-CN"/>
        </w:rPr>
      </w:pPr>
    </w:p>
    <w:p>
      <w:pP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Appendix</w:t>
      </w:r>
      <w:r>
        <w:rPr>
          <w:rFonts w:hint="eastAsia" w:ascii="Times New Roman" w:hAnsi="Times New Roman" w:eastAsia="宋体" w:cs="Times New Roman"/>
          <w:b/>
          <w:bCs/>
          <w:sz w:val="21"/>
          <w:szCs w:val="21"/>
          <w:lang w:val="en-US" w:eastAsia="zh-CN"/>
        </w:rPr>
        <w:t xml:space="preserve"> E</w:t>
      </w:r>
    </w:p>
    <w:p>
      <w:pP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 xml:space="preserve">Results of purchasing decisions for CDI schemes </w:t>
      </w:r>
      <w:r>
        <w:rPr>
          <w:rFonts w:hint="default" w:ascii="Times New Roman" w:hAnsi="Times New Roman" w:eastAsia="宋体" w:cs="Times New Roman"/>
          <w:b/>
          <w:bCs/>
          <w:lang w:val="en-US" w:eastAsia="zh-CN"/>
        </w:rPr>
        <w:t>(15% sample size)</w:t>
      </w:r>
    </w:p>
    <w:tbl>
      <w:tblPr>
        <w:tblStyle w:val="3"/>
        <w:tblW w:w="0" w:type="auto"/>
        <w:tblInd w:w="-14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8"/>
        <w:gridCol w:w="600"/>
        <w:gridCol w:w="970"/>
        <w:gridCol w:w="970"/>
        <w:gridCol w:w="970"/>
        <w:gridCol w:w="554"/>
        <w:gridCol w:w="63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Framework</w:t>
            </w:r>
          </w:p>
        </w:tc>
        <w:tc>
          <w:tcPr>
            <w:tcW w:w="0" w:type="auto"/>
            <w:vMerge w:val="restar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Group</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Option 0</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Option 1</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Option 2</w:t>
            </w:r>
          </w:p>
        </w:tc>
        <w:tc>
          <w:tcPr>
            <w:tcW w:w="0" w:type="auto"/>
            <w:vMerge w:val="restart"/>
            <w:tcBorders>
              <w:tl2br w:val="nil"/>
              <w:tr2bl w:val="nil"/>
            </w:tcBorders>
            <w:vAlign w:val="top"/>
          </w:tcPr>
          <w:p>
            <w:pPr>
              <w:jc w:val="both"/>
              <w:rPr>
                <w:rFonts w:hint="default" w:ascii="Times New Roman" w:hAnsi="Times New Roman" w:eastAsia="宋体" w:cs="Times New Roman"/>
                <w:b w:val="0"/>
                <w:bCs w:val="0"/>
                <w:i/>
                <w:iCs/>
                <w:sz w:val="15"/>
                <w:szCs w:val="15"/>
                <w:vertAlign w:val="baseline"/>
                <w:lang w:val="en-US" w:eastAsia="zh-CN"/>
              </w:rPr>
            </w:pPr>
            <w:r>
              <w:rPr>
                <w:rFonts w:hint="default" w:ascii="Times New Roman" w:hAnsi="Times New Roman" w:eastAsia="宋体" w:cs="Times New Roman"/>
                <w:b w:val="0"/>
                <w:bCs w:val="0"/>
                <w:i/>
                <w:iCs/>
                <w:sz w:val="15"/>
                <w:szCs w:val="15"/>
                <w:vertAlign w:val="baseline"/>
                <w:lang w:val="en-US" w:eastAsia="zh-CN"/>
              </w:rPr>
              <w:sym w:font="Symbol" w:char="0063"/>
            </w:r>
            <w:r>
              <w:rPr>
                <w:rFonts w:hint="default" w:ascii="Times New Roman" w:hAnsi="Times New Roman" w:eastAsia="宋体" w:cs="Times New Roman"/>
                <w:b w:val="0"/>
                <w:bCs w:val="0"/>
                <w:i/>
                <w:iCs/>
                <w:sz w:val="15"/>
                <w:szCs w:val="15"/>
                <w:vertAlign w:val="superscript"/>
                <w:lang w:val="en-US" w:eastAsia="zh-CN"/>
              </w:rPr>
              <w:t>2</w:t>
            </w:r>
          </w:p>
        </w:tc>
        <w:tc>
          <w:tcPr>
            <w:tcW w:w="639" w:type="dxa"/>
            <w:vMerge w:val="restart"/>
            <w:tcBorders>
              <w:tl2br w:val="nil"/>
              <w:tr2bl w:val="nil"/>
            </w:tcBorders>
            <w:vAlign w:val="top"/>
          </w:tcPr>
          <w:p>
            <w:pPr>
              <w:jc w:val="both"/>
              <w:rPr>
                <w:rFonts w:hint="default" w:ascii="Times New Roman" w:hAnsi="Times New Roman" w:eastAsia="宋体" w:cs="Times New Roman"/>
                <w:b w:val="0"/>
                <w:bCs w:val="0"/>
                <w:i/>
                <w:iCs/>
                <w:sz w:val="15"/>
                <w:szCs w:val="15"/>
                <w:vertAlign w:val="baseline"/>
                <w:lang w:val="en-US" w:eastAsia="zh-CN"/>
              </w:rPr>
            </w:pPr>
            <w:r>
              <w:rPr>
                <w:rFonts w:hint="default" w:ascii="Times New Roman" w:hAnsi="Times New Roman" w:eastAsia="宋体" w:cs="Times New Roman"/>
                <w:b w:val="0"/>
                <w:bCs w:val="0"/>
                <w:i/>
                <w:iCs/>
                <w:sz w:val="15"/>
                <w:szCs w:val="15"/>
                <w:vertAlign w:val="baseline"/>
                <w:lang w:val="en-US" w:eastAsia="zh-CN"/>
              </w:rPr>
              <w:t>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0" w:type="auto"/>
            <w:vMerge w:val="continue"/>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0" w:type="auto"/>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Number (%)</w:t>
            </w:r>
          </w:p>
        </w:tc>
        <w:tc>
          <w:tcPr>
            <w:tcW w:w="0" w:type="auto"/>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Number (%)</w:t>
            </w:r>
          </w:p>
        </w:tc>
        <w:tc>
          <w:tcPr>
            <w:tcW w:w="0" w:type="auto"/>
            <w:tcBorders>
              <w:bottom w:val="single" w:color="auto" w:sz="4" w:space="0"/>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Number (%)</w:t>
            </w:r>
          </w:p>
        </w:tc>
        <w:tc>
          <w:tcPr>
            <w:tcW w:w="0" w:type="auto"/>
            <w:vMerge w:val="continue"/>
            <w:tcBorders>
              <w:bottom w:val="single" w:color="auto" w:sz="4" w:space="0"/>
              <w:tl2br w:val="nil"/>
              <w:tr2bl w:val="nil"/>
            </w:tcBorders>
            <w:vAlign w:val="top"/>
          </w:tcPr>
          <w:p>
            <w:pPr>
              <w:jc w:val="both"/>
              <w:rPr>
                <w:rFonts w:hint="default" w:ascii="Times New Roman" w:hAnsi="Times New Roman" w:eastAsia="宋体" w:cs="Times New Roman"/>
                <w:b w:val="0"/>
                <w:bCs w:val="0"/>
                <w:i/>
                <w:iCs/>
                <w:sz w:val="15"/>
                <w:szCs w:val="15"/>
                <w:vertAlign w:val="baseline"/>
                <w:lang w:val="en-US" w:eastAsia="zh-CN"/>
              </w:rPr>
            </w:pPr>
          </w:p>
        </w:tc>
        <w:tc>
          <w:tcPr>
            <w:tcW w:w="639" w:type="dxa"/>
            <w:vMerge w:val="continue"/>
            <w:tcBorders>
              <w:bottom w:val="single" w:color="auto" w:sz="4" w:space="0"/>
              <w:tl2br w:val="nil"/>
              <w:tr2bl w:val="nil"/>
            </w:tcBorders>
            <w:vAlign w:val="top"/>
          </w:tcPr>
          <w:p>
            <w:pPr>
              <w:jc w:val="both"/>
              <w:rPr>
                <w:rFonts w:hint="default" w:ascii="Times New Roman" w:hAnsi="Times New Roman" w:eastAsia="宋体" w:cs="Times New Roman"/>
                <w:b w:val="0"/>
                <w:bCs w:val="0"/>
                <w:i/>
                <w:iCs/>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LRIF</w:t>
            </w:r>
          </w:p>
        </w:tc>
        <w:tc>
          <w:tcPr>
            <w:tcW w:w="0" w:type="auto"/>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1.1</w:t>
            </w:r>
          </w:p>
        </w:tc>
        <w:tc>
          <w:tcPr>
            <w:tcW w:w="0" w:type="auto"/>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 (4.9)</w:t>
            </w:r>
          </w:p>
        </w:tc>
        <w:tc>
          <w:tcPr>
            <w:tcW w:w="0" w:type="auto"/>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49 (34.5)</w:t>
            </w:r>
          </w:p>
        </w:tc>
        <w:tc>
          <w:tcPr>
            <w:tcW w:w="0" w:type="auto"/>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 xml:space="preserve">86 (60.6) </w:t>
            </w:r>
          </w:p>
        </w:tc>
        <w:tc>
          <w:tcPr>
            <w:tcW w:w="0" w:type="auto"/>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3.866</w:t>
            </w:r>
          </w:p>
        </w:tc>
        <w:tc>
          <w:tcPr>
            <w:tcW w:w="639"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0.145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1.2</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14 (10.2)</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40 (29.2)</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83 (60.6)</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4.895</w:t>
            </w:r>
          </w:p>
        </w:tc>
        <w:tc>
          <w:tcPr>
            <w:tcW w:w="639"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0.087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1.3</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 (5.4)</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27 (18.1)</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114 (76.5)</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9.621</w:t>
            </w:r>
          </w:p>
        </w:tc>
        <w:tc>
          <w:tcPr>
            <w:tcW w:w="639"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HRIF</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2.1</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 (5.3)</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38 (29.0)</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86 (65.6)</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0.274</w:t>
            </w:r>
          </w:p>
        </w:tc>
        <w:tc>
          <w:tcPr>
            <w:tcW w:w="639"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0.872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2.2</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7 (5.1)</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41 (29.7)</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90 (65.2)</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0.571</w:t>
            </w:r>
          </w:p>
        </w:tc>
        <w:tc>
          <w:tcPr>
            <w:tcW w:w="639"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0.752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2.3</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9 (6.7)</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37 (27.6)</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88 (65.7)</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0.060</w:t>
            </w:r>
          </w:p>
        </w:tc>
        <w:tc>
          <w:tcPr>
            <w:tcW w:w="639"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0.971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gridSpan w:val="2"/>
            <w:tcBorders>
              <w:tl2br w:val="nil"/>
              <w:tr2bl w:val="nil"/>
            </w:tcBorders>
            <w:vAlign w:val="top"/>
          </w:tcPr>
          <w:p>
            <w:pPr>
              <w:jc w:val="left"/>
              <w:rPr>
                <w:rFonts w:hint="default" w:ascii="Times New Roman" w:hAnsi="Times New Roman" w:eastAsia="宋体" w:cs="Times New Roman"/>
                <w:b w:val="0"/>
                <w:bCs w:val="0"/>
                <w:i/>
                <w:iCs/>
                <w:sz w:val="15"/>
                <w:szCs w:val="15"/>
                <w:vertAlign w:val="baseline"/>
                <w:lang w:val="en-US" w:eastAsia="zh-CN"/>
              </w:rPr>
            </w:pPr>
            <w:r>
              <w:rPr>
                <w:rFonts w:hint="default" w:ascii="Times New Roman" w:hAnsi="Times New Roman" w:eastAsia="宋体" w:cs="Times New Roman"/>
                <w:b w:val="0"/>
                <w:bCs w:val="0"/>
                <w:i/>
                <w:iCs/>
                <w:sz w:val="15"/>
                <w:szCs w:val="15"/>
                <w:vertAlign w:val="baseline"/>
                <w:lang w:val="en-US" w:eastAsia="zh-CN"/>
              </w:rPr>
              <w:sym w:font="Symbol" w:char="0063"/>
            </w:r>
            <w:r>
              <w:rPr>
                <w:rFonts w:hint="default" w:ascii="Times New Roman" w:hAnsi="Times New Roman" w:eastAsia="宋体" w:cs="Times New Roman"/>
                <w:b w:val="0"/>
                <w:bCs w:val="0"/>
                <w:i/>
                <w:iCs/>
                <w:sz w:val="15"/>
                <w:szCs w:val="15"/>
                <w:vertAlign w:val="superscript"/>
                <w:lang w:val="en-US" w:eastAsia="zh-CN"/>
              </w:rPr>
              <w:t>2</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4.858</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10.586</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11.008</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639"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gridSpan w:val="2"/>
            <w:tcBorders>
              <w:tl2br w:val="nil"/>
              <w:tr2bl w:val="nil"/>
            </w:tcBorders>
            <w:vAlign w:val="top"/>
          </w:tcPr>
          <w:p>
            <w:pPr>
              <w:jc w:val="left"/>
              <w:rPr>
                <w:rFonts w:hint="default" w:ascii="Times New Roman" w:hAnsi="Times New Roman" w:eastAsia="宋体" w:cs="Times New Roman"/>
                <w:b w:val="0"/>
                <w:bCs w:val="0"/>
                <w:i/>
                <w:iCs/>
                <w:sz w:val="15"/>
                <w:szCs w:val="15"/>
                <w:vertAlign w:val="baseline"/>
                <w:lang w:val="en-US" w:eastAsia="zh-CN"/>
              </w:rPr>
            </w:pPr>
            <w:r>
              <w:rPr>
                <w:rFonts w:hint="default" w:ascii="Times New Roman" w:hAnsi="Times New Roman" w:eastAsia="宋体" w:cs="Times New Roman"/>
                <w:b w:val="0"/>
                <w:bCs w:val="0"/>
                <w:i/>
                <w:iCs/>
                <w:sz w:val="15"/>
                <w:szCs w:val="15"/>
                <w:vertAlign w:val="baseline"/>
                <w:lang w:val="en-US" w:eastAsia="zh-CN"/>
              </w:rPr>
              <w:t>P</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0.434</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0.060</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0.051</w:t>
            </w:r>
          </w:p>
        </w:tc>
        <w:tc>
          <w:tcPr>
            <w:tcW w:w="0" w:type="auto"/>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639"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r>
    </w:tbl>
    <w:p>
      <w:pPr>
        <w:rPr>
          <w:rFonts w:hint="default" w:ascii="Times New Roman" w:hAnsi="Times New Roman" w:eastAsia="宋体" w:cs="Times New Roman"/>
          <w:b w:val="0"/>
          <w:bCs w:val="0"/>
          <w:sz w:val="15"/>
          <w:szCs w:val="15"/>
          <w:lang w:val="en-US" w:eastAsia="zh-CN"/>
        </w:rPr>
      </w:pPr>
      <w:r>
        <w:rPr>
          <w:rFonts w:hint="default" w:ascii="Times New Roman" w:hAnsi="Times New Roman" w:eastAsia="宋体" w:cs="Times New Roman"/>
          <w:b w:val="0"/>
          <w:bCs w:val="0"/>
          <w:sz w:val="15"/>
          <w:szCs w:val="15"/>
          <w:lang w:val="en-US" w:eastAsia="zh-CN"/>
        </w:rPr>
        <w:t>Abbreviations: LRIF=low risk information framework; HRIF=high risk information framework; Option 0=not insured; Option 1=just insured 1 year, 179 CNY premium; Option 2=insured 3 years consecutively, 179 CNY premium.</w:t>
      </w:r>
    </w:p>
    <w:p>
      <w:pPr>
        <w:rPr>
          <w:rFonts w:hint="default" w:ascii="Times New Roman" w:hAnsi="Times New Roman" w:eastAsia="宋体" w:cs="Times New Roman"/>
          <w:lang w:val="en-US" w:eastAsia="zh-CN"/>
        </w:rPr>
      </w:pPr>
    </w:p>
    <w:p>
      <w:pP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 xml:space="preserve">Appendix </w:t>
      </w:r>
      <w:r>
        <w:rPr>
          <w:rFonts w:hint="eastAsia" w:ascii="Times New Roman" w:hAnsi="Times New Roman" w:eastAsia="宋体" w:cs="Times New Roman"/>
          <w:b/>
          <w:bCs/>
          <w:lang w:val="en-US" w:eastAsia="zh-CN"/>
        </w:rPr>
        <w:t>F</w:t>
      </w:r>
    </w:p>
    <w:p>
      <w:pP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Results of time orientation towards CDI purchasing (15% sample size)</w:t>
      </w:r>
    </w:p>
    <w:tbl>
      <w:tblPr>
        <w:tblStyle w:val="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41"/>
        <w:gridCol w:w="3073"/>
        <w:gridCol w:w="1252"/>
        <w:gridCol w:w="1148"/>
        <w:gridCol w:w="804"/>
        <w:gridCol w:w="80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1" w:type="dxa"/>
            <w:vMerge w:val="restart"/>
            <w:tcBorders>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Dimensions</w:t>
            </w:r>
          </w:p>
        </w:tc>
        <w:tc>
          <w:tcPr>
            <w:tcW w:w="3073" w:type="dxa"/>
            <w:vMerge w:val="restart"/>
            <w:tcBorders>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Items</w:t>
            </w:r>
          </w:p>
        </w:tc>
        <w:tc>
          <w:tcPr>
            <w:tcW w:w="1252" w:type="dxa"/>
            <w:tcBorders>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LRIF (N=428)</w:t>
            </w:r>
          </w:p>
        </w:tc>
        <w:tc>
          <w:tcPr>
            <w:tcW w:w="1148" w:type="dxa"/>
            <w:tcBorders>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HRIF (N=403)</w:t>
            </w:r>
          </w:p>
        </w:tc>
        <w:tc>
          <w:tcPr>
            <w:tcW w:w="1608" w:type="dxa"/>
            <w:gridSpan w:val="2"/>
            <w:tcBorders>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Comparison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1" w:type="dxa"/>
            <w:vMerge w:val="continue"/>
            <w:tcBorders>
              <w:top w:val="single" w:color="auto" w:sz="4" w:space="0"/>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3073" w:type="dxa"/>
            <w:vMerge w:val="continue"/>
            <w:tcBorders>
              <w:top w:val="single" w:color="auto" w:sz="4" w:space="0"/>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1252" w:type="dxa"/>
            <w:tcBorders>
              <w:top w:val="single" w:color="auto" w:sz="4" w:space="0"/>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M (SD)</w:t>
            </w:r>
          </w:p>
        </w:tc>
        <w:tc>
          <w:tcPr>
            <w:tcW w:w="1148" w:type="dxa"/>
            <w:tcBorders>
              <w:top w:val="single" w:color="auto" w:sz="4" w:space="0"/>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M (SD)</w:t>
            </w:r>
          </w:p>
        </w:tc>
        <w:tc>
          <w:tcPr>
            <w:tcW w:w="804" w:type="dxa"/>
            <w:tcBorders>
              <w:top w:val="single" w:color="auto" w:sz="4" w:space="0"/>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t (829)</w:t>
            </w:r>
          </w:p>
        </w:tc>
        <w:tc>
          <w:tcPr>
            <w:tcW w:w="804" w:type="dxa"/>
            <w:tcBorders>
              <w:top w:val="single" w:color="auto" w:sz="4" w:space="0"/>
              <w:left w:val="nil"/>
              <w:bottom w:val="single" w:color="auto" w:sz="4" w:space="0"/>
              <w:right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i/>
                <w:iCs/>
                <w:sz w:val="15"/>
                <w:szCs w:val="15"/>
                <w:vertAlign w:val="baseline"/>
                <w:lang w:val="en-US" w:eastAsia="zh-CN"/>
              </w:rPr>
              <w:t>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1" w:type="dxa"/>
            <w:vMerge w:val="restart"/>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 xml:space="preserve">Present-oriented </w:t>
            </w:r>
          </w:p>
        </w:tc>
        <w:tc>
          <w:tcPr>
            <w:tcW w:w="3073"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I focus on my current NOT future cancer risk when I choose the CDI scheme</w:t>
            </w:r>
          </w:p>
        </w:tc>
        <w:tc>
          <w:tcPr>
            <w:tcW w:w="1252"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3.70 (1.060)</w:t>
            </w:r>
          </w:p>
        </w:tc>
        <w:tc>
          <w:tcPr>
            <w:tcW w:w="1148"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3.83 (0.998)</w:t>
            </w:r>
          </w:p>
        </w:tc>
        <w:tc>
          <w:tcPr>
            <w:tcW w:w="804"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1.822</w:t>
            </w:r>
          </w:p>
        </w:tc>
        <w:tc>
          <w:tcPr>
            <w:tcW w:w="804" w:type="dxa"/>
            <w:tcBorders>
              <w:top w:val="single" w:color="auto" w:sz="4" w:space="0"/>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0.092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1" w:type="dxa"/>
            <w:vMerge w:val="continue"/>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307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I care more about current premium NOT future cost reduce when I choose the CDI scheme</w:t>
            </w:r>
          </w:p>
        </w:tc>
        <w:tc>
          <w:tcPr>
            <w:tcW w:w="1252"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3.81 (0.994)</w:t>
            </w:r>
          </w:p>
        </w:tc>
        <w:tc>
          <w:tcPr>
            <w:tcW w:w="1148"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3.82 (0.939)</w:t>
            </w:r>
          </w:p>
        </w:tc>
        <w:tc>
          <w:tcPr>
            <w:tcW w:w="804"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0.149</w:t>
            </w:r>
          </w:p>
        </w:tc>
        <w:tc>
          <w:tcPr>
            <w:tcW w:w="804"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0.119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1" w:type="dxa"/>
            <w:vMerge w:val="restar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 xml:space="preserve">Future-oriented </w:t>
            </w:r>
          </w:p>
        </w:tc>
        <w:tc>
          <w:tcPr>
            <w:tcW w:w="307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I value more on the future security when I choose the CDI scheme</w:t>
            </w:r>
          </w:p>
        </w:tc>
        <w:tc>
          <w:tcPr>
            <w:tcW w:w="1252"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3.95 (0.948)</w:t>
            </w:r>
          </w:p>
        </w:tc>
        <w:tc>
          <w:tcPr>
            <w:tcW w:w="1148"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3.97 (0.902)</w:t>
            </w:r>
          </w:p>
        </w:tc>
        <w:tc>
          <w:tcPr>
            <w:tcW w:w="804"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0.260</w:t>
            </w:r>
          </w:p>
        </w:tc>
        <w:tc>
          <w:tcPr>
            <w:tcW w:w="804"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0.166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1" w:type="dxa"/>
            <w:vMerge w:val="continue"/>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3073"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I consider its long-term impact on my future life seriously when I choose the CDI scheme</w:t>
            </w:r>
          </w:p>
        </w:tc>
        <w:tc>
          <w:tcPr>
            <w:tcW w:w="1252"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4.06 (0.872)</w:t>
            </w:r>
          </w:p>
        </w:tc>
        <w:tc>
          <w:tcPr>
            <w:tcW w:w="1148"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4.08 (0.803)</w:t>
            </w:r>
          </w:p>
        </w:tc>
        <w:tc>
          <w:tcPr>
            <w:tcW w:w="804"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0.366</w:t>
            </w:r>
          </w:p>
        </w:tc>
        <w:tc>
          <w:tcPr>
            <w:tcW w:w="804" w:type="dxa"/>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0.402</w:t>
            </w:r>
          </w:p>
        </w:tc>
      </w:tr>
    </w:tbl>
    <w:p>
      <w:pPr>
        <w:rPr>
          <w:rFonts w:hint="default" w:ascii="Times New Roman" w:hAnsi="Times New Roman" w:eastAsia="宋体" w:cs="Times New Roman"/>
          <w:lang w:val="en-US" w:eastAsia="zh-CN"/>
        </w:rPr>
      </w:pPr>
      <w:r>
        <w:rPr>
          <w:rFonts w:hint="default" w:ascii="Times New Roman" w:hAnsi="Times New Roman" w:eastAsia="宋体" w:cs="Times New Roman"/>
          <w:b w:val="0"/>
          <w:bCs w:val="0"/>
          <w:sz w:val="15"/>
          <w:szCs w:val="15"/>
          <w:lang w:val="en-US" w:eastAsia="zh-CN"/>
        </w:rPr>
        <w:t>Abbreviations: LRIF=low risk information framework; HRIF=high risk information framework</w:t>
      </w:r>
    </w:p>
    <w:p>
      <w:pPr>
        <w:rPr>
          <w:rFonts w:hint="default" w:ascii="Times New Roman" w:hAnsi="Times New Roman" w:eastAsia="宋体" w:cs="Times New Roman"/>
          <w:b/>
          <w:bCs/>
          <w:lang w:val="en-US" w:eastAsia="zh-CN"/>
        </w:rPr>
      </w:pPr>
    </w:p>
    <w:p>
      <w:pP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 xml:space="preserve">Appendix </w:t>
      </w:r>
      <w:r>
        <w:rPr>
          <w:rFonts w:hint="eastAsia" w:ascii="Times New Roman" w:hAnsi="Times New Roman" w:eastAsia="宋体" w:cs="Times New Roman"/>
          <w:b/>
          <w:bCs/>
          <w:lang w:val="en-US" w:eastAsia="zh-CN"/>
        </w:rPr>
        <w:t>G</w:t>
      </w:r>
    </w:p>
    <w:p>
      <w:pP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Results of perceived risk related to developing cancer (15% sample size)</w:t>
      </w:r>
    </w:p>
    <w:tbl>
      <w:tblPr>
        <w:tblStyle w:val="3"/>
        <w:tblW w:w="5339" w:type="pct"/>
        <w:tblInd w:w="-334"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70"/>
        <w:gridCol w:w="4716"/>
        <w:gridCol w:w="1023"/>
        <w:gridCol w:w="980"/>
        <w:gridCol w:w="723"/>
        <w:gridCol w:w="68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32" w:type="pct"/>
            <w:vMerge w:val="restar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Dimensions</w:t>
            </w:r>
          </w:p>
        </w:tc>
        <w:tc>
          <w:tcPr>
            <w:tcW w:w="2591" w:type="pct"/>
            <w:vMerge w:val="restar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Items</w:t>
            </w:r>
          </w:p>
        </w:tc>
        <w:tc>
          <w:tcPr>
            <w:tcW w:w="562" w:type="pc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LRIF (N=428)</w:t>
            </w:r>
          </w:p>
        </w:tc>
        <w:tc>
          <w:tcPr>
            <w:tcW w:w="538" w:type="pc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HRIF (N=403)</w:t>
            </w:r>
          </w:p>
        </w:tc>
        <w:tc>
          <w:tcPr>
            <w:tcW w:w="775" w:type="pct"/>
            <w:gridSpan w:val="2"/>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Comparison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32" w:type="pct"/>
            <w:vMerge w:val="continue"/>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2591" w:type="pct"/>
            <w:vMerge w:val="continue"/>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562" w:type="pc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M (SD)</w:t>
            </w:r>
          </w:p>
        </w:tc>
        <w:tc>
          <w:tcPr>
            <w:tcW w:w="538" w:type="pc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M (SD)</w:t>
            </w:r>
          </w:p>
        </w:tc>
        <w:tc>
          <w:tcPr>
            <w:tcW w:w="397" w:type="pc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t (5581)</w:t>
            </w:r>
          </w:p>
        </w:tc>
        <w:tc>
          <w:tcPr>
            <w:tcW w:w="378" w:type="pct"/>
            <w:tcBorders>
              <w:tl2br w:val="nil"/>
              <w:tr2bl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i/>
                <w:iCs/>
                <w:sz w:val="15"/>
                <w:szCs w:val="15"/>
                <w:vertAlign w:val="baseline"/>
                <w:lang w:val="en-US" w:eastAsia="zh-CN"/>
              </w:rPr>
              <w:t>P</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32" w:type="pct"/>
            <w:vMerge w:val="restart"/>
            <w:tcBorders>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Cancer</w:t>
            </w:r>
          </w:p>
        </w:tc>
        <w:tc>
          <w:tcPr>
            <w:tcW w:w="2591" w:type="pct"/>
            <w:tcBorders>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Carcinogenic factors are ubiquitous in daily living and working conditions</w:t>
            </w:r>
          </w:p>
        </w:tc>
        <w:tc>
          <w:tcPr>
            <w:tcW w:w="562" w:type="pct"/>
            <w:tcBorders>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4.12 (0.922)</w:t>
            </w:r>
          </w:p>
        </w:tc>
        <w:tc>
          <w:tcPr>
            <w:tcW w:w="538" w:type="pct"/>
            <w:tcBorders>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4.07 (0.929)</w:t>
            </w:r>
          </w:p>
        </w:tc>
        <w:tc>
          <w:tcPr>
            <w:tcW w:w="397" w:type="pct"/>
            <w:tcBorders>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0.735</w:t>
            </w:r>
          </w:p>
        </w:tc>
        <w:tc>
          <w:tcPr>
            <w:tcW w:w="378" w:type="pct"/>
            <w:tcBorders>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0.710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32" w:type="pct"/>
            <w:vMerge w:val="continue"/>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2591"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I'm worried about developing cancer in my life</w:t>
            </w:r>
          </w:p>
        </w:tc>
        <w:tc>
          <w:tcPr>
            <w:tcW w:w="562"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3.82 (1.050)</w:t>
            </w:r>
          </w:p>
        </w:tc>
        <w:tc>
          <w:tcPr>
            <w:tcW w:w="538"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3.86 (0.997)</w:t>
            </w:r>
          </w:p>
        </w:tc>
        <w:tc>
          <w:tcPr>
            <w:tcW w:w="397"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0.506</w:t>
            </w:r>
          </w:p>
        </w:tc>
        <w:tc>
          <w:tcPr>
            <w:tcW w:w="378"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0.066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32" w:type="pct"/>
            <w:vMerge w:val="restar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 xml:space="preserve">Financial </w:t>
            </w:r>
          </w:p>
        </w:tc>
        <w:tc>
          <w:tcPr>
            <w:tcW w:w="2591"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I'm worried about the price of cancer drugs is steep</w:t>
            </w:r>
          </w:p>
        </w:tc>
        <w:tc>
          <w:tcPr>
            <w:tcW w:w="562"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2.75 (1.400)</w:t>
            </w:r>
          </w:p>
        </w:tc>
        <w:tc>
          <w:tcPr>
            <w:tcW w:w="538"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2.76 (1.322)</w:t>
            </w:r>
          </w:p>
        </w:tc>
        <w:tc>
          <w:tcPr>
            <w:tcW w:w="397"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0.176</w:t>
            </w:r>
          </w:p>
        </w:tc>
        <w:tc>
          <w:tcPr>
            <w:tcW w:w="378"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0.057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32" w:type="pct"/>
            <w:vMerge w:val="continue"/>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2591"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If I get cancer, the cancer drugs expenses are unaffordable for my family</w:t>
            </w:r>
          </w:p>
        </w:tc>
        <w:tc>
          <w:tcPr>
            <w:tcW w:w="562"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3.96 (1.062)</w:t>
            </w:r>
          </w:p>
        </w:tc>
        <w:tc>
          <w:tcPr>
            <w:tcW w:w="538"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4.05 (0.941)</w:t>
            </w:r>
          </w:p>
        </w:tc>
        <w:tc>
          <w:tcPr>
            <w:tcW w:w="397"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1.350</w:t>
            </w:r>
          </w:p>
        </w:tc>
        <w:tc>
          <w:tcPr>
            <w:tcW w:w="378" w:type="pct"/>
            <w:tcBorders>
              <w:top w:val="nil"/>
              <w:bottom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0.077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32" w:type="pct"/>
            <w:vMerge w:val="continue"/>
            <w:tcBorders>
              <w:top w:val="nil"/>
            </w:tcBorders>
            <w:vAlign w:val="top"/>
          </w:tcPr>
          <w:p>
            <w:pPr>
              <w:jc w:val="both"/>
              <w:rPr>
                <w:rFonts w:hint="default" w:ascii="Times New Roman" w:hAnsi="Times New Roman" w:eastAsia="宋体" w:cs="Times New Roman"/>
                <w:b w:val="0"/>
                <w:bCs w:val="0"/>
                <w:sz w:val="15"/>
                <w:szCs w:val="15"/>
                <w:vertAlign w:val="baseline"/>
                <w:lang w:val="en-US" w:eastAsia="zh-CN"/>
              </w:rPr>
            </w:pPr>
          </w:p>
        </w:tc>
        <w:tc>
          <w:tcPr>
            <w:tcW w:w="2591" w:type="pct"/>
            <w:tcBorders>
              <w:top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Cancer drugs insurance could avoid economic risk caused by cancer</w:t>
            </w:r>
          </w:p>
        </w:tc>
        <w:tc>
          <w:tcPr>
            <w:tcW w:w="562" w:type="pct"/>
            <w:tcBorders>
              <w:top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3.93 (0.946)</w:t>
            </w:r>
          </w:p>
        </w:tc>
        <w:tc>
          <w:tcPr>
            <w:tcW w:w="538" w:type="pct"/>
            <w:tcBorders>
              <w:top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3.97 (0.929)</w:t>
            </w:r>
          </w:p>
        </w:tc>
        <w:tc>
          <w:tcPr>
            <w:tcW w:w="397" w:type="pct"/>
            <w:tcBorders>
              <w:top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0.586</w:t>
            </w:r>
          </w:p>
        </w:tc>
        <w:tc>
          <w:tcPr>
            <w:tcW w:w="378" w:type="pct"/>
            <w:tcBorders>
              <w:top w:val="nil"/>
            </w:tcBorders>
            <w:vAlign w:val="top"/>
          </w:tcPr>
          <w:p>
            <w:pPr>
              <w:jc w:val="both"/>
              <w:rPr>
                <w:rFonts w:hint="default" w:ascii="Times New Roman" w:hAnsi="Times New Roman" w:eastAsia="宋体" w:cs="Times New Roman"/>
                <w:b w:val="0"/>
                <w:bCs w:val="0"/>
                <w:sz w:val="15"/>
                <w:szCs w:val="15"/>
                <w:vertAlign w:val="baseline"/>
                <w:lang w:val="en-US" w:eastAsia="zh-CN"/>
              </w:rPr>
            </w:pPr>
            <w:r>
              <w:rPr>
                <w:rFonts w:hint="default" w:ascii="Times New Roman" w:hAnsi="Times New Roman" w:eastAsia="宋体" w:cs="Times New Roman"/>
                <w:b w:val="0"/>
                <w:bCs w:val="0"/>
                <w:sz w:val="15"/>
                <w:szCs w:val="15"/>
                <w:vertAlign w:val="baseline"/>
                <w:lang w:val="en-US" w:eastAsia="zh-CN"/>
              </w:rPr>
              <w:t>0.682</w:t>
            </w:r>
          </w:p>
        </w:tc>
      </w:tr>
    </w:tbl>
    <w:p>
      <w:pPr>
        <w:rPr>
          <w:rFonts w:hint="default" w:ascii="Times New Roman" w:hAnsi="Times New Roman" w:eastAsia="宋体" w:cs="Times New Roman"/>
          <w:lang w:val="en-US" w:eastAsia="zh-CN"/>
        </w:rPr>
      </w:pPr>
      <w:r>
        <w:rPr>
          <w:rFonts w:hint="default" w:ascii="Times New Roman" w:hAnsi="Times New Roman" w:eastAsia="宋体" w:cs="Times New Roman"/>
          <w:b w:val="0"/>
          <w:bCs w:val="0"/>
          <w:sz w:val="15"/>
          <w:szCs w:val="15"/>
          <w:lang w:val="en-US" w:eastAsia="zh-CN"/>
        </w:rPr>
        <w:t>Abbreviations: LRIF=low risk information framework; HRIF=high risk information framework</w:t>
      </w: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ZGFiNjQ4YzY0MmUzNTA1NTlkMzVlY2U5ZWI4MmUifQ=="/>
  </w:docVars>
  <w:rsids>
    <w:rsidRoot w:val="79012E6B"/>
    <w:rsid w:val="071F3579"/>
    <w:rsid w:val="0D634566"/>
    <w:rsid w:val="178D21AA"/>
    <w:rsid w:val="2C491CAE"/>
    <w:rsid w:val="79012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2024-05-31T19:53:00Z</dcterms:created>
  <dc:creator>孙振宇</dc:creator>
  <cp:lastModifiedBy>孙振宇</cp:lastModifiedBy>
  <dcterms:modified xsi:type="dcterms:W3CDTF">2024-06-18T11:41:34Z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6D5EBC8F3F8A469F96E546684C32631D_11</vt:lpwstr>
  </property>
</Properties>
</file>