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3132B" w14:textId="77777777" w:rsidR="002B3D41" w:rsidRDefault="002B3D41">
      <w:pPr>
        <w:spacing w:line="240" w:lineRule="auto"/>
        <w:rPr>
          <w:rFonts w:ascii="Calibri" w:eastAsia="Calibri" w:hAnsi="Calibri" w:cs="Calibri"/>
          <w:sz w:val="24"/>
          <w:szCs w:val="24"/>
        </w:rPr>
      </w:pPr>
    </w:p>
    <w:p w14:paraId="3791A438" w14:textId="77777777" w:rsidR="002B3D41" w:rsidRDefault="002B3D41">
      <w:pPr>
        <w:spacing w:line="240" w:lineRule="auto"/>
        <w:rPr>
          <w:rFonts w:ascii="Calibri" w:eastAsia="Calibri" w:hAnsi="Calibri" w:cs="Calibri"/>
          <w:sz w:val="24"/>
          <w:szCs w:val="24"/>
        </w:rPr>
      </w:pPr>
    </w:p>
    <w:p w14:paraId="1BD7AD79" w14:textId="77777777" w:rsidR="002B3D41" w:rsidRDefault="002B3D41">
      <w:pPr>
        <w:spacing w:line="240" w:lineRule="auto"/>
        <w:rPr>
          <w:rFonts w:ascii="Calibri" w:eastAsia="Calibri" w:hAnsi="Calibri" w:cs="Calibri"/>
          <w:sz w:val="24"/>
          <w:szCs w:val="24"/>
        </w:rPr>
      </w:pPr>
    </w:p>
    <w:p w14:paraId="1D474450" w14:textId="6955CE49" w:rsidR="002B3D41" w:rsidRDefault="002B3D41">
      <w:pPr>
        <w:spacing w:line="240" w:lineRule="auto"/>
        <w:rPr>
          <w:rFonts w:ascii="Calibri" w:eastAsia="Calibri" w:hAnsi="Calibri" w:cs="Calibri"/>
          <w:sz w:val="24"/>
          <w:szCs w:val="24"/>
        </w:rPr>
      </w:pPr>
      <w:r>
        <w:rPr>
          <w:rFonts w:ascii="Calibri" w:eastAsia="Calibri" w:hAnsi="Calibri" w:cs="Calibri"/>
          <w:sz w:val="24"/>
          <w:szCs w:val="24"/>
        </w:rPr>
        <w:t>Supplementary Figures</w:t>
      </w:r>
    </w:p>
    <w:p w14:paraId="5927CC55" w14:textId="77777777" w:rsidR="002B3D41" w:rsidRDefault="002B3D41" w:rsidP="002B3D41">
      <w:pPr>
        <w:keepNext/>
        <w:spacing w:line="240" w:lineRule="auto"/>
      </w:pPr>
      <w:r>
        <w:rPr>
          <w:rFonts w:ascii="Calibri" w:eastAsia="Calibri" w:hAnsi="Calibri" w:cs="Calibri"/>
          <w:noProof/>
          <w:sz w:val="24"/>
          <w:szCs w:val="24"/>
        </w:rPr>
        <w:drawing>
          <wp:inline distT="0" distB="0" distL="0" distR="0" wp14:anchorId="10766164" wp14:editId="731BA586">
            <wp:extent cx="5943600" cy="1485900"/>
            <wp:effectExtent l="0" t="0" r="0" b="0"/>
            <wp:docPr id="12023439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43988" name="Picture 1202343988"/>
                    <pic:cNvPicPr/>
                  </pic:nvPicPr>
                  <pic:blipFill>
                    <a:blip r:embed="rId7"/>
                    <a:stretch>
                      <a:fillRect/>
                    </a:stretch>
                  </pic:blipFill>
                  <pic:spPr>
                    <a:xfrm>
                      <a:off x="0" y="0"/>
                      <a:ext cx="5943600" cy="1485900"/>
                    </a:xfrm>
                    <a:prstGeom prst="rect">
                      <a:avLst/>
                    </a:prstGeom>
                  </pic:spPr>
                </pic:pic>
              </a:graphicData>
            </a:graphic>
          </wp:inline>
        </w:drawing>
      </w:r>
    </w:p>
    <w:p w14:paraId="2A72DA62" w14:textId="34A8BE07" w:rsidR="002B3D41" w:rsidRDefault="002B3D41" w:rsidP="002B3D41">
      <w:pPr>
        <w:pStyle w:val="Caption"/>
      </w:pPr>
      <w:r>
        <w:t xml:space="preserve">Supplementary Figure </w:t>
      </w:r>
      <w:r>
        <w:fldChar w:fldCharType="begin"/>
      </w:r>
      <w:r>
        <w:instrText xml:space="preserve"> SEQ Supplementary_Figure \* ARABIC </w:instrText>
      </w:r>
      <w:r>
        <w:fldChar w:fldCharType="separate"/>
      </w:r>
      <w:r>
        <w:rPr>
          <w:noProof/>
        </w:rPr>
        <w:t>1</w:t>
      </w:r>
      <w:r>
        <w:fldChar w:fldCharType="end"/>
      </w:r>
      <w:r w:rsidRPr="002B3D41">
        <w:t xml:space="preserve"> </w:t>
      </w:r>
      <w:r>
        <w:t>Characterisation of the early life anelloviruses at the genus level. A: Boxplot of the log10 transformed relative abundance of anelloviral genera (relative to the abundance of bacteriophages and adenoviruses as in Figure 1A), ordered by median relative abundance, if the median relative abundance is below 0 they are ordered by prevalence. The first column to the right represents the prevalence of the genus in the samples, and the second column represents the number of unique species of the genus. The box represents the 25th and 75th percentile, the middle line represents the median, and the upper and lower whiskers represent the 5th and 95th percentiles. The relative abundance for each genus of each child is illustrated by a point in the background of the boxplot. B: Spearman correlation plot of anelloviral genera. Blue colour represents a negative correlation and red colour represents positive correlation. The asterisks represent a significant (p-value &lt;0.05) correlation.</w:t>
      </w:r>
    </w:p>
    <w:p w14:paraId="696FE3D9" w14:textId="77777777" w:rsidR="002B3D41" w:rsidRDefault="002B3D41" w:rsidP="002B3D41">
      <w:pPr>
        <w:keepNext/>
      </w:pPr>
      <w:r>
        <w:rPr>
          <w:noProof/>
        </w:rPr>
        <w:lastRenderedPageBreak/>
        <w:drawing>
          <wp:inline distT="0" distB="0" distL="0" distR="0" wp14:anchorId="350073A0" wp14:editId="2628FEED">
            <wp:extent cx="5943600" cy="4457700"/>
            <wp:effectExtent l="0" t="0" r="0" b="0"/>
            <wp:docPr id="13088698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69835" name="Picture 1308869835"/>
                    <pic:cNvPicPr/>
                  </pic:nvPicPr>
                  <pic:blipFill>
                    <a:blip r:embed="rId8"/>
                    <a:stretch>
                      <a:fillRect/>
                    </a:stretch>
                  </pic:blipFill>
                  <pic:spPr>
                    <a:xfrm>
                      <a:off x="0" y="0"/>
                      <a:ext cx="5943600" cy="4457700"/>
                    </a:xfrm>
                    <a:prstGeom prst="rect">
                      <a:avLst/>
                    </a:prstGeom>
                  </pic:spPr>
                </pic:pic>
              </a:graphicData>
            </a:graphic>
          </wp:inline>
        </w:drawing>
      </w:r>
    </w:p>
    <w:p w14:paraId="4AE505A7" w14:textId="160B069B" w:rsidR="002B3D41" w:rsidRPr="002B3D41" w:rsidRDefault="002B3D41" w:rsidP="002B3D41">
      <w:pPr>
        <w:pStyle w:val="Caption"/>
      </w:pPr>
      <w:r>
        <w:t xml:space="preserve">Supplementary Figure </w:t>
      </w:r>
      <w:r>
        <w:fldChar w:fldCharType="begin"/>
      </w:r>
      <w:r>
        <w:instrText xml:space="preserve"> SEQ Supplementary_Figure \* ARABIC </w:instrText>
      </w:r>
      <w:r>
        <w:fldChar w:fldCharType="separate"/>
      </w:r>
      <w:r>
        <w:rPr>
          <w:noProof/>
        </w:rPr>
        <w:t>2</w:t>
      </w:r>
      <w:r>
        <w:fldChar w:fldCharType="end"/>
      </w:r>
      <w:r w:rsidRPr="002B3D41">
        <w:t xml:space="preserve"> </w:t>
      </w:r>
      <w:r>
        <w:t>Associations between the anellovirus composition and the bacteriophageome or bacteriome. Non-metric MultiDimensional Scaling plot of procrustes analyses, with permuted p-value and correlation-like statistic derived from the Procrustes sum of scares. Based on ordinations from either Bray-Curtis dissimilarity, or Jaccard or Aitchison distance. A: Comparing anellovirome and bacteriophageome. B: Comparing anellovirome and 16S bacteriome.</w:t>
      </w:r>
    </w:p>
    <w:p w14:paraId="21EA00DF" w14:textId="77777777" w:rsidR="002B3D41" w:rsidRDefault="002B3D41" w:rsidP="002B3D41">
      <w:pPr>
        <w:keepNext/>
        <w:spacing w:line="240" w:lineRule="auto"/>
      </w:pPr>
      <w:r>
        <w:rPr>
          <w:rFonts w:ascii="Calibri" w:eastAsia="Calibri" w:hAnsi="Calibri" w:cs="Calibri"/>
          <w:noProof/>
          <w:sz w:val="24"/>
          <w:szCs w:val="24"/>
        </w:rPr>
        <w:lastRenderedPageBreak/>
        <w:drawing>
          <wp:inline distT="0" distB="0" distL="0" distR="0" wp14:anchorId="69B956B6" wp14:editId="3BD05743">
            <wp:extent cx="5943600" cy="5943600"/>
            <wp:effectExtent l="0" t="0" r="0" b="0"/>
            <wp:docPr id="888514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1492" name="Picture 88851492"/>
                    <pic:cNvPicPr/>
                  </pic:nvPicPr>
                  <pic:blipFill>
                    <a:blip r:embed="rId9"/>
                    <a:stretch>
                      <a:fillRect/>
                    </a:stretch>
                  </pic:blipFill>
                  <pic:spPr>
                    <a:xfrm>
                      <a:off x="0" y="0"/>
                      <a:ext cx="5943600" cy="5943600"/>
                    </a:xfrm>
                    <a:prstGeom prst="rect">
                      <a:avLst/>
                    </a:prstGeom>
                  </pic:spPr>
                </pic:pic>
              </a:graphicData>
            </a:graphic>
          </wp:inline>
        </w:drawing>
      </w:r>
    </w:p>
    <w:p w14:paraId="20838FFC" w14:textId="0966E6D3" w:rsidR="002B3D41" w:rsidRPr="002B3D41" w:rsidRDefault="002B3D41" w:rsidP="002B3D41">
      <w:pPr>
        <w:pStyle w:val="Caption"/>
      </w:pPr>
      <w:r>
        <w:t xml:space="preserve">Supplementary Figure </w:t>
      </w:r>
      <w:r>
        <w:fldChar w:fldCharType="begin"/>
      </w:r>
      <w:r>
        <w:instrText xml:space="preserve"> SEQ Supplementary_Figure \* ARABIC </w:instrText>
      </w:r>
      <w:r>
        <w:fldChar w:fldCharType="separate"/>
      </w:r>
      <w:r>
        <w:rPr>
          <w:noProof/>
        </w:rPr>
        <w:t>3</w:t>
      </w:r>
      <w:r>
        <w:fldChar w:fldCharType="end"/>
      </w:r>
      <w:r w:rsidRPr="002B3D41">
        <w:t xml:space="preserve"> </w:t>
      </w:r>
      <w:r>
        <w:t>Associations between the gut anellovirus composition and the development of chronic childhood diseases. The principal coordinate analysis (PCoA) of the Aitchison and Jaccard distances, participants are illustrated as points and coloured by disease status. Ellipses illustrate the 90% confidence level. Percentages on the X and Y axis denotes the variance explained by the principal coordinate. R2 and P-value are from PERMANOVA. A: Any asthma diagnosis up until the age of six years. B: Any atopic dermatitis diagnosis up until the age of six years. C: Any allergic rhinitis diagnosis up until the age of six years.</w:t>
      </w:r>
    </w:p>
    <w:p w14:paraId="4708F9E9" w14:textId="77777777" w:rsidR="002B3D41" w:rsidRDefault="002B3D41" w:rsidP="002B3D41">
      <w:pPr>
        <w:keepNext/>
        <w:spacing w:line="240" w:lineRule="auto"/>
      </w:pPr>
      <w:r>
        <w:rPr>
          <w:rFonts w:ascii="Calibri" w:eastAsia="Calibri" w:hAnsi="Calibri" w:cs="Calibri"/>
          <w:noProof/>
          <w:sz w:val="24"/>
          <w:szCs w:val="24"/>
        </w:rPr>
        <w:lastRenderedPageBreak/>
        <w:drawing>
          <wp:inline distT="0" distB="0" distL="0" distR="0" wp14:anchorId="27B8AA74" wp14:editId="7F458036">
            <wp:extent cx="5943600" cy="2971800"/>
            <wp:effectExtent l="0" t="0" r="0" b="0"/>
            <wp:docPr id="6564982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98206" name="Picture 656498206"/>
                    <pic:cNvPicPr/>
                  </pic:nvPicPr>
                  <pic:blipFill>
                    <a:blip r:embed="rId10"/>
                    <a:stretch>
                      <a:fillRect/>
                    </a:stretch>
                  </pic:blipFill>
                  <pic:spPr>
                    <a:xfrm>
                      <a:off x="0" y="0"/>
                      <a:ext cx="5943600" cy="2971800"/>
                    </a:xfrm>
                    <a:prstGeom prst="rect">
                      <a:avLst/>
                    </a:prstGeom>
                  </pic:spPr>
                </pic:pic>
              </a:graphicData>
            </a:graphic>
          </wp:inline>
        </w:drawing>
      </w:r>
    </w:p>
    <w:p w14:paraId="0912E8D8" w14:textId="5B6ED0D1" w:rsidR="002B3D41" w:rsidRPr="002B3D41" w:rsidRDefault="002B3D41" w:rsidP="002B3D41">
      <w:pPr>
        <w:pStyle w:val="Caption"/>
      </w:pPr>
      <w:r>
        <w:t xml:space="preserve">Supplementary Figure </w:t>
      </w:r>
      <w:r>
        <w:fldChar w:fldCharType="begin"/>
      </w:r>
      <w:r>
        <w:instrText xml:space="preserve"> SEQ Supplementary_Figure \* ARABIC </w:instrText>
      </w:r>
      <w:r>
        <w:fldChar w:fldCharType="separate"/>
      </w:r>
      <w:r>
        <w:rPr>
          <w:noProof/>
        </w:rPr>
        <w:t>4</w:t>
      </w:r>
      <w:r>
        <w:fldChar w:fldCharType="end"/>
      </w:r>
      <w:r w:rsidRPr="002B3D41">
        <w:t xml:space="preserve"> </w:t>
      </w:r>
      <w:r>
        <w:t>Associations between the gut anelloviral abundances at the subgenus level and the development of chronic childhood diseases. Boxplots of the relative abundance of log10 transformed anelloviral subgenera (relative to the abundance of bacteriophages and adenoviruses as in Figure 1A). The box represents the 25th and 75th percentile, the middle line represents the median, and the upper and lower whiskers represent the 5th and 95th percentiles. The anelloviral subgenera are ordered according to median relative abundance as described in Figure 1E. P-values are from a generalised linear model adjusted for covariates. Split by disease status as denoted below.Sensitivity and specificity as calculated by indicator species analysis of anelloviral subgenera. The subgenera are ordered according to their specificity in cases. Split by disease status as denoted below. A: Any asthma diagnosis up until the age of six years. B: Any atopic dermatitis diagnosis up until the age of six years. C: Any allergic rhinitis diagnosis up until the age of six years.</w:t>
      </w:r>
    </w:p>
    <w:p w14:paraId="63EE70EA" w14:textId="77777777" w:rsidR="002B3D41" w:rsidRDefault="002B3D41" w:rsidP="002B3D41">
      <w:pPr>
        <w:keepNext/>
        <w:spacing w:line="240" w:lineRule="auto"/>
      </w:pPr>
      <w:r>
        <w:rPr>
          <w:rFonts w:ascii="Calibri" w:eastAsia="Calibri" w:hAnsi="Calibri" w:cs="Calibri"/>
          <w:noProof/>
          <w:sz w:val="24"/>
          <w:szCs w:val="24"/>
        </w:rPr>
        <w:lastRenderedPageBreak/>
        <w:drawing>
          <wp:inline distT="0" distB="0" distL="0" distR="0" wp14:anchorId="4FD21CF3" wp14:editId="15E973B1">
            <wp:extent cx="5943600" cy="4160520"/>
            <wp:effectExtent l="0" t="0" r="0" b="5080"/>
            <wp:docPr id="12237659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65998" name="Picture 1223765998"/>
                    <pic:cNvPicPr/>
                  </pic:nvPicPr>
                  <pic:blipFill>
                    <a:blip r:embed="rId11"/>
                    <a:stretch>
                      <a:fillRect/>
                    </a:stretch>
                  </pic:blipFill>
                  <pic:spPr>
                    <a:xfrm>
                      <a:off x="0" y="0"/>
                      <a:ext cx="5943600" cy="4160520"/>
                    </a:xfrm>
                    <a:prstGeom prst="rect">
                      <a:avLst/>
                    </a:prstGeom>
                  </pic:spPr>
                </pic:pic>
              </a:graphicData>
            </a:graphic>
          </wp:inline>
        </w:drawing>
      </w:r>
    </w:p>
    <w:p w14:paraId="56C67B23" w14:textId="1F853D02" w:rsidR="002B3D41" w:rsidRPr="002B3D41" w:rsidRDefault="002B3D41" w:rsidP="002B3D41">
      <w:pPr>
        <w:pStyle w:val="Caption"/>
      </w:pPr>
      <w:r>
        <w:t xml:space="preserve">Supplementary Figure </w:t>
      </w:r>
      <w:r>
        <w:fldChar w:fldCharType="begin"/>
      </w:r>
      <w:r>
        <w:instrText xml:space="preserve"> SEQ Supplementary_Figure \* ARABIC </w:instrText>
      </w:r>
      <w:r>
        <w:fldChar w:fldCharType="separate"/>
      </w:r>
      <w:r>
        <w:rPr>
          <w:noProof/>
        </w:rPr>
        <w:t>5</w:t>
      </w:r>
      <w:r>
        <w:fldChar w:fldCharType="end"/>
      </w:r>
      <w:r w:rsidRPr="002B3D41">
        <w:t xml:space="preserve"> </w:t>
      </w:r>
      <w:r>
        <w:t>Associations between the gut anelloviral abundances at the genus level and the development of chronic childhood diseases. Boxplots of the relative abundance of log10 transformed anelloviral genera (relative to the abundance of bacteriophages and adenoviruses as in Figure 1A). The box represents the 25th and 75th percentile, the middle line represents the median, and the upper and lower whiskers represent the 5th and 95th percentiles. P-values are from a generalised linear model adjusted for covariates. Split by disease status as denoted below. Sensitivity and specificity as calculated by indicator species analysis of anelloviral genera. Split by disease status as denoted below. A: Any asthma diagnosis up until the age of six years. B: Any atopic dermatitis diagnosis up until the age of six years. C: Any allergic rhinitis diagnosis up until the age of six years.</w:t>
      </w:r>
    </w:p>
    <w:p w14:paraId="736202FD" w14:textId="77777777" w:rsidR="002B3D41" w:rsidRDefault="002B3D41">
      <w:pPr>
        <w:spacing w:line="240" w:lineRule="auto"/>
        <w:rPr>
          <w:rFonts w:ascii="Calibri" w:eastAsia="Calibri" w:hAnsi="Calibri" w:cs="Calibri"/>
          <w:sz w:val="24"/>
          <w:szCs w:val="24"/>
        </w:rPr>
      </w:pPr>
    </w:p>
    <w:p w14:paraId="7732D460" w14:textId="3149B2ED" w:rsidR="00090ED5" w:rsidRDefault="00000000">
      <w:pPr>
        <w:spacing w:line="240" w:lineRule="auto"/>
        <w:rPr>
          <w:rFonts w:ascii="Calibri" w:eastAsia="Calibri" w:hAnsi="Calibri" w:cs="Calibri"/>
          <w:sz w:val="24"/>
          <w:szCs w:val="24"/>
        </w:rPr>
      </w:pPr>
      <w:r>
        <w:rPr>
          <w:rFonts w:ascii="Calibri" w:eastAsia="Calibri" w:hAnsi="Calibri" w:cs="Calibri"/>
          <w:sz w:val="24"/>
          <w:szCs w:val="24"/>
        </w:rPr>
        <w:t>Supplementary Tables</w:t>
      </w:r>
    </w:p>
    <w:p w14:paraId="740A5252" w14:textId="77777777" w:rsidR="00090ED5" w:rsidRDefault="00090ED5">
      <w:pPr>
        <w:spacing w:line="240" w:lineRule="auto"/>
        <w:rPr>
          <w:rFonts w:ascii="Calibri" w:eastAsia="Calibri" w:hAnsi="Calibri" w:cs="Calibri"/>
          <w:sz w:val="24"/>
          <w:szCs w:val="24"/>
        </w:rPr>
      </w:pPr>
    </w:p>
    <w:p w14:paraId="4B04FFC3" w14:textId="77777777" w:rsidR="00090ED5" w:rsidRDefault="00000000">
      <w:pPr>
        <w:spacing w:line="240" w:lineRule="auto"/>
        <w:rPr>
          <w:rFonts w:ascii="Calibri" w:eastAsia="Calibri" w:hAnsi="Calibri" w:cs="Calibri"/>
          <w:sz w:val="24"/>
          <w:szCs w:val="24"/>
        </w:rPr>
      </w:pPr>
      <w:r>
        <w:rPr>
          <w:rFonts w:ascii="Calibri" w:eastAsia="Calibri" w:hAnsi="Calibri" w:cs="Calibri"/>
          <w:sz w:val="24"/>
          <w:szCs w:val="24"/>
        </w:rPr>
        <w:t>Supplementary Table 1: Results of environmental variables using a generalised linear model adjusted for covariates on Faith’s PD and overall anelloviral abundance. Related to Figure 3A.</w:t>
      </w:r>
    </w:p>
    <w:p w14:paraId="19D4ABF1" w14:textId="77777777" w:rsidR="00090ED5" w:rsidRDefault="00000000">
      <w:pPr>
        <w:spacing w:line="240" w:lineRule="auto"/>
        <w:rPr>
          <w:rFonts w:ascii="Calibri" w:eastAsia="Calibri" w:hAnsi="Calibri" w:cs="Calibri"/>
          <w:sz w:val="24"/>
          <w:szCs w:val="24"/>
        </w:rPr>
      </w:pPr>
      <w:r>
        <w:rPr>
          <w:rFonts w:ascii="Calibri" w:eastAsia="Calibri" w:hAnsi="Calibri" w:cs="Calibri"/>
          <w:sz w:val="24"/>
          <w:szCs w:val="24"/>
        </w:rPr>
        <w:t>Supplementary Table 2: Results of environmental variables using a PERMANOVA adjusted for covariates on beta diversity metrics (Bray-Curtis dissimilarity, Jaccard distance, Aitchison distance). Related to Figure 3B.</w:t>
      </w:r>
    </w:p>
    <w:p w14:paraId="0ED4F6B3" w14:textId="77777777" w:rsidR="00090ED5" w:rsidRDefault="00000000">
      <w:pPr>
        <w:spacing w:line="240" w:lineRule="auto"/>
        <w:rPr>
          <w:rFonts w:ascii="Calibri" w:eastAsia="Calibri" w:hAnsi="Calibri" w:cs="Calibri"/>
          <w:sz w:val="24"/>
          <w:szCs w:val="24"/>
        </w:rPr>
      </w:pPr>
      <w:r>
        <w:rPr>
          <w:rFonts w:ascii="Calibri" w:eastAsia="Calibri" w:hAnsi="Calibri" w:cs="Calibri"/>
          <w:sz w:val="24"/>
          <w:szCs w:val="24"/>
        </w:rPr>
        <w:t>Supplementary Table 3: Results of binary environmental variables using a Wilcoxon rank sum test on relative abundance of anelloviral subgenera or genera. Related to Figure 3C.</w:t>
      </w:r>
    </w:p>
    <w:p w14:paraId="1B08E2B5" w14:textId="77777777" w:rsidR="00090ED5" w:rsidRDefault="00000000">
      <w:pPr>
        <w:spacing w:line="240" w:lineRule="auto"/>
        <w:rPr>
          <w:rFonts w:ascii="Calibri" w:eastAsia="Calibri" w:hAnsi="Calibri" w:cs="Calibri"/>
          <w:sz w:val="24"/>
          <w:szCs w:val="24"/>
        </w:rPr>
      </w:pPr>
      <w:r>
        <w:rPr>
          <w:rFonts w:ascii="Calibri" w:eastAsia="Calibri" w:hAnsi="Calibri" w:cs="Calibri"/>
          <w:sz w:val="24"/>
          <w:szCs w:val="24"/>
        </w:rPr>
        <w:t>Supplementary Table 4: Results of continuous environmental variables correlated with Spearman’s rank correlation on relative abundance of anelloviral subgenera or genera. Related to Figure 3C.</w:t>
      </w:r>
    </w:p>
    <w:p w14:paraId="3EEDFDA4" w14:textId="77777777" w:rsidR="00090ED5"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Supplementary Table 5: Results of chronic childhood disease outcomes (allergic rhinitis, atopic dermatitis, and asthma) using a generalised linear model adjusted for covariates on alpha </w:t>
      </w:r>
      <w:r>
        <w:rPr>
          <w:rFonts w:ascii="Calibri" w:eastAsia="Calibri" w:hAnsi="Calibri" w:cs="Calibri"/>
          <w:sz w:val="24"/>
          <w:szCs w:val="24"/>
        </w:rPr>
        <w:lastRenderedPageBreak/>
        <w:t xml:space="preserve">diversity metrics (Observed richness, Shannon index, Inverse Simpson index, Evenness, and Faith’s PD) and overall anelloviral abundance. Related to Figure 4. </w:t>
      </w:r>
    </w:p>
    <w:p w14:paraId="4B2845C8" w14:textId="77777777" w:rsidR="00090ED5"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Supplementary Table 6: Results of chronic childhood disease outcomes (allergic rhinitis, atopic dermatitis, and asthma) using a PERMANOVA adjusted for covariates on beta diversity metrics (Bray-Curtis dissimilarity, Jaccard distance, Aitchison distance, Unweighted UniFrac distance, Weighted UniFrac distance, Canberra distance, and Spearman distance). Related to Figure 4. </w:t>
      </w:r>
    </w:p>
    <w:p w14:paraId="6309F540" w14:textId="77777777" w:rsidR="00090ED5"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Supplementary Table 7: Results of chronic childhood disease outcomes (allergic rhinitis, atopic dermatitis, and asthma) using a generalised linear model adjusted for covariates on relative abundance of anelloviral species, subgenera, or genera. Related to Supplementary Figure 4 and 5. </w:t>
      </w:r>
    </w:p>
    <w:p w14:paraId="10129229" w14:textId="77777777" w:rsidR="00090ED5"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Supplementary Table 8: Results of chronic childhood disease outcomes (allergic rhinitis, atopic dermatitis, and asthma) using indicator species analysis on relative abundance of anelloviral species, subgenera, or genera. Related to Supplementary Figure 4 and 5. </w:t>
      </w:r>
    </w:p>
    <w:p w14:paraId="337DF6AD" w14:textId="3E010369" w:rsidR="00090ED5" w:rsidRDefault="00000000">
      <w:r>
        <w:rPr>
          <w:rFonts w:ascii="Calibri" w:eastAsia="Calibri" w:hAnsi="Calibri" w:cs="Calibri"/>
          <w:sz w:val="24"/>
          <w:szCs w:val="24"/>
        </w:rPr>
        <w:t xml:space="preserve">Supplementary Table 9: Results of chronic childhood disease outcomes (allergic rhinitis, atopic dermatitis, and asthma) and relative abundance of anelloviral species or subgenera using multivariate models (random forest and sPLS). Related to Methods section Statistical analyses. </w:t>
      </w:r>
    </w:p>
    <w:sectPr w:rsidR="00090ED5">
      <w:footerReference w:type="defaul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35F49" w14:textId="77777777" w:rsidR="00236E04" w:rsidRDefault="00236E04">
      <w:pPr>
        <w:spacing w:line="240" w:lineRule="auto"/>
      </w:pPr>
      <w:r>
        <w:separator/>
      </w:r>
    </w:p>
  </w:endnote>
  <w:endnote w:type="continuationSeparator" w:id="0">
    <w:p w14:paraId="650519C8" w14:textId="77777777" w:rsidR="00236E04" w:rsidRDefault="00236E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0FB3BF7A-4F6E-4DC3-ABD4-1C793F54D00F}"/>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6ECA52E1-D9B6-415D-B943-A00877677917}"/>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1279B319-3D08-4C3E-A89D-E777D70A30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11928" w14:textId="77777777" w:rsidR="00090ED5" w:rsidRDefault="00000000">
    <w:r>
      <w:fldChar w:fldCharType="begin"/>
    </w:r>
    <w:r>
      <w:instrText>PAGE</w:instrText>
    </w:r>
    <w:r>
      <w:fldChar w:fldCharType="separate"/>
    </w:r>
    <w:r w:rsidR="003D5A41">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76992" w14:textId="77777777" w:rsidR="00090ED5" w:rsidRDefault="00090E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B0C91" w14:textId="77777777" w:rsidR="00236E04" w:rsidRDefault="00236E04">
      <w:pPr>
        <w:spacing w:line="240" w:lineRule="auto"/>
      </w:pPr>
      <w:r>
        <w:separator/>
      </w:r>
    </w:p>
  </w:footnote>
  <w:footnote w:type="continuationSeparator" w:id="0">
    <w:p w14:paraId="14EE95E6" w14:textId="77777777" w:rsidR="00236E04" w:rsidRDefault="00236E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81F85"/>
    <w:multiLevelType w:val="multilevel"/>
    <w:tmpl w:val="ACF025D6"/>
    <w:lvl w:ilvl="0">
      <w:start w:val="3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401557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ED5"/>
    <w:rsid w:val="00090ED5"/>
    <w:rsid w:val="00236E04"/>
    <w:rsid w:val="002B3D41"/>
    <w:rsid w:val="002D50A2"/>
    <w:rsid w:val="003C4092"/>
    <w:rsid w:val="003D5A41"/>
    <w:rsid w:val="007E371F"/>
    <w:rsid w:val="00AC51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B5387"/>
  <w15:docId w15:val="{BCB6D311-A33C-464F-AA77-0826E3BF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Caption">
    <w:name w:val="caption"/>
    <w:basedOn w:val="Normal"/>
    <w:next w:val="Normal"/>
    <w:uiPriority w:val="35"/>
    <w:unhideWhenUsed/>
    <w:qFormat/>
    <w:rsid w:val="003D5A41"/>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993</Words>
  <Characters>5664</Characters>
  <Application>Microsoft Office Word</Application>
  <DocSecurity>0</DocSecurity>
  <Lines>47</Lines>
  <Paragraphs>13</Paragraphs>
  <ScaleCrop>false</ScaleCrop>
  <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Nilesh Nawale</dc:creator>
  <cp:lastModifiedBy>Nilesh Nawale</cp:lastModifiedBy>
  <cp:revision>2</cp:revision>
  <dcterms:created xsi:type="dcterms:W3CDTF">2024-07-02T03:35:00Z</dcterms:created>
  <dcterms:modified xsi:type="dcterms:W3CDTF">2024-07-02T03:35:00Z</dcterms:modified>
</cp:coreProperties>
</file>