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E60ECB" w14:textId="77777777" w:rsidR="00623C56" w:rsidRPr="00793AA8" w:rsidRDefault="00623C56" w:rsidP="00623C56">
      <w:pPr>
        <w:pStyle w:val="1"/>
        <w:spacing w:line="276" w:lineRule="auto"/>
        <w:jc w:val="left"/>
        <w:rPr>
          <w:sz w:val="24"/>
          <w:szCs w:val="24"/>
        </w:rPr>
      </w:pPr>
      <w:r w:rsidRPr="00793AA8">
        <w:rPr>
          <w:rFonts w:eastAsiaTheme="minorEastAsia"/>
          <w:sz w:val="24"/>
          <w:szCs w:val="24"/>
        </w:rPr>
        <w:t>Extended</w:t>
      </w:r>
      <w:r w:rsidRPr="00793AA8">
        <w:rPr>
          <w:sz w:val="24"/>
          <w:szCs w:val="24"/>
        </w:rPr>
        <w:t xml:space="preserve"> </w:t>
      </w:r>
      <w:r>
        <w:rPr>
          <w:rFonts w:eastAsiaTheme="minorEastAsia" w:hint="eastAsia"/>
          <w:sz w:val="24"/>
          <w:szCs w:val="24"/>
        </w:rPr>
        <w:t>f</w:t>
      </w:r>
      <w:r w:rsidRPr="00793AA8">
        <w:rPr>
          <w:sz w:val="24"/>
          <w:szCs w:val="24"/>
        </w:rPr>
        <w:t>igures</w:t>
      </w:r>
    </w:p>
    <w:p w14:paraId="39D27EE1" w14:textId="77777777" w:rsidR="00623C56" w:rsidRPr="00793AA8" w:rsidRDefault="00623C56" w:rsidP="00623C56">
      <w:pPr>
        <w:spacing w:line="276" w:lineRule="auto"/>
        <w:rPr>
          <w:rFonts w:ascii="Times New Roman" w:hAnsi="Times New Roman" w:cs="Times New Roman"/>
          <w:b/>
          <w:bCs/>
          <w:color w:val="000000" w:themeColor="text1"/>
          <w:lang w:bidi="ar"/>
        </w:rPr>
      </w:pPr>
      <w:r w:rsidRPr="00793AA8">
        <w:rPr>
          <w:rFonts w:ascii="Times New Roman" w:hAnsi="Times New Roman" w:cs="Times New Roman"/>
          <w:b/>
          <w:bCs/>
          <w:noProof/>
          <w:color w:val="000000" w:themeColor="text1"/>
          <w:lang w:bidi="ar"/>
        </w:rPr>
        <w:drawing>
          <wp:inline distT="0" distB="0" distL="0" distR="0" wp14:anchorId="565314BC" wp14:editId="4C4F5646">
            <wp:extent cx="5258373" cy="6680525"/>
            <wp:effectExtent l="0" t="0" r="0" b="6350"/>
            <wp:docPr id="8492747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74736" name="图片 4"/>
                    <pic:cNvPicPr>
                      <a:picLocks noChangeAspect="1"/>
                    </pic:cNvPicPr>
                  </pic:nvPicPr>
                  <pic:blipFill>
                    <a:blip r:embed="rId4"/>
                    <a:stretch>
                      <a:fillRect/>
                    </a:stretch>
                  </pic:blipFill>
                  <pic:spPr>
                    <a:xfrm>
                      <a:off x="0" y="0"/>
                      <a:ext cx="5258373" cy="6680525"/>
                    </a:xfrm>
                    <a:prstGeom prst="rect">
                      <a:avLst/>
                    </a:prstGeom>
                  </pic:spPr>
                </pic:pic>
              </a:graphicData>
            </a:graphic>
          </wp:inline>
        </w:drawing>
      </w:r>
    </w:p>
    <w:p w14:paraId="5B5A3E40" w14:textId="77777777" w:rsidR="00623C56" w:rsidRPr="00417BEE" w:rsidRDefault="00623C56" w:rsidP="00623C56">
      <w:pPr>
        <w:jc w:val="both"/>
        <w:rPr>
          <w:rFonts w:ascii="Times New Roman" w:hAnsi="Times New Roman" w:cs="Times New Roman"/>
          <w:color w:val="0070C0"/>
          <w:sz w:val="22"/>
          <w:szCs w:val="22"/>
          <w:lang w:bidi="ar"/>
        </w:rPr>
      </w:pPr>
      <w:r w:rsidRPr="00417BEE">
        <w:rPr>
          <w:rFonts w:ascii="Times New Roman" w:hAnsi="Times New Roman" w:cs="Times New Roman"/>
          <w:b/>
          <w:bCs/>
          <w:color w:val="0070C0"/>
          <w:sz w:val="22"/>
          <w:szCs w:val="22"/>
          <w:lang w:bidi="ar"/>
        </w:rPr>
        <w:t>Extended Data Fig. 1 | Whole genome alignments</w:t>
      </w:r>
      <w:r w:rsidRPr="00417BEE">
        <w:rPr>
          <w:rFonts w:ascii="Times New Roman" w:hAnsi="Times New Roman" w:cs="Times New Roman"/>
          <w:color w:val="0070C0"/>
          <w:sz w:val="22"/>
          <w:szCs w:val="22"/>
          <w:lang w:bidi="ar"/>
        </w:rPr>
        <w:t xml:space="preserve">. </w:t>
      </w:r>
      <w:r w:rsidRPr="00417BEE">
        <w:rPr>
          <w:rFonts w:ascii="Times New Roman" w:hAnsi="Times New Roman" w:cs="Times New Roman"/>
          <w:b/>
          <w:bCs/>
          <w:color w:val="0070C0"/>
          <w:sz w:val="22"/>
          <w:szCs w:val="22"/>
          <w:lang w:bidi="ar"/>
        </w:rPr>
        <w:t>a</w:t>
      </w:r>
      <w:r w:rsidRPr="00417BEE">
        <w:rPr>
          <w:rFonts w:ascii="Times New Roman" w:hAnsi="Times New Roman" w:cs="Times New Roman"/>
          <w:color w:val="0070C0"/>
          <w:sz w:val="22"/>
          <w:szCs w:val="22"/>
          <w:lang w:bidi="ar"/>
        </w:rPr>
        <w:t>, Alignment of Bio</w:t>
      </w:r>
      <w:r>
        <w:rPr>
          <w:rFonts w:ascii="Times New Roman" w:hAnsi="Times New Roman" w:cs="Times New Roman" w:hint="eastAsia"/>
          <w:color w:val="0070C0"/>
          <w:sz w:val="22"/>
          <w:szCs w:val="22"/>
          <w:lang w:bidi="ar"/>
        </w:rPr>
        <w:t>n</w:t>
      </w:r>
      <w:r w:rsidRPr="00417BEE">
        <w:rPr>
          <w:rFonts w:ascii="Times New Roman" w:hAnsi="Times New Roman" w:cs="Times New Roman"/>
          <w:color w:val="0070C0"/>
          <w:sz w:val="22"/>
          <w:szCs w:val="22"/>
          <w:lang w:bidi="ar"/>
        </w:rPr>
        <w:t xml:space="preserve">ano DLS optical maps against in silico maps of the final T2T assembly. The black lines and red triangles represent the gaps in HiFi assembly and HiFi &amp; ONT assembly, respectively. </w:t>
      </w:r>
      <w:r w:rsidRPr="00417BEE">
        <w:rPr>
          <w:rFonts w:ascii="Times New Roman" w:hAnsi="Times New Roman" w:cs="Times New Roman"/>
          <w:b/>
          <w:bCs/>
          <w:color w:val="0070C0"/>
          <w:sz w:val="22"/>
          <w:szCs w:val="22"/>
          <w:lang w:bidi="ar"/>
        </w:rPr>
        <w:t>b</w:t>
      </w:r>
      <w:r w:rsidRPr="00417BEE">
        <w:rPr>
          <w:rFonts w:ascii="Times New Roman" w:hAnsi="Times New Roman" w:cs="Times New Roman"/>
          <w:color w:val="0070C0"/>
          <w:sz w:val="22"/>
          <w:szCs w:val="22"/>
          <w:lang w:bidi="ar"/>
        </w:rPr>
        <w:t xml:space="preserve">, Alignment of two published HiFi assemblies of </w:t>
      </w:r>
      <w:r w:rsidRPr="00417BEE">
        <w:rPr>
          <w:rFonts w:ascii="Times New Roman" w:hAnsi="Times New Roman" w:cs="Times New Roman"/>
          <w:i/>
          <w:iCs/>
          <w:color w:val="0070C0"/>
          <w:sz w:val="22"/>
          <w:szCs w:val="22"/>
          <w:lang w:bidi="ar"/>
        </w:rPr>
        <w:t xml:space="preserve">N. benthamiana </w:t>
      </w:r>
      <w:r w:rsidRPr="00417BEE">
        <w:rPr>
          <w:rFonts w:ascii="Times New Roman" w:hAnsi="Times New Roman" w:cs="Times New Roman"/>
          <w:color w:val="0070C0"/>
          <w:sz w:val="22"/>
          <w:szCs w:val="22"/>
          <w:lang w:bidi="ar"/>
        </w:rPr>
        <w:t>with</w:t>
      </w:r>
      <w:r w:rsidRPr="00417BEE">
        <w:rPr>
          <w:rFonts w:ascii="Times New Roman" w:hAnsi="Times New Roman" w:cs="Times New Roman"/>
          <w:i/>
          <w:iCs/>
          <w:color w:val="0070C0"/>
          <w:sz w:val="22"/>
          <w:szCs w:val="22"/>
          <w:lang w:bidi="ar"/>
        </w:rPr>
        <w:t xml:space="preserve"> </w:t>
      </w:r>
      <w:r w:rsidRPr="00417BEE">
        <w:rPr>
          <w:rFonts w:ascii="Times New Roman" w:hAnsi="Times New Roman" w:cs="Times New Roman"/>
          <w:color w:val="0070C0"/>
          <w:sz w:val="22"/>
          <w:szCs w:val="22"/>
          <w:lang w:bidi="ar"/>
        </w:rPr>
        <w:t xml:space="preserve">our final T2T assembly. These HiFi assemblies were first anchored using RagTag guided by NB.T2T. The black lines represented the gap regions, while the red lines marked the “conserved” gaps in three HiFi (without ONT data) assemblies. </w:t>
      </w:r>
    </w:p>
    <w:p w14:paraId="30130627" w14:textId="77777777" w:rsidR="00623C56" w:rsidRPr="00793AA8" w:rsidRDefault="00623C56" w:rsidP="00623C56">
      <w:pPr>
        <w:spacing w:line="276" w:lineRule="auto"/>
        <w:rPr>
          <w:rFonts w:ascii="Times New Roman" w:hAnsi="Times New Roman" w:cs="Times New Roman"/>
          <w:color w:val="77206D" w:themeColor="accent5" w:themeShade="BF"/>
          <w:lang w:bidi="ar"/>
        </w:rPr>
      </w:pPr>
      <w:r w:rsidRPr="00793AA8">
        <w:rPr>
          <w:rFonts w:ascii="Times New Roman" w:hAnsi="Times New Roman" w:cs="Times New Roman"/>
          <w:color w:val="77206D" w:themeColor="accent5" w:themeShade="BF"/>
          <w:lang w:bidi="ar"/>
        </w:rPr>
        <w:br w:type="page"/>
      </w:r>
    </w:p>
    <w:p w14:paraId="64DFC508" w14:textId="77777777" w:rsidR="00623C56" w:rsidRPr="00793AA8" w:rsidRDefault="00623C56" w:rsidP="00623C56">
      <w:pPr>
        <w:spacing w:line="276" w:lineRule="auto"/>
        <w:rPr>
          <w:rFonts w:ascii="Times New Roman" w:hAnsi="Times New Roman" w:cs="Times New Roman"/>
          <w:color w:val="000000" w:themeColor="text1"/>
          <w:lang w:bidi="ar"/>
        </w:rPr>
      </w:pPr>
      <w:r w:rsidRPr="00793AA8">
        <w:rPr>
          <w:rFonts w:ascii="Times New Roman" w:hAnsi="Times New Roman" w:cs="Times New Roman"/>
          <w:noProof/>
          <w:color w:val="000000" w:themeColor="text1"/>
          <w:lang w:bidi="ar"/>
        </w:rPr>
        <w:lastRenderedPageBreak/>
        <w:drawing>
          <wp:inline distT="0" distB="0" distL="0" distR="0" wp14:anchorId="1AAD9D70" wp14:editId="117D9BA5">
            <wp:extent cx="5273675" cy="5705475"/>
            <wp:effectExtent l="0" t="0" r="3175" b="0"/>
            <wp:docPr id="11778022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802225" name="图片 8"/>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224" cy="5705475"/>
                    </a:xfrm>
                    <a:prstGeom prst="rect">
                      <a:avLst/>
                    </a:prstGeom>
                  </pic:spPr>
                </pic:pic>
              </a:graphicData>
            </a:graphic>
          </wp:inline>
        </w:drawing>
      </w:r>
    </w:p>
    <w:p w14:paraId="7796ACF4" w14:textId="77777777" w:rsidR="00623C56" w:rsidRPr="00417BEE" w:rsidRDefault="00623C56" w:rsidP="00623C56">
      <w:pPr>
        <w:jc w:val="both"/>
        <w:rPr>
          <w:rFonts w:ascii="Times New Roman" w:hAnsi="Times New Roman" w:cs="Times New Roman"/>
          <w:color w:val="77206D" w:themeColor="accent5" w:themeShade="BF"/>
          <w:sz w:val="22"/>
          <w:szCs w:val="22"/>
          <w:lang w:bidi="ar"/>
        </w:rPr>
      </w:pPr>
      <w:r w:rsidRPr="00417BEE">
        <w:rPr>
          <w:rFonts w:ascii="Times New Roman" w:hAnsi="Times New Roman" w:cs="Times New Roman"/>
          <w:b/>
          <w:bCs/>
          <w:color w:val="77206D" w:themeColor="accent5" w:themeShade="BF"/>
          <w:sz w:val="22"/>
          <w:szCs w:val="22"/>
          <w:lang w:bidi="ar"/>
        </w:rPr>
        <w:t xml:space="preserve">Extended Data Fig. 2 | Whole-genome coverage of HiFi reads across the NB.T2T assembly. </w:t>
      </w:r>
      <w:r w:rsidRPr="00417BEE">
        <w:rPr>
          <w:rFonts w:ascii="Times New Roman" w:hAnsi="Times New Roman" w:cs="Times New Roman"/>
          <w:color w:val="77206D" w:themeColor="accent5" w:themeShade="BF"/>
          <w:sz w:val="22"/>
          <w:szCs w:val="22"/>
          <w:lang w:bidi="ar"/>
        </w:rPr>
        <w:t xml:space="preserve">Local coverage-anomalous regions were </w:t>
      </w:r>
      <w:bookmarkStart w:id="0" w:name="_Hlk150375326"/>
      <w:r w:rsidRPr="00417BEE">
        <w:rPr>
          <w:rFonts w:ascii="Times New Roman" w:hAnsi="Times New Roman" w:cs="Times New Roman"/>
          <w:color w:val="77206D" w:themeColor="accent5" w:themeShade="BF"/>
          <w:sz w:val="22"/>
          <w:szCs w:val="22"/>
          <w:lang w:bidi="ar"/>
        </w:rPr>
        <w:t xml:space="preserve">shown </w:t>
      </w:r>
      <w:bookmarkEnd w:id="0"/>
      <w:r w:rsidRPr="00417BEE">
        <w:rPr>
          <w:rFonts w:ascii="Times New Roman" w:hAnsi="Times New Roman" w:cs="Times New Roman"/>
          <w:color w:val="77206D" w:themeColor="accent5" w:themeShade="BF"/>
          <w:sz w:val="22"/>
          <w:szCs w:val="22"/>
          <w:lang w:bidi="ar"/>
        </w:rPr>
        <w:t>in black lines. The regions of rDNA arrays, satellites, NUPTs and NUMTs were marked on the bottom track.</w:t>
      </w:r>
    </w:p>
    <w:p w14:paraId="6A75FFCE" w14:textId="77777777" w:rsidR="00623C56" w:rsidRPr="00793AA8" w:rsidRDefault="00623C56" w:rsidP="00623C56">
      <w:pPr>
        <w:spacing w:line="276" w:lineRule="auto"/>
        <w:rPr>
          <w:rFonts w:ascii="Times New Roman" w:hAnsi="Times New Roman" w:cs="Times New Roman"/>
          <w:color w:val="77206D" w:themeColor="accent5" w:themeShade="BF"/>
          <w:lang w:bidi="ar"/>
        </w:rPr>
      </w:pPr>
      <w:r w:rsidRPr="00793AA8">
        <w:rPr>
          <w:rFonts w:ascii="Times New Roman" w:hAnsi="Times New Roman" w:cs="Times New Roman"/>
          <w:color w:val="77206D" w:themeColor="accent5" w:themeShade="BF"/>
          <w:lang w:bidi="ar"/>
        </w:rPr>
        <w:br w:type="page"/>
      </w:r>
    </w:p>
    <w:p w14:paraId="4BE362B8" w14:textId="77777777" w:rsidR="00623C56" w:rsidRPr="00793AA8" w:rsidRDefault="00623C56" w:rsidP="00623C56">
      <w:pPr>
        <w:spacing w:line="276" w:lineRule="auto"/>
        <w:rPr>
          <w:rFonts w:ascii="Times New Roman" w:hAnsi="Times New Roman" w:cs="Times New Roman"/>
          <w:color w:val="77206D" w:themeColor="accent5" w:themeShade="BF"/>
          <w:lang w:bidi="ar"/>
        </w:rPr>
      </w:pPr>
      <w:r w:rsidRPr="00793AA8">
        <w:rPr>
          <w:rFonts w:ascii="Times New Roman" w:hAnsi="Times New Roman" w:cs="Times New Roman"/>
          <w:noProof/>
          <w:color w:val="77206D" w:themeColor="accent5" w:themeShade="BF"/>
          <w:lang w:bidi="ar"/>
        </w:rPr>
        <w:lastRenderedPageBreak/>
        <w:drawing>
          <wp:inline distT="0" distB="0" distL="0" distR="0" wp14:anchorId="1AC8C722" wp14:editId="238C340D">
            <wp:extent cx="5274310" cy="5045710"/>
            <wp:effectExtent l="0" t="0" r="2540" b="2540"/>
            <wp:docPr id="1967240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240740"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045710"/>
                    </a:xfrm>
                    <a:prstGeom prst="rect">
                      <a:avLst/>
                    </a:prstGeom>
                  </pic:spPr>
                </pic:pic>
              </a:graphicData>
            </a:graphic>
          </wp:inline>
        </w:drawing>
      </w:r>
    </w:p>
    <w:p w14:paraId="6D4F015C" w14:textId="77777777" w:rsidR="00623C56" w:rsidRPr="00417BEE" w:rsidRDefault="00623C56" w:rsidP="00623C56">
      <w:pPr>
        <w:jc w:val="both"/>
        <w:rPr>
          <w:rFonts w:ascii="Times New Roman" w:hAnsi="Times New Roman" w:cs="Times New Roman"/>
          <w:color w:val="0070C0"/>
          <w:sz w:val="22"/>
          <w:szCs w:val="22"/>
          <w:lang w:bidi="ar"/>
        </w:rPr>
      </w:pPr>
      <w:r w:rsidRPr="00417BEE">
        <w:rPr>
          <w:rFonts w:ascii="Times New Roman" w:hAnsi="Times New Roman" w:cs="Times New Roman"/>
          <w:b/>
          <w:bCs/>
          <w:color w:val="0070C0"/>
          <w:sz w:val="22"/>
          <w:szCs w:val="22"/>
          <w:lang w:bidi="ar"/>
        </w:rPr>
        <w:t>Extended Data Fig.3</w:t>
      </w:r>
      <w:r w:rsidRPr="00417BEE">
        <w:rPr>
          <w:rFonts w:ascii="Times New Roman" w:hAnsi="Times New Roman" w:cs="Times New Roman"/>
          <w:color w:val="0070C0"/>
          <w:sz w:val="22"/>
          <w:szCs w:val="22"/>
          <w:lang w:bidi="ar"/>
        </w:rPr>
        <w:t xml:space="preserve"> | </w:t>
      </w:r>
      <w:r w:rsidRPr="00417BEE">
        <w:rPr>
          <w:rFonts w:ascii="Times New Roman" w:hAnsi="Times New Roman" w:cs="Times New Roman"/>
          <w:b/>
          <w:bCs/>
          <w:color w:val="0070C0"/>
          <w:sz w:val="22"/>
          <w:szCs w:val="22"/>
          <w:lang w:bidi="ar"/>
        </w:rPr>
        <w:t xml:space="preserve">Genome structure of the telomeres and </w:t>
      </w:r>
      <w:bookmarkStart w:id="1" w:name="_Hlk150418669"/>
      <w:r w:rsidRPr="00417BEE">
        <w:rPr>
          <w:rFonts w:ascii="Times New Roman" w:hAnsi="Times New Roman" w:cs="Times New Roman"/>
          <w:b/>
          <w:bCs/>
          <w:color w:val="0070C0"/>
          <w:sz w:val="22"/>
          <w:szCs w:val="22"/>
          <w:lang w:bidi="ar"/>
        </w:rPr>
        <w:t>subtelomeres</w:t>
      </w:r>
      <w:bookmarkEnd w:id="1"/>
      <w:r w:rsidRPr="00417BEE">
        <w:rPr>
          <w:rFonts w:ascii="Times New Roman" w:hAnsi="Times New Roman" w:cs="Times New Roman"/>
          <w:color w:val="0070C0"/>
          <w:sz w:val="22"/>
          <w:szCs w:val="22"/>
          <w:lang w:bidi="ar"/>
        </w:rPr>
        <w:t xml:space="preserve">. </w:t>
      </w:r>
      <w:r w:rsidRPr="00417BEE">
        <w:rPr>
          <w:rFonts w:ascii="Times New Roman" w:hAnsi="Times New Roman" w:cs="Times New Roman"/>
          <w:b/>
          <w:bCs/>
          <w:color w:val="0070C0"/>
          <w:sz w:val="22"/>
          <w:szCs w:val="22"/>
          <w:lang w:bidi="ar"/>
        </w:rPr>
        <w:t>a</w:t>
      </w:r>
      <w:r w:rsidRPr="00417BEE">
        <w:rPr>
          <w:rFonts w:ascii="Times New Roman" w:hAnsi="Times New Roman" w:cs="Times New Roman"/>
          <w:color w:val="0070C0"/>
          <w:sz w:val="22"/>
          <w:szCs w:val="22"/>
          <w:lang w:bidi="ar"/>
        </w:rPr>
        <w:t xml:space="preserve">, A presentation of the subtelomeres comparison between two assemblies. The collinear regions were linked by gray lines. The assembly gaps in NB.PCP were marked by black lines. The following information exhibited the HiFi coverage, ONT coverage, 5mC level, gene number and TE distribution calculated in 20 kb bins. The heatmaps showed the pairwise sequence identity (%) between 5 kb bins of the subtelomeric regions in Chr01. The histogram showed the satellite repeat length across 38 subtelomeric regions. </w:t>
      </w:r>
      <w:r w:rsidRPr="00417BEE">
        <w:rPr>
          <w:rFonts w:ascii="Times New Roman" w:hAnsi="Times New Roman" w:cs="Times New Roman"/>
          <w:b/>
          <w:bCs/>
          <w:color w:val="0070C0"/>
          <w:sz w:val="22"/>
          <w:szCs w:val="22"/>
          <w:lang w:bidi="ar"/>
        </w:rPr>
        <w:t>b</w:t>
      </w:r>
      <w:r w:rsidRPr="00417BEE">
        <w:rPr>
          <w:rFonts w:ascii="Times New Roman" w:hAnsi="Times New Roman" w:cs="Times New Roman"/>
          <w:color w:val="0070C0"/>
          <w:sz w:val="22"/>
          <w:szCs w:val="22"/>
          <w:lang w:bidi="ar"/>
        </w:rPr>
        <w:t>, Comparison of the length of telomeres and subtelomeres for 19 chromosomes.</w:t>
      </w:r>
    </w:p>
    <w:p w14:paraId="0AF4226F" w14:textId="77777777" w:rsidR="00623C56" w:rsidRPr="00793AA8" w:rsidRDefault="00623C56" w:rsidP="00623C56">
      <w:pPr>
        <w:spacing w:line="276" w:lineRule="auto"/>
        <w:rPr>
          <w:rFonts w:ascii="Times New Roman" w:hAnsi="Times New Roman" w:cs="Times New Roman"/>
          <w:color w:val="77206D" w:themeColor="accent5" w:themeShade="BF"/>
          <w:lang w:bidi="ar"/>
        </w:rPr>
      </w:pPr>
    </w:p>
    <w:p w14:paraId="52D9A11D" w14:textId="77777777" w:rsidR="00623C56" w:rsidRPr="00793AA8" w:rsidRDefault="00623C56" w:rsidP="00623C56">
      <w:pPr>
        <w:spacing w:line="276" w:lineRule="auto"/>
        <w:rPr>
          <w:rFonts w:ascii="Times New Roman" w:hAnsi="Times New Roman" w:cs="Times New Roman"/>
          <w:b/>
          <w:bCs/>
          <w:color w:val="000000" w:themeColor="text1"/>
          <w:lang w:bidi="ar"/>
        </w:rPr>
      </w:pPr>
      <w:r w:rsidRPr="00793AA8">
        <w:rPr>
          <w:rFonts w:ascii="Times New Roman" w:hAnsi="Times New Roman" w:cs="Times New Roman"/>
          <w:b/>
          <w:bCs/>
          <w:noProof/>
          <w:color w:val="000000" w:themeColor="text1"/>
          <w:lang w:bidi="ar"/>
        </w:rPr>
        <w:lastRenderedPageBreak/>
        <w:drawing>
          <wp:inline distT="0" distB="0" distL="0" distR="0" wp14:anchorId="54B5A240" wp14:editId="571E4EAF">
            <wp:extent cx="5274310" cy="6525895"/>
            <wp:effectExtent l="0" t="0" r="2540" b="8255"/>
            <wp:docPr id="6574259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425939"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525895"/>
                    </a:xfrm>
                    <a:prstGeom prst="rect">
                      <a:avLst/>
                    </a:prstGeom>
                  </pic:spPr>
                </pic:pic>
              </a:graphicData>
            </a:graphic>
          </wp:inline>
        </w:drawing>
      </w:r>
    </w:p>
    <w:p w14:paraId="0206B67F" w14:textId="77777777" w:rsidR="00623C56" w:rsidRPr="00417BEE" w:rsidRDefault="00623C56" w:rsidP="00623C56">
      <w:pPr>
        <w:jc w:val="both"/>
        <w:rPr>
          <w:rFonts w:ascii="Times New Roman" w:hAnsi="Times New Roman" w:cs="Times New Roman"/>
          <w:color w:val="0070C0"/>
          <w:sz w:val="22"/>
          <w:szCs w:val="22"/>
          <w:lang w:bidi="ar"/>
        </w:rPr>
      </w:pPr>
      <w:r w:rsidRPr="00417BEE">
        <w:rPr>
          <w:rFonts w:ascii="Times New Roman" w:hAnsi="Times New Roman" w:cs="Times New Roman"/>
          <w:b/>
          <w:bCs/>
          <w:color w:val="0070C0"/>
          <w:sz w:val="22"/>
          <w:szCs w:val="22"/>
          <w:lang w:bidi="ar"/>
        </w:rPr>
        <w:t xml:space="preserve">Extended Data Fig. 4 | CENH3 enrichment, repeat distribution and StainedGlass heatmap of the 19 centromeres. </w:t>
      </w:r>
      <w:r w:rsidRPr="00417BEE">
        <w:rPr>
          <w:rFonts w:ascii="Times New Roman" w:hAnsi="Times New Roman" w:cs="Times New Roman"/>
          <w:color w:val="0070C0"/>
          <w:sz w:val="22"/>
          <w:szCs w:val="22"/>
          <w:lang w:bidi="ar"/>
        </w:rPr>
        <w:t>The CENH3 panels show the log2(ChIP/control ratio) calculated in 20 kb bins in 4 Mb or 9 Mb windows for centromere lower than or higher than 3Mb, respectively. The heatmaps show the pairwise sequence identity (%) between 5 kb sequences.</w:t>
      </w:r>
    </w:p>
    <w:p w14:paraId="5693DB43" w14:textId="77777777" w:rsidR="00623C56" w:rsidRPr="00793AA8" w:rsidRDefault="00623C56" w:rsidP="00623C56">
      <w:pPr>
        <w:jc w:val="both"/>
        <w:rPr>
          <w:rFonts w:ascii="Times New Roman" w:hAnsi="Times New Roman" w:cs="Times New Roman"/>
          <w:color w:val="0070C0"/>
          <w:lang w:bidi="ar"/>
        </w:rPr>
      </w:pPr>
      <w:r w:rsidRPr="00793AA8">
        <w:rPr>
          <w:rFonts w:ascii="Times New Roman" w:hAnsi="Times New Roman" w:cs="Times New Roman"/>
          <w:color w:val="0070C0"/>
          <w:lang w:bidi="ar"/>
        </w:rPr>
        <w:br w:type="page"/>
      </w:r>
    </w:p>
    <w:p w14:paraId="014F6ADE" w14:textId="77777777" w:rsidR="00623C56" w:rsidRPr="00793AA8" w:rsidRDefault="00623C56" w:rsidP="00623C56">
      <w:pPr>
        <w:spacing w:line="276" w:lineRule="auto"/>
        <w:rPr>
          <w:rFonts w:ascii="Times New Roman" w:hAnsi="Times New Roman" w:cs="Times New Roman"/>
          <w:color w:val="77206D" w:themeColor="accent5" w:themeShade="BF"/>
          <w:lang w:bidi="ar"/>
        </w:rPr>
      </w:pPr>
      <w:r w:rsidRPr="00793AA8">
        <w:rPr>
          <w:rFonts w:ascii="Times New Roman" w:hAnsi="Times New Roman" w:cs="Times New Roman"/>
          <w:noProof/>
          <w:color w:val="77206D" w:themeColor="accent5" w:themeShade="BF"/>
          <w:lang w:bidi="ar"/>
        </w:rPr>
        <w:lastRenderedPageBreak/>
        <w:drawing>
          <wp:inline distT="0" distB="0" distL="0" distR="0" wp14:anchorId="40BD7CD2" wp14:editId="406A57AF">
            <wp:extent cx="5274310" cy="6555105"/>
            <wp:effectExtent l="0" t="0" r="2540" b="0"/>
            <wp:docPr id="10168536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853640"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6555105"/>
                    </a:xfrm>
                    <a:prstGeom prst="rect">
                      <a:avLst/>
                    </a:prstGeom>
                  </pic:spPr>
                </pic:pic>
              </a:graphicData>
            </a:graphic>
          </wp:inline>
        </w:drawing>
      </w:r>
    </w:p>
    <w:p w14:paraId="5EC382BD" w14:textId="77777777" w:rsidR="00623C56" w:rsidRPr="00417BEE" w:rsidRDefault="00623C56" w:rsidP="00623C56">
      <w:pPr>
        <w:jc w:val="both"/>
        <w:rPr>
          <w:rFonts w:ascii="Times New Roman" w:hAnsi="Times New Roman" w:cs="Times New Roman"/>
          <w:color w:val="77206D" w:themeColor="accent5" w:themeShade="BF"/>
          <w:sz w:val="22"/>
          <w:szCs w:val="22"/>
          <w:lang w:bidi="ar"/>
        </w:rPr>
      </w:pPr>
      <w:r w:rsidRPr="00417BEE">
        <w:rPr>
          <w:rFonts w:ascii="Times New Roman" w:hAnsi="Times New Roman" w:cs="Times New Roman"/>
          <w:b/>
          <w:bCs/>
          <w:color w:val="77206D" w:themeColor="accent5" w:themeShade="BF"/>
          <w:sz w:val="22"/>
          <w:szCs w:val="22"/>
          <w:lang w:bidi="ar"/>
        </w:rPr>
        <w:t xml:space="preserve">Extended Data Fig. 5 | Genetic and epigentic landscape of NUMTs-type and satellite-type centromeres. </w:t>
      </w:r>
      <w:r>
        <w:rPr>
          <w:rFonts w:ascii="Times New Roman" w:hAnsi="Times New Roman" w:cs="Times New Roman" w:hint="eastAsia"/>
          <w:b/>
          <w:bCs/>
          <w:color w:val="77206D" w:themeColor="accent5" w:themeShade="BF"/>
          <w:sz w:val="22"/>
          <w:szCs w:val="22"/>
          <w:lang w:bidi="ar"/>
        </w:rPr>
        <w:t>a</w:t>
      </w:r>
      <w:r w:rsidRPr="007B70D5">
        <w:rPr>
          <w:rFonts w:ascii="Times New Roman" w:hAnsi="Times New Roman" w:cs="Times New Roman" w:hint="eastAsia"/>
          <w:color w:val="77206D" w:themeColor="accent5" w:themeShade="BF"/>
          <w:sz w:val="22"/>
          <w:szCs w:val="22"/>
          <w:lang w:bidi="ar"/>
        </w:rPr>
        <w:t>,</w:t>
      </w:r>
      <w:r>
        <w:rPr>
          <w:rFonts w:ascii="Times New Roman" w:hAnsi="Times New Roman" w:cs="Times New Roman" w:hint="eastAsia"/>
          <w:b/>
          <w:bCs/>
          <w:color w:val="77206D" w:themeColor="accent5" w:themeShade="BF"/>
          <w:sz w:val="22"/>
          <w:szCs w:val="22"/>
          <w:lang w:bidi="ar"/>
        </w:rPr>
        <w:t>b</w:t>
      </w:r>
      <w:r w:rsidRPr="007B70D5">
        <w:rPr>
          <w:rFonts w:ascii="Times New Roman" w:hAnsi="Times New Roman" w:cs="Times New Roman" w:hint="eastAsia"/>
          <w:color w:val="77206D" w:themeColor="accent5" w:themeShade="BF"/>
          <w:sz w:val="22"/>
          <w:szCs w:val="22"/>
          <w:lang w:bidi="ar"/>
        </w:rPr>
        <w:t xml:space="preserve">, </w:t>
      </w:r>
      <w:r w:rsidRPr="00417BEE">
        <w:rPr>
          <w:rFonts w:ascii="Times New Roman" w:hAnsi="Times New Roman" w:cs="Times New Roman"/>
          <w:color w:val="77206D" w:themeColor="accent5" w:themeShade="BF"/>
          <w:sz w:val="22"/>
          <w:szCs w:val="22"/>
          <w:lang w:bidi="ar"/>
        </w:rPr>
        <w:t>Schematic representation showing the CENH3 enrichment level, GC content, and distribution of different repeats in 30 kb bins across Chr02: 15.00-17.58 Mb (</w:t>
      </w:r>
      <w:r w:rsidRPr="00417BEE">
        <w:rPr>
          <w:rFonts w:ascii="Times New Roman" w:hAnsi="Times New Roman" w:cs="Times New Roman"/>
          <w:b/>
          <w:bCs/>
          <w:color w:val="77206D" w:themeColor="accent5" w:themeShade="BF"/>
          <w:sz w:val="22"/>
          <w:szCs w:val="22"/>
          <w:lang w:bidi="ar"/>
        </w:rPr>
        <w:t>a</w:t>
      </w:r>
      <w:r w:rsidRPr="00417BEE">
        <w:rPr>
          <w:rFonts w:ascii="Times New Roman" w:hAnsi="Times New Roman" w:cs="Times New Roman"/>
          <w:color w:val="77206D" w:themeColor="accent5" w:themeShade="BF"/>
          <w:sz w:val="22"/>
          <w:szCs w:val="22"/>
          <w:lang w:bidi="ar"/>
        </w:rPr>
        <w:t>) and Chr08: 118.74-123.12 Mb (</w:t>
      </w:r>
      <w:r w:rsidRPr="00417BEE">
        <w:rPr>
          <w:rFonts w:ascii="Times New Roman" w:hAnsi="Times New Roman" w:cs="Times New Roman"/>
          <w:b/>
          <w:bCs/>
          <w:color w:val="77206D" w:themeColor="accent5" w:themeShade="BF"/>
          <w:sz w:val="22"/>
          <w:szCs w:val="22"/>
          <w:lang w:bidi="ar"/>
        </w:rPr>
        <w:t>b</w:t>
      </w:r>
      <w:r w:rsidRPr="00417BEE">
        <w:rPr>
          <w:rFonts w:ascii="Times New Roman" w:hAnsi="Times New Roman" w:cs="Times New Roman"/>
          <w:color w:val="77206D" w:themeColor="accent5" w:themeShade="BF"/>
          <w:sz w:val="22"/>
          <w:szCs w:val="22"/>
          <w:lang w:bidi="ar"/>
        </w:rPr>
        <w:t>). The bottom showing a conserved CEN02-spaning synteny block, and a StainedGlass sequence identity heatmap of CEN08.</w:t>
      </w:r>
    </w:p>
    <w:p w14:paraId="0D7B806E" w14:textId="77777777" w:rsidR="00623C56" w:rsidRPr="00793AA8" w:rsidRDefault="00623C56" w:rsidP="00623C56">
      <w:pPr>
        <w:spacing w:line="276" w:lineRule="auto"/>
        <w:rPr>
          <w:rFonts w:ascii="Times New Roman" w:hAnsi="Times New Roman" w:cs="Times New Roman"/>
          <w:color w:val="77206D" w:themeColor="accent5" w:themeShade="BF"/>
          <w:lang w:bidi="ar"/>
        </w:rPr>
      </w:pPr>
      <w:r w:rsidRPr="00793AA8">
        <w:rPr>
          <w:rFonts w:ascii="Times New Roman" w:hAnsi="Times New Roman" w:cs="Times New Roman"/>
          <w:color w:val="77206D" w:themeColor="accent5" w:themeShade="BF"/>
          <w:lang w:bidi="ar"/>
        </w:rPr>
        <w:br w:type="page"/>
      </w:r>
    </w:p>
    <w:p w14:paraId="55FAACE3" w14:textId="77777777" w:rsidR="00623C56" w:rsidRPr="00793AA8" w:rsidRDefault="00623C56" w:rsidP="00623C56">
      <w:pPr>
        <w:spacing w:line="276" w:lineRule="auto"/>
        <w:rPr>
          <w:rFonts w:ascii="Times New Roman" w:hAnsi="Times New Roman" w:cs="Times New Roman"/>
          <w:b/>
          <w:bCs/>
          <w:color w:val="000000" w:themeColor="text1"/>
          <w:lang w:bidi="ar"/>
        </w:rPr>
      </w:pPr>
      <w:r w:rsidRPr="00793AA8">
        <w:rPr>
          <w:rFonts w:ascii="Times New Roman" w:hAnsi="Times New Roman" w:cs="Times New Roman"/>
          <w:b/>
          <w:bCs/>
          <w:noProof/>
          <w:color w:val="000000" w:themeColor="text1"/>
          <w:lang w:bidi="ar"/>
        </w:rPr>
        <w:lastRenderedPageBreak/>
        <w:drawing>
          <wp:inline distT="0" distB="0" distL="0" distR="0" wp14:anchorId="4AB2B4C8" wp14:editId="44CE3F30">
            <wp:extent cx="5274310" cy="6938010"/>
            <wp:effectExtent l="0" t="0" r="2540" b="0"/>
            <wp:docPr id="16733151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315196" name="图片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6938010"/>
                    </a:xfrm>
                    <a:prstGeom prst="rect">
                      <a:avLst/>
                    </a:prstGeom>
                  </pic:spPr>
                </pic:pic>
              </a:graphicData>
            </a:graphic>
          </wp:inline>
        </w:drawing>
      </w:r>
    </w:p>
    <w:p w14:paraId="0CC771C3" w14:textId="77777777" w:rsidR="00623C56" w:rsidRPr="00417BEE" w:rsidRDefault="00623C56" w:rsidP="00623C56">
      <w:pPr>
        <w:jc w:val="both"/>
        <w:rPr>
          <w:rFonts w:ascii="Times New Roman" w:hAnsi="Times New Roman" w:cs="Times New Roman"/>
          <w:color w:val="77206D" w:themeColor="accent5" w:themeShade="BF"/>
          <w:sz w:val="22"/>
          <w:szCs w:val="22"/>
          <w:lang w:bidi="ar"/>
        </w:rPr>
      </w:pPr>
      <w:r w:rsidRPr="00417BEE">
        <w:rPr>
          <w:rFonts w:ascii="Times New Roman" w:hAnsi="Times New Roman" w:cs="Times New Roman"/>
          <w:b/>
          <w:bCs/>
          <w:color w:val="77206D" w:themeColor="accent5" w:themeShade="BF"/>
          <w:sz w:val="22"/>
          <w:szCs w:val="22"/>
          <w:lang w:bidi="ar"/>
        </w:rPr>
        <w:t xml:space="preserve">Extended Data Fig. 6 | </w:t>
      </w:r>
      <w:bookmarkStart w:id="2" w:name="_Hlk151127199"/>
      <w:r w:rsidRPr="00417BEE">
        <w:rPr>
          <w:rFonts w:ascii="Times New Roman" w:hAnsi="Times New Roman" w:cs="Times New Roman"/>
          <w:b/>
          <w:bCs/>
          <w:color w:val="77206D" w:themeColor="accent5" w:themeShade="BF"/>
          <w:sz w:val="22"/>
          <w:szCs w:val="22"/>
          <w:lang w:bidi="ar"/>
        </w:rPr>
        <w:t xml:space="preserve">Identification of </w:t>
      </w:r>
      <w:r>
        <w:rPr>
          <w:rFonts w:ascii="Times New Roman" w:hAnsi="Times New Roman" w:cs="Times New Roman" w:hint="eastAsia"/>
          <w:b/>
          <w:bCs/>
          <w:color w:val="77206D" w:themeColor="accent5" w:themeShade="BF"/>
          <w:sz w:val="22"/>
          <w:szCs w:val="22"/>
          <w:lang w:bidi="ar"/>
        </w:rPr>
        <w:t xml:space="preserve">centromeric </w:t>
      </w:r>
      <w:r w:rsidRPr="00417BEE">
        <w:rPr>
          <w:rFonts w:ascii="Times New Roman" w:hAnsi="Times New Roman" w:cs="Times New Roman"/>
          <w:b/>
          <w:bCs/>
          <w:color w:val="77206D" w:themeColor="accent5" w:themeShade="BF"/>
          <w:sz w:val="22"/>
          <w:szCs w:val="22"/>
          <w:lang w:bidi="ar"/>
        </w:rPr>
        <w:t>satellite repeats</w:t>
      </w:r>
      <w:r>
        <w:rPr>
          <w:rFonts w:ascii="Times New Roman" w:hAnsi="Times New Roman" w:cs="Times New Roman" w:hint="eastAsia"/>
          <w:b/>
          <w:bCs/>
          <w:color w:val="77206D" w:themeColor="accent5" w:themeShade="BF"/>
          <w:sz w:val="22"/>
          <w:szCs w:val="22"/>
          <w:lang w:bidi="ar"/>
        </w:rPr>
        <w:t xml:space="preserve"> </w:t>
      </w:r>
      <w:r w:rsidRPr="00417BEE">
        <w:rPr>
          <w:rFonts w:ascii="Times New Roman" w:hAnsi="Times New Roman" w:cs="Times New Roman"/>
          <w:b/>
          <w:bCs/>
          <w:color w:val="77206D" w:themeColor="accent5" w:themeShade="BF"/>
          <w:sz w:val="22"/>
          <w:szCs w:val="22"/>
          <w:lang w:bidi="ar"/>
        </w:rPr>
        <w:t>and CENH3</w:t>
      </w:r>
      <w:r w:rsidRPr="00417BEE">
        <w:rPr>
          <w:rFonts w:ascii="Times New Roman" w:hAnsi="Times New Roman" w:cs="Times New Roman"/>
          <w:sz w:val="22"/>
          <w:szCs w:val="22"/>
        </w:rPr>
        <w:t xml:space="preserve"> </w:t>
      </w:r>
      <w:r w:rsidRPr="00417BEE">
        <w:rPr>
          <w:rFonts w:ascii="Times New Roman" w:hAnsi="Times New Roman" w:cs="Times New Roman"/>
          <w:b/>
          <w:bCs/>
          <w:color w:val="77206D" w:themeColor="accent5" w:themeShade="BF"/>
          <w:sz w:val="22"/>
          <w:szCs w:val="22"/>
          <w:lang w:bidi="ar"/>
        </w:rPr>
        <w:t>binding regions. a</w:t>
      </w:r>
      <w:r w:rsidRPr="00417BEE">
        <w:rPr>
          <w:rFonts w:ascii="Times New Roman" w:hAnsi="Times New Roman" w:cs="Times New Roman"/>
          <w:color w:val="77206D" w:themeColor="accent5" w:themeShade="BF"/>
          <w:sz w:val="22"/>
          <w:szCs w:val="22"/>
          <w:lang w:bidi="ar"/>
        </w:rPr>
        <w:t xml:space="preserve">, Circos plot showed the distribution of different satellite family. </w:t>
      </w:r>
      <w:r w:rsidRPr="00417BEE">
        <w:rPr>
          <w:rFonts w:ascii="Times New Roman" w:hAnsi="Times New Roman" w:cs="Times New Roman"/>
          <w:b/>
          <w:bCs/>
          <w:color w:val="77206D" w:themeColor="accent5" w:themeShade="BF"/>
          <w:sz w:val="22"/>
          <w:szCs w:val="22"/>
          <w:lang w:bidi="ar"/>
        </w:rPr>
        <w:t>b</w:t>
      </w:r>
      <w:r w:rsidRPr="00417BEE">
        <w:rPr>
          <w:rFonts w:ascii="Times New Roman" w:hAnsi="Times New Roman" w:cs="Times New Roman"/>
          <w:color w:val="77206D" w:themeColor="accent5" w:themeShade="BF"/>
          <w:sz w:val="22"/>
          <w:szCs w:val="22"/>
          <w:lang w:bidi="ar"/>
        </w:rPr>
        <w:t xml:space="preserve">, Maximum likelihood phylogenetic tree of intact Gypsy elements, colored according to seven subfamilies. Asterisks at the branch indicate within the centromeres. </w:t>
      </w:r>
      <w:r w:rsidRPr="00417BEE">
        <w:rPr>
          <w:rFonts w:ascii="Times New Roman" w:hAnsi="Times New Roman" w:cs="Times New Roman"/>
          <w:b/>
          <w:bCs/>
          <w:color w:val="77206D" w:themeColor="accent5" w:themeShade="BF"/>
          <w:sz w:val="22"/>
          <w:szCs w:val="22"/>
          <w:lang w:bidi="ar"/>
        </w:rPr>
        <w:t>c</w:t>
      </w:r>
      <w:r w:rsidRPr="00417BEE">
        <w:rPr>
          <w:rFonts w:ascii="Times New Roman" w:hAnsi="Times New Roman" w:cs="Times New Roman"/>
          <w:color w:val="77206D" w:themeColor="accent5" w:themeShade="BF"/>
          <w:sz w:val="22"/>
          <w:szCs w:val="22"/>
          <w:lang w:bidi="ar"/>
        </w:rPr>
        <w:t>, The distribution frequency of CENH3 enrichment level in no-overlapping 10-kb bins of the 19 centromeres.</w:t>
      </w:r>
      <w:bookmarkEnd w:id="2"/>
      <w:r w:rsidRPr="00417BEE">
        <w:rPr>
          <w:rFonts w:ascii="Times New Roman" w:hAnsi="Times New Roman" w:cs="Times New Roman"/>
          <w:color w:val="77206D" w:themeColor="accent5" w:themeShade="BF"/>
          <w:sz w:val="22"/>
          <w:szCs w:val="22"/>
          <w:lang w:bidi="ar"/>
        </w:rPr>
        <w:t xml:space="preserve"> The CENH3 enrichment level was expressed by log2(CENH3/control). </w:t>
      </w:r>
      <w:r w:rsidRPr="00417BEE">
        <w:rPr>
          <w:rFonts w:ascii="Times New Roman" w:hAnsi="Times New Roman" w:cs="Times New Roman"/>
          <w:b/>
          <w:bCs/>
          <w:color w:val="77206D" w:themeColor="accent5" w:themeShade="BF"/>
          <w:sz w:val="22"/>
          <w:szCs w:val="22"/>
          <w:lang w:bidi="ar"/>
        </w:rPr>
        <w:t>d</w:t>
      </w:r>
      <w:r w:rsidRPr="00417BEE">
        <w:rPr>
          <w:rFonts w:ascii="Times New Roman" w:hAnsi="Times New Roman" w:cs="Times New Roman"/>
          <w:color w:val="77206D" w:themeColor="accent5" w:themeShade="BF"/>
          <w:sz w:val="22"/>
          <w:szCs w:val="22"/>
          <w:lang w:bidi="ar"/>
        </w:rPr>
        <w:t>, Metaprofiles of CENH3, H3K9me2, and H3K4me3 ChIP-seq signals around centromeric satellites and retrotransposons, and CENH3 domains.</w:t>
      </w:r>
    </w:p>
    <w:p w14:paraId="5A63EB87" w14:textId="77777777" w:rsidR="00623C56" w:rsidRPr="00793AA8" w:rsidRDefault="00623C56" w:rsidP="00623C56">
      <w:pPr>
        <w:spacing w:line="276" w:lineRule="auto"/>
        <w:rPr>
          <w:rFonts w:ascii="Times New Roman" w:hAnsi="Times New Roman" w:cs="Times New Roman"/>
          <w:b/>
          <w:bCs/>
          <w:color w:val="77206D" w:themeColor="accent5" w:themeShade="BF"/>
          <w:lang w:bidi="ar"/>
        </w:rPr>
      </w:pPr>
      <w:r w:rsidRPr="00793AA8">
        <w:rPr>
          <w:rFonts w:ascii="Times New Roman" w:hAnsi="Times New Roman" w:cs="Times New Roman"/>
          <w:b/>
          <w:bCs/>
          <w:noProof/>
          <w:color w:val="77206D" w:themeColor="accent5" w:themeShade="BF"/>
          <w:lang w:bidi="ar"/>
        </w:rPr>
        <w:lastRenderedPageBreak/>
        <w:drawing>
          <wp:inline distT="0" distB="0" distL="0" distR="0" wp14:anchorId="375AE8CF" wp14:editId="35A214E8">
            <wp:extent cx="5274310" cy="5800725"/>
            <wp:effectExtent l="0" t="0" r="2540" b="9525"/>
            <wp:docPr id="21474682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68245"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800725"/>
                    </a:xfrm>
                    <a:prstGeom prst="rect">
                      <a:avLst/>
                    </a:prstGeom>
                  </pic:spPr>
                </pic:pic>
              </a:graphicData>
            </a:graphic>
          </wp:inline>
        </w:drawing>
      </w:r>
    </w:p>
    <w:p w14:paraId="464F81E5" w14:textId="77777777" w:rsidR="00623C56" w:rsidRPr="00417BEE" w:rsidRDefault="00623C56" w:rsidP="00623C56">
      <w:pPr>
        <w:jc w:val="both"/>
        <w:rPr>
          <w:rFonts w:ascii="Times New Roman" w:hAnsi="Times New Roman" w:cs="Times New Roman"/>
          <w:color w:val="77206D" w:themeColor="accent5" w:themeShade="BF"/>
          <w:sz w:val="22"/>
          <w:szCs w:val="22"/>
          <w:lang w:bidi="ar"/>
        </w:rPr>
      </w:pPr>
      <w:r w:rsidRPr="00417BEE">
        <w:rPr>
          <w:rFonts w:ascii="Times New Roman" w:hAnsi="Times New Roman" w:cs="Times New Roman"/>
          <w:b/>
          <w:bCs/>
          <w:color w:val="77206D" w:themeColor="accent5" w:themeShade="BF"/>
          <w:sz w:val="22"/>
          <w:szCs w:val="22"/>
          <w:lang w:bidi="ar"/>
        </w:rPr>
        <w:t xml:space="preserve">Extended Data Fig. 7 | Satellites drive the formation of neocentromere (CEN10) in </w:t>
      </w:r>
      <w:r w:rsidRPr="00417BEE">
        <w:rPr>
          <w:rFonts w:ascii="Times New Roman" w:hAnsi="Times New Roman" w:cs="Times New Roman"/>
          <w:b/>
          <w:bCs/>
          <w:i/>
          <w:iCs/>
          <w:color w:val="77206D" w:themeColor="accent5" w:themeShade="BF"/>
          <w:sz w:val="22"/>
          <w:szCs w:val="22"/>
          <w:lang w:bidi="ar"/>
        </w:rPr>
        <w:t>N. benthamiana</w:t>
      </w:r>
      <w:r w:rsidRPr="00417BEE">
        <w:rPr>
          <w:rFonts w:ascii="Times New Roman" w:hAnsi="Times New Roman" w:cs="Times New Roman"/>
          <w:b/>
          <w:bCs/>
          <w:color w:val="77206D" w:themeColor="accent5" w:themeShade="BF"/>
          <w:sz w:val="22"/>
          <w:szCs w:val="22"/>
          <w:lang w:bidi="ar"/>
        </w:rPr>
        <w:t>.</w:t>
      </w:r>
      <w:r w:rsidRPr="00417BEE">
        <w:rPr>
          <w:rFonts w:ascii="Times New Roman" w:hAnsi="Times New Roman" w:cs="Times New Roman"/>
          <w:color w:val="77206D" w:themeColor="accent5" w:themeShade="BF"/>
          <w:sz w:val="22"/>
          <w:szCs w:val="22"/>
          <w:lang w:bidi="ar"/>
        </w:rPr>
        <w:t xml:space="preserve"> </w:t>
      </w:r>
      <w:r w:rsidRPr="007B70D5">
        <w:rPr>
          <w:rFonts w:ascii="Times New Roman" w:hAnsi="Times New Roman" w:cs="Times New Roman" w:hint="eastAsia"/>
          <w:b/>
          <w:bCs/>
          <w:color w:val="77206D" w:themeColor="accent5" w:themeShade="BF"/>
          <w:sz w:val="22"/>
          <w:szCs w:val="22"/>
          <w:lang w:bidi="ar"/>
        </w:rPr>
        <w:t>a</w:t>
      </w:r>
      <w:r>
        <w:rPr>
          <w:rFonts w:ascii="Times New Roman" w:hAnsi="Times New Roman" w:cs="Times New Roman" w:hint="eastAsia"/>
          <w:color w:val="77206D" w:themeColor="accent5" w:themeShade="BF"/>
          <w:sz w:val="22"/>
          <w:szCs w:val="22"/>
          <w:lang w:bidi="ar"/>
        </w:rPr>
        <w:t xml:space="preserve">, </w:t>
      </w:r>
      <w:r w:rsidRPr="00417BEE">
        <w:rPr>
          <w:rFonts w:ascii="Times New Roman" w:hAnsi="Times New Roman" w:cs="Times New Roman"/>
          <w:color w:val="77206D" w:themeColor="accent5" w:themeShade="BF"/>
          <w:sz w:val="22"/>
          <w:szCs w:val="22"/>
          <w:lang w:bidi="ar"/>
        </w:rPr>
        <w:t xml:space="preserve">A synteny block was conserved among </w:t>
      </w:r>
      <w:r w:rsidRPr="00417BEE">
        <w:rPr>
          <w:rFonts w:ascii="Times New Roman" w:hAnsi="Times New Roman" w:cs="Times New Roman"/>
          <w:i/>
          <w:iCs/>
          <w:color w:val="77206D" w:themeColor="accent5" w:themeShade="BF"/>
          <w:sz w:val="22"/>
          <w:szCs w:val="22"/>
          <w:lang w:bidi="ar"/>
        </w:rPr>
        <w:t>N. benthamiana</w:t>
      </w:r>
      <w:r w:rsidRPr="00417BEE">
        <w:rPr>
          <w:rFonts w:ascii="Times New Roman" w:hAnsi="Times New Roman" w:cs="Times New Roman"/>
          <w:color w:val="77206D" w:themeColor="accent5" w:themeShade="BF"/>
          <w:sz w:val="22"/>
          <w:szCs w:val="22"/>
          <w:lang w:bidi="ar"/>
        </w:rPr>
        <w:t xml:space="preserve">, tobacco, potato and pepper, which spanned the centromere of Chr10 in </w:t>
      </w:r>
      <w:r w:rsidRPr="00417BEE">
        <w:rPr>
          <w:rFonts w:ascii="Times New Roman" w:hAnsi="Times New Roman" w:cs="Times New Roman"/>
          <w:i/>
          <w:iCs/>
          <w:color w:val="77206D" w:themeColor="accent5" w:themeShade="BF"/>
          <w:sz w:val="22"/>
          <w:szCs w:val="22"/>
          <w:lang w:bidi="ar"/>
        </w:rPr>
        <w:t>N. benthamiana</w:t>
      </w:r>
      <w:r w:rsidRPr="00417BEE">
        <w:rPr>
          <w:rFonts w:ascii="Times New Roman" w:hAnsi="Times New Roman" w:cs="Times New Roman"/>
          <w:color w:val="77206D" w:themeColor="accent5" w:themeShade="BF"/>
          <w:sz w:val="22"/>
          <w:szCs w:val="22"/>
          <w:lang w:bidi="ar"/>
        </w:rPr>
        <w:t xml:space="preserve">. </w:t>
      </w:r>
      <w:r w:rsidRPr="007B70D5">
        <w:rPr>
          <w:rFonts w:ascii="Times New Roman" w:hAnsi="Times New Roman" w:cs="Times New Roman" w:hint="eastAsia"/>
          <w:b/>
          <w:bCs/>
          <w:color w:val="77206D" w:themeColor="accent5" w:themeShade="BF"/>
          <w:sz w:val="22"/>
          <w:szCs w:val="22"/>
          <w:lang w:bidi="ar"/>
        </w:rPr>
        <w:t>b</w:t>
      </w:r>
      <w:r>
        <w:rPr>
          <w:rFonts w:ascii="Times New Roman" w:hAnsi="Times New Roman" w:cs="Times New Roman" w:hint="eastAsia"/>
          <w:color w:val="77206D" w:themeColor="accent5" w:themeShade="BF"/>
          <w:sz w:val="22"/>
          <w:szCs w:val="22"/>
          <w:lang w:bidi="ar"/>
        </w:rPr>
        <w:t xml:space="preserve">, </w:t>
      </w:r>
      <w:r w:rsidRPr="0053474F">
        <w:rPr>
          <w:rFonts w:ascii="Times New Roman" w:hAnsi="Times New Roman" w:cs="Times New Roman"/>
          <w:color w:val="77206D" w:themeColor="accent5" w:themeShade="BF"/>
          <w:sz w:val="22"/>
          <w:szCs w:val="22"/>
          <w:lang w:bidi="ar"/>
        </w:rPr>
        <w:t xml:space="preserve">CENH3 enrichment and </w:t>
      </w:r>
      <w:r>
        <w:rPr>
          <w:rFonts w:ascii="Times New Roman" w:hAnsi="Times New Roman" w:cs="Times New Roman" w:hint="eastAsia"/>
          <w:color w:val="77206D" w:themeColor="accent5" w:themeShade="BF"/>
          <w:sz w:val="22"/>
          <w:szCs w:val="22"/>
          <w:lang w:bidi="ar"/>
        </w:rPr>
        <w:t>Gypsy</w:t>
      </w:r>
      <w:r w:rsidRPr="0053474F">
        <w:rPr>
          <w:rFonts w:ascii="Times New Roman" w:hAnsi="Times New Roman" w:cs="Times New Roman"/>
          <w:color w:val="77206D" w:themeColor="accent5" w:themeShade="BF"/>
          <w:sz w:val="22"/>
          <w:szCs w:val="22"/>
          <w:lang w:bidi="ar"/>
        </w:rPr>
        <w:t xml:space="preserve"> density in 20 kb windows within CEN</w:t>
      </w:r>
      <w:r>
        <w:rPr>
          <w:rFonts w:ascii="Times New Roman" w:hAnsi="Times New Roman" w:cs="Times New Roman" w:hint="eastAsia"/>
          <w:color w:val="77206D" w:themeColor="accent5" w:themeShade="BF"/>
          <w:sz w:val="22"/>
          <w:szCs w:val="22"/>
          <w:lang w:bidi="ar"/>
        </w:rPr>
        <w:t>10</w:t>
      </w:r>
      <w:r w:rsidRPr="0053474F">
        <w:rPr>
          <w:rFonts w:ascii="Times New Roman" w:hAnsi="Times New Roman" w:cs="Times New Roman"/>
          <w:color w:val="77206D" w:themeColor="accent5" w:themeShade="BF"/>
          <w:sz w:val="22"/>
          <w:szCs w:val="22"/>
          <w:lang w:bidi="ar"/>
        </w:rPr>
        <w:t>-spanning synteny block between Chr0</w:t>
      </w:r>
      <w:r>
        <w:rPr>
          <w:rFonts w:ascii="Times New Roman" w:hAnsi="Times New Roman" w:cs="Times New Roman" w:hint="eastAsia"/>
          <w:color w:val="77206D" w:themeColor="accent5" w:themeShade="BF"/>
          <w:sz w:val="22"/>
          <w:szCs w:val="22"/>
          <w:lang w:bidi="ar"/>
        </w:rPr>
        <w:t>9</w:t>
      </w:r>
      <w:r w:rsidRPr="0053474F">
        <w:rPr>
          <w:rFonts w:ascii="Times New Roman" w:hAnsi="Times New Roman" w:cs="Times New Roman"/>
          <w:color w:val="77206D" w:themeColor="accent5" w:themeShade="BF"/>
          <w:sz w:val="22"/>
          <w:szCs w:val="22"/>
          <w:lang w:bidi="ar"/>
        </w:rPr>
        <w:t xml:space="preserve"> and Chr1</w:t>
      </w:r>
      <w:r>
        <w:rPr>
          <w:rFonts w:ascii="Times New Roman" w:hAnsi="Times New Roman" w:cs="Times New Roman" w:hint="eastAsia"/>
          <w:color w:val="77206D" w:themeColor="accent5" w:themeShade="BF"/>
          <w:sz w:val="22"/>
          <w:szCs w:val="22"/>
          <w:lang w:bidi="ar"/>
        </w:rPr>
        <w:t xml:space="preserve">0. </w:t>
      </w:r>
      <w:r w:rsidRPr="00417BEE">
        <w:rPr>
          <w:rFonts w:ascii="Times New Roman" w:hAnsi="Times New Roman" w:cs="Times New Roman"/>
          <w:color w:val="77206D" w:themeColor="accent5" w:themeShade="BF"/>
          <w:sz w:val="22"/>
          <w:szCs w:val="22"/>
          <w:lang w:bidi="ar"/>
        </w:rPr>
        <w:t xml:space="preserve">Full descriptions for the panels are also available in the main Figure </w:t>
      </w:r>
      <w:r>
        <w:rPr>
          <w:rFonts w:ascii="Times New Roman" w:hAnsi="Times New Roman" w:cs="Times New Roman" w:hint="eastAsia"/>
          <w:color w:val="77206D" w:themeColor="accent5" w:themeShade="BF"/>
          <w:sz w:val="22"/>
          <w:szCs w:val="22"/>
          <w:lang w:bidi="ar"/>
        </w:rPr>
        <w:t>4</w:t>
      </w:r>
      <w:r w:rsidRPr="00417BEE">
        <w:rPr>
          <w:rFonts w:ascii="Times New Roman" w:hAnsi="Times New Roman" w:cs="Times New Roman"/>
          <w:color w:val="77206D" w:themeColor="accent5" w:themeShade="BF"/>
          <w:sz w:val="22"/>
          <w:szCs w:val="22"/>
          <w:lang w:bidi="ar"/>
        </w:rPr>
        <w:t xml:space="preserve"> legend. StainedGlass sequence identity heatmaps were shown beneath.</w:t>
      </w:r>
    </w:p>
    <w:p w14:paraId="7336FE96" w14:textId="77777777" w:rsidR="00623C56" w:rsidRPr="00793AA8" w:rsidRDefault="00623C56" w:rsidP="00623C56">
      <w:pPr>
        <w:spacing w:line="276" w:lineRule="auto"/>
        <w:rPr>
          <w:rFonts w:ascii="Times New Roman" w:hAnsi="Times New Roman" w:cs="Times New Roman"/>
          <w:color w:val="77206D" w:themeColor="accent5" w:themeShade="BF"/>
          <w:lang w:bidi="ar"/>
        </w:rPr>
      </w:pPr>
      <w:r w:rsidRPr="00793AA8">
        <w:rPr>
          <w:rFonts w:ascii="Times New Roman" w:hAnsi="Times New Roman" w:cs="Times New Roman"/>
          <w:color w:val="77206D" w:themeColor="accent5" w:themeShade="BF"/>
          <w:lang w:bidi="ar"/>
        </w:rPr>
        <w:br w:type="page"/>
      </w:r>
    </w:p>
    <w:p w14:paraId="1FD1BCE0" w14:textId="77777777" w:rsidR="00623C56" w:rsidRPr="00793AA8" w:rsidRDefault="00623C56" w:rsidP="00623C56">
      <w:pPr>
        <w:spacing w:line="276" w:lineRule="auto"/>
        <w:rPr>
          <w:rFonts w:ascii="Times New Roman" w:hAnsi="Times New Roman" w:cs="Times New Roman"/>
          <w:b/>
          <w:bCs/>
          <w:color w:val="000000" w:themeColor="text1"/>
          <w:lang w:bidi="ar"/>
        </w:rPr>
      </w:pPr>
      <w:r w:rsidRPr="00793AA8">
        <w:rPr>
          <w:rFonts w:ascii="Times New Roman" w:hAnsi="Times New Roman" w:cs="Times New Roman"/>
          <w:b/>
          <w:bCs/>
          <w:noProof/>
          <w:color w:val="000000" w:themeColor="text1"/>
          <w:lang w:bidi="ar"/>
        </w:rPr>
        <w:lastRenderedPageBreak/>
        <w:drawing>
          <wp:inline distT="0" distB="0" distL="0" distR="0" wp14:anchorId="2608DB9A" wp14:editId="3CDD7C2F">
            <wp:extent cx="5274310" cy="5253990"/>
            <wp:effectExtent l="0" t="0" r="2540" b="3810"/>
            <wp:docPr id="7026314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31431" name="图片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253990"/>
                    </a:xfrm>
                    <a:prstGeom prst="rect">
                      <a:avLst/>
                    </a:prstGeom>
                  </pic:spPr>
                </pic:pic>
              </a:graphicData>
            </a:graphic>
          </wp:inline>
        </w:drawing>
      </w:r>
    </w:p>
    <w:p w14:paraId="4C47A4EE" w14:textId="77777777" w:rsidR="00623C56" w:rsidRDefault="00623C56" w:rsidP="00623C56">
      <w:pPr>
        <w:jc w:val="both"/>
        <w:rPr>
          <w:rFonts w:ascii="Times New Roman" w:hAnsi="Times New Roman" w:cs="Times New Roman"/>
          <w:color w:val="77206D" w:themeColor="accent5" w:themeShade="BF"/>
          <w:sz w:val="22"/>
          <w:szCs w:val="22"/>
          <w:lang w:bidi="ar"/>
        </w:rPr>
      </w:pPr>
      <w:bookmarkStart w:id="3" w:name="_Hlk152597327"/>
      <w:bookmarkStart w:id="4" w:name="_Hlk162962110"/>
      <w:r w:rsidRPr="00417BEE">
        <w:rPr>
          <w:rFonts w:ascii="Times New Roman" w:hAnsi="Times New Roman" w:cs="Times New Roman"/>
          <w:b/>
          <w:bCs/>
          <w:color w:val="77206D" w:themeColor="accent5" w:themeShade="BF"/>
          <w:sz w:val="22"/>
          <w:szCs w:val="22"/>
          <w:lang w:bidi="ar"/>
        </w:rPr>
        <w:t xml:space="preserve">Extended Data Fig. </w:t>
      </w:r>
      <w:bookmarkEnd w:id="3"/>
      <w:r w:rsidRPr="00417BEE">
        <w:rPr>
          <w:rFonts w:ascii="Times New Roman" w:hAnsi="Times New Roman" w:cs="Times New Roman"/>
          <w:b/>
          <w:bCs/>
          <w:color w:val="77206D" w:themeColor="accent5" w:themeShade="BF"/>
          <w:sz w:val="22"/>
          <w:szCs w:val="22"/>
          <w:lang w:bidi="ar"/>
        </w:rPr>
        <w:t>8</w:t>
      </w:r>
      <w:bookmarkEnd w:id="4"/>
      <w:r w:rsidRPr="00417BEE">
        <w:rPr>
          <w:rFonts w:ascii="Times New Roman" w:hAnsi="Times New Roman" w:cs="Times New Roman"/>
          <w:b/>
          <w:bCs/>
          <w:color w:val="77206D" w:themeColor="accent5" w:themeShade="BF"/>
          <w:sz w:val="22"/>
          <w:szCs w:val="22"/>
          <w:lang w:bidi="ar"/>
        </w:rPr>
        <w:t xml:space="preserve"> | Phased subgenomes of allotetraploid </w:t>
      </w:r>
      <w:bookmarkStart w:id="5" w:name="_Hlk150438970"/>
      <w:r w:rsidRPr="00417BEE">
        <w:rPr>
          <w:rFonts w:ascii="Times New Roman" w:hAnsi="Times New Roman" w:cs="Times New Roman"/>
          <w:b/>
          <w:bCs/>
          <w:i/>
          <w:iCs/>
          <w:color w:val="77206D" w:themeColor="accent5" w:themeShade="BF"/>
          <w:sz w:val="22"/>
          <w:szCs w:val="22"/>
          <w:lang w:bidi="ar"/>
        </w:rPr>
        <w:t>N. benthamiana</w:t>
      </w:r>
      <w:bookmarkEnd w:id="5"/>
      <w:r w:rsidRPr="00417BEE">
        <w:rPr>
          <w:rFonts w:ascii="Times New Roman" w:hAnsi="Times New Roman" w:cs="Times New Roman"/>
          <w:color w:val="77206D" w:themeColor="accent5" w:themeShade="BF"/>
          <w:sz w:val="22"/>
          <w:szCs w:val="22"/>
          <w:lang w:bidi="ar"/>
        </w:rPr>
        <w:t xml:space="preserve">. </w:t>
      </w:r>
      <w:r w:rsidRPr="00417BEE">
        <w:rPr>
          <w:rFonts w:ascii="Times New Roman" w:hAnsi="Times New Roman" w:cs="Times New Roman"/>
          <w:b/>
          <w:bCs/>
          <w:color w:val="77206D" w:themeColor="accent5" w:themeShade="BF"/>
          <w:sz w:val="22"/>
          <w:szCs w:val="22"/>
          <w:lang w:bidi="ar"/>
        </w:rPr>
        <w:t>a</w:t>
      </w:r>
      <w:r w:rsidRPr="00417BEE">
        <w:rPr>
          <w:rFonts w:ascii="Times New Roman" w:hAnsi="Times New Roman" w:cs="Times New Roman"/>
          <w:color w:val="77206D" w:themeColor="accent5" w:themeShade="BF"/>
          <w:sz w:val="22"/>
          <w:szCs w:val="22"/>
          <w:lang w:bidi="ar"/>
        </w:rPr>
        <w:t xml:space="preserve">, Alignments of </w:t>
      </w:r>
      <w:r w:rsidRPr="00417BEE">
        <w:rPr>
          <w:rFonts w:ascii="Times New Roman" w:hAnsi="Times New Roman" w:cs="Times New Roman"/>
          <w:i/>
          <w:iCs/>
          <w:color w:val="77206D" w:themeColor="accent5" w:themeShade="BF"/>
          <w:sz w:val="22"/>
          <w:szCs w:val="22"/>
          <w:lang w:bidi="ar"/>
        </w:rPr>
        <w:t>N. benthamiana</w:t>
      </w:r>
      <w:r w:rsidRPr="00417BEE">
        <w:rPr>
          <w:rFonts w:ascii="Times New Roman" w:hAnsi="Times New Roman" w:cs="Times New Roman"/>
          <w:color w:val="77206D" w:themeColor="accent5" w:themeShade="BF"/>
          <w:sz w:val="22"/>
          <w:szCs w:val="22"/>
          <w:lang w:bidi="ar"/>
        </w:rPr>
        <w:t xml:space="preserve"> chromosomes with itself. </w:t>
      </w:r>
      <w:r w:rsidRPr="00417BEE">
        <w:rPr>
          <w:rFonts w:ascii="Times New Roman" w:hAnsi="Times New Roman" w:cs="Times New Roman"/>
          <w:b/>
          <w:bCs/>
          <w:color w:val="77206D" w:themeColor="accent5" w:themeShade="BF"/>
          <w:sz w:val="22"/>
          <w:szCs w:val="22"/>
          <w:lang w:bidi="ar"/>
        </w:rPr>
        <w:t>b</w:t>
      </w:r>
      <w:r w:rsidRPr="00417BEE">
        <w:rPr>
          <w:rFonts w:ascii="Times New Roman" w:hAnsi="Times New Roman" w:cs="Times New Roman"/>
          <w:color w:val="77206D" w:themeColor="accent5" w:themeShade="BF"/>
          <w:sz w:val="22"/>
          <w:szCs w:val="22"/>
          <w:lang w:bidi="ar"/>
        </w:rPr>
        <w:t xml:space="preserve">, Circos plot of subgenome partitions of </w:t>
      </w:r>
      <w:r w:rsidRPr="00417BEE">
        <w:rPr>
          <w:rFonts w:ascii="Times New Roman" w:hAnsi="Times New Roman" w:cs="Times New Roman"/>
          <w:i/>
          <w:iCs/>
          <w:color w:val="77206D" w:themeColor="accent5" w:themeShade="BF"/>
          <w:sz w:val="22"/>
          <w:szCs w:val="22"/>
          <w:lang w:bidi="ar"/>
        </w:rPr>
        <w:t>N. benthamiana</w:t>
      </w:r>
      <w:r w:rsidRPr="00417BEE">
        <w:rPr>
          <w:rFonts w:ascii="Times New Roman" w:hAnsi="Times New Roman" w:cs="Times New Roman"/>
          <w:color w:val="77206D" w:themeColor="accent5" w:themeShade="BF"/>
          <w:sz w:val="22"/>
          <w:szCs w:val="22"/>
          <w:lang w:bidi="ar"/>
        </w:rPr>
        <w:t xml:space="preserve">. Track from outer to inner: subgenome assignments by a k-means algorithm, significant enrichment of subgenome specific k-mers, normalized proportion of subgenome specific k-mers, count of subgenome A specific k-mers, count of subgenome B specific k-mers, count of subgenome specific LTR-RTs (in yellow and blue color), and homoeologous blocks of each homoeologous chromosome set. </w:t>
      </w:r>
      <w:r w:rsidRPr="00417BEE">
        <w:rPr>
          <w:rFonts w:ascii="Times New Roman" w:hAnsi="Times New Roman" w:cs="Times New Roman"/>
          <w:b/>
          <w:bCs/>
          <w:color w:val="77206D" w:themeColor="accent5" w:themeShade="BF"/>
          <w:sz w:val="22"/>
          <w:szCs w:val="22"/>
          <w:lang w:bidi="ar"/>
        </w:rPr>
        <w:t>c-d</w:t>
      </w:r>
      <w:r w:rsidRPr="00417BEE">
        <w:rPr>
          <w:rFonts w:ascii="Times New Roman" w:hAnsi="Times New Roman" w:cs="Times New Roman"/>
          <w:color w:val="77206D" w:themeColor="accent5" w:themeShade="BF"/>
          <w:sz w:val="22"/>
          <w:szCs w:val="22"/>
          <w:lang w:bidi="ar"/>
        </w:rPr>
        <w:t xml:space="preserve">, Alignments of </w:t>
      </w:r>
      <w:r w:rsidRPr="00417BEE">
        <w:rPr>
          <w:rFonts w:ascii="Times New Roman" w:hAnsi="Times New Roman" w:cs="Times New Roman"/>
          <w:i/>
          <w:iCs/>
          <w:color w:val="77206D" w:themeColor="accent5" w:themeShade="BF"/>
          <w:sz w:val="22"/>
          <w:szCs w:val="22"/>
          <w:lang w:bidi="ar"/>
        </w:rPr>
        <w:t>N. benthamiana</w:t>
      </w:r>
      <w:r w:rsidRPr="00417BEE">
        <w:rPr>
          <w:rFonts w:ascii="Times New Roman" w:hAnsi="Times New Roman" w:cs="Times New Roman"/>
          <w:color w:val="77206D" w:themeColor="accent5" w:themeShade="BF"/>
          <w:sz w:val="22"/>
          <w:szCs w:val="22"/>
          <w:lang w:bidi="ar"/>
        </w:rPr>
        <w:t xml:space="preserve"> chromosomes with its potential diploid ancestors of </w:t>
      </w:r>
      <w:r w:rsidRPr="00417BEE">
        <w:rPr>
          <w:rFonts w:ascii="Times New Roman" w:hAnsi="Times New Roman" w:cs="Times New Roman"/>
          <w:i/>
          <w:iCs/>
          <w:color w:val="77206D" w:themeColor="accent5" w:themeShade="BF"/>
          <w:sz w:val="22"/>
          <w:szCs w:val="22"/>
          <w:lang w:bidi="ar"/>
        </w:rPr>
        <w:t>N. sylvestris</w:t>
      </w:r>
      <w:r w:rsidRPr="00417BEE">
        <w:rPr>
          <w:rFonts w:ascii="Times New Roman" w:hAnsi="Times New Roman" w:cs="Times New Roman"/>
          <w:color w:val="77206D" w:themeColor="accent5" w:themeShade="BF"/>
          <w:sz w:val="22"/>
          <w:szCs w:val="22"/>
          <w:lang w:bidi="ar"/>
        </w:rPr>
        <w:t xml:space="preserve"> (</w:t>
      </w:r>
      <w:r w:rsidRPr="00417BEE">
        <w:rPr>
          <w:rFonts w:ascii="Times New Roman" w:hAnsi="Times New Roman" w:cs="Times New Roman"/>
          <w:b/>
          <w:bCs/>
          <w:color w:val="77206D" w:themeColor="accent5" w:themeShade="BF"/>
          <w:sz w:val="22"/>
          <w:szCs w:val="22"/>
          <w:lang w:bidi="ar"/>
        </w:rPr>
        <w:t>c</w:t>
      </w:r>
      <w:r w:rsidRPr="00417BEE">
        <w:rPr>
          <w:rFonts w:ascii="Times New Roman" w:hAnsi="Times New Roman" w:cs="Times New Roman"/>
          <w:color w:val="77206D" w:themeColor="accent5" w:themeShade="BF"/>
          <w:sz w:val="22"/>
          <w:szCs w:val="22"/>
          <w:lang w:bidi="ar"/>
        </w:rPr>
        <w:t xml:space="preserve">) and </w:t>
      </w:r>
      <w:r w:rsidRPr="00417BEE">
        <w:rPr>
          <w:rFonts w:ascii="Times New Roman" w:hAnsi="Times New Roman" w:cs="Times New Roman"/>
          <w:i/>
          <w:iCs/>
          <w:color w:val="77206D" w:themeColor="accent5" w:themeShade="BF"/>
          <w:sz w:val="22"/>
          <w:szCs w:val="22"/>
          <w:lang w:bidi="ar"/>
        </w:rPr>
        <w:t xml:space="preserve">N. </w:t>
      </w:r>
      <w:r>
        <w:rPr>
          <w:rFonts w:ascii="Times New Roman" w:hAnsi="Times New Roman" w:cs="Times New Roman"/>
          <w:i/>
          <w:iCs/>
          <w:color w:val="77206D" w:themeColor="accent5" w:themeShade="BF"/>
          <w:sz w:val="22"/>
          <w:szCs w:val="22"/>
          <w:lang w:bidi="ar"/>
        </w:rPr>
        <w:t>attenuata</w:t>
      </w:r>
      <w:r w:rsidRPr="00417BEE">
        <w:rPr>
          <w:rFonts w:ascii="Times New Roman" w:hAnsi="Times New Roman" w:cs="Times New Roman"/>
          <w:color w:val="77206D" w:themeColor="accent5" w:themeShade="BF"/>
          <w:sz w:val="22"/>
          <w:szCs w:val="22"/>
          <w:lang w:bidi="ar"/>
        </w:rPr>
        <w:t xml:space="preserve"> (</w:t>
      </w:r>
      <w:r w:rsidRPr="00417BEE">
        <w:rPr>
          <w:rFonts w:ascii="Times New Roman" w:hAnsi="Times New Roman" w:cs="Times New Roman"/>
          <w:b/>
          <w:bCs/>
          <w:color w:val="77206D" w:themeColor="accent5" w:themeShade="BF"/>
          <w:sz w:val="22"/>
          <w:szCs w:val="22"/>
          <w:lang w:bidi="ar"/>
        </w:rPr>
        <w:t>d</w:t>
      </w:r>
      <w:r w:rsidRPr="00417BEE">
        <w:rPr>
          <w:rFonts w:ascii="Times New Roman" w:hAnsi="Times New Roman" w:cs="Times New Roman"/>
          <w:color w:val="77206D" w:themeColor="accent5" w:themeShade="BF"/>
          <w:sz w:val="22"/>
          <w:szCs w:val="22"/>
          <w:lang w:bidi="ar"/>
        </w:rPr>
        <w:t>).</w:t>
      </w:r>
    </w:p>
    <w:p w14:paraId="738F2A34" w14:textId="77777777" w:rsidR="00623C56" w:rsidRDefault="00623C56" w:rsidP="00623C56">
      <w:pPr>
        <w:rPr>
          <w:rFonts w:ascii="Times New Roman" w:hAnsi="Times New Roman" w:cs="Times New Roman"/>
          <w:color w:val="77206D" w:themeColor="accent5" w:themeShade="BF"/>
          <w:sz w:val="22"/>
          <w:szCs w:val="22"/>
          <w:lang w:bidi="ar"/>
        </w:rPr>
      </w:pPr>
    </w:p>
    <w:p w14:paraId="764489D6" w14:textId="77777777" w:rsidR="004634B1" w:rsidRDefault="004634B1"/>
    <w:sectPr w:rsidR="004634B1" w:rsidSect="00623C56">
      <w:footerReference w:type="default" r:id="rId12"/>
      <w:pgSz w:w="11906" w:h="16838"/>
      <w:pgMar w:top="1440" w:right="1800" w:bottom="1440" w:left="180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3075266"/>
      <w:docPartObj>
        <w:docPartGallery w:val="Page Numbers (Bottom of Page)"/>
        <w:docPartUnique/>
      </w:docPartObj>
    </w:sdtPr>
    <w:sdtContent>
      <w:p w14:paraId="17F1FDBB" w14:textId="77777777" w:rsidR="00000000" w:rsidRDefault="00000000">
        <w:pPr>
          <w:pStyle w:val="Footer"/>
          <w:jc w:val="center"/>
        </w:pPr>
        <w:r>
          <w:fldChar w:fldCharType="begin"/>
        </w:r>
        <w:r>
          <w:instrText>PAGE   \* MERGEFORMAT</w:instrText>
        </w:r>
        <w:r>
          <w:fldChar w:fldCharType="separate"/>
        </w:r>
        <w:r>
          <w:rPr>
            <w:lang w:val="zh-CN"/>
          </w:rPr>
          <w:t>2</w:t>
        </w:r>
        <w:r>
          <w:fldChar w:fldCharType="end"/>
        </w:r>
      </w:p>
    </w:sdtContent>
  </w:sdt>
  <w:p w14:paraId="399F9C91"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C56"/>
    <w:rsid w:val="001442DB"/>
    <w:rsid w:val="002B57B8"/>
    <w:rsid w:val="004634B1"/>
    <w:rsid w:val="00623C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DA547"/>
  <w15:chartTrackingRefBased/>
  <w15:docId w15:val="{2EA494F4-D9E2-43AE-88C5-86CC682E3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C56"/>
    <w:pPr>
      <w:spacing w:after="0" w:line="240" w:lineRule="auto"/>
    </w:pPr>
    <w:rPr>
      <w:rFonts w:ascii="SimSun" w:eastAsia="SimSun" w:hAnsi="SimSun" w:cs="SimSun"/>
      <w:kern w:val="0"/>
      <w:lang w:eastAsia="zh-CN"/>
      <w14:ligatures w14:val="none"/>
    </w:rPr>
  </w:style>
  <w:style w:type="paragraph" w:styleId="Heading1">
    <w:name w:val="heading 1"/>
    <w:basedOn w:val="Normal"/>
    <w:next w:val="Normal"/>
    <w:link w:val="Heading1Char"/>
    <w:uiPriority w:val="9"/>
    <w:qFormat/>
    <w:rsid w:val="00623C5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623C5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23C5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23C56"/>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623C56"/>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623C56"/>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623C56"/>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623C56"/>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623C56"/>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C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C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C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C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C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C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C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C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C56"/>
    <w:rPr>
      <w:rFonts w:eastAsiaTheme="majorEastAsia" w:cstheme="majorBidi"/>
      <w:color w:val="272727" w:themeColor="text1" w:themeTint="D8"/>
    </w:rPr>
  </w:style>
  <w:style w:type="paragraph" w:styleId="Title">
    <w:name w:val="Title"/>
    <w:basedOn w:val="Normal"/>
    <w:next w:val="Normal"/>
    <w:link w:val="TitleChar"/>
    <w:uiPriority w:val="10"/>
    <w:qFormat/>
    <w:rsid w:val="00623C5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23C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C5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623C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C56"/>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623C56"/>
    <w:rPr>
      <w:i/>
      <w:iCs/>
      <w:color w:val="404040" w:themeColor="text1" w:themeTint="BF"/>
    </w:rPr>
  </w:style>
  <w:style w:type="paragraph" w:styleId="ListParagraph">
    <w:name w:val="List Paragraph"/>
    <w:basedOn w:val="Normal"/>
    <w:uiPriority w:val="34"/>
    <w:qFormat/>
    <w:rsid w:val="00623C56"/>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623C56"/>
    <w:rPr>
      <w:i/>
      <w:iCs/>
      <w:color w:val="0F4761" w:themeColor="accent1" w:themeShade="BF"/>
    </w:rPr>
  </w:style>
  <w:style w:type="paragraph" w:styleId="IntenseQuote">
    <w:name w:val="Intense Quote"/>
    <w:basedOn w:val="Normal"/>
    <w:next w:val="Normal"/>
    <w:link w:val="IntenseQuoteChar"/>
    <w:uiPriority w:val="30"/>
    <w:qFormat/>
    <w:rsid w:val="00623C5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623C56"/>
    <w:rPr>
      <w:i/>
      <w:iCs/>
      <w:color w:val="0F4761" w:themeColor="accent1" w:themeShade="BF"/>
    </w:rPr>
  </w:style>
  <w:style w:type="character" w:styleId="IntenseReference">
    <w:name w:val="Intense Reference"/>
    <w:basedOn w:val="DefaultParagraphFont"/>
    <w:uiPriority w:val="32"/>
    <w:qFormat/>
    <w:rsid w:val="00623C56"/>
    <w:rPr>
      <w:b/>
      <w:bCs/>
      <w:smallCaps/>
      <w:color w:val="0F4761" w:themeColor="accent1" w:themeShade="BF"/>
      <w:spacing w:val="5"/>
    </w:rPr>
  </w:style>
  <w:style w:type="paragraph" w:styleId="Footer">
    <w:name w:val="footer"/>
    <w:basedOn w:val="Normal"/>
    <w:link w:val="FooterChar"/>
    <w:uiPriority w:val="99"/>
    <w:unhideWhenUsed/>
    <w:qFormat/>
    <w:rsid w:val="00623C56"/>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623C56"/>
    <w:rPr>
      <w:rFonts w:ascii="SimSun" w:eastAsia="SimSun" w:hAnsi="SimSun" w:cs="SimSun"/>
      <w:kern w:val="0"/>
      <w:sz w:val="18"/>
      <w:szCs w:val="18"/>
      <w:lang w:eastAsia="zh-CN"/>
      <w14:ligatures w14:val="none"/>
    </w:rPr>
  </w:style>
  <w:style w:type="paragraph" w:customStyle="1" w:styleId="1">
    <w:name w:val="文章1"/>
    <w:basedOn w:val="Heading1"/>
    <w:next w:val="Heading1"/>
    <w:link w:val="10"/>
    <w:qFormat/>
    <w:rsid w:val="00623C56"/>
    <w:pPr>
      <w:widowControl w:val="0"/>
      <w:spacing w:before="0" w:after="0" w:line="240" w:lineRule="auto"/>
      <w:jc w:val="both"/>
    </w:pPr>
    <w:rPr>
      <w:rFonts w:ascii="Times New Roman" w:eastAsia="Times New Roman" w:hAnsi="Times New Roman" w:cs="Times New Roman"/>
      <w:b/>
      <w:bCs/>
      <w:color w:val="000000" w:themeColor="text1"/>
      <w:kern w:val="44"/>
      <w:sz w:val="28"/>
      <w:szCs w:val="28"/>
      <w:lang w:eastAsia="zh-CN"/>
      <w14:ligatures w14:val="none"/>
    </w:rPr>
  </w:style>
  <w:style w:type="character" w:customStyle="1" w:styleId="10">
    <w:name w:val="文章1 字符"/>
    <w:basedOn w:val="DefaultParagraphFont"/>
    <w:link w:val="1"/>
    <w:qFormat/>
    <w:rsid w:val="00623C56"/>
    <w:rPr>
      <w:rFonts w:ascii="Times New Roman" w:eastAsia="Times New Roman" w:hAnsi="Times New Roman" w:cs="Times New Roman"/>
      <w:b/>
      <w:bCs/>
      <w:color w:val="000000" w:themeColor="text1"/>
      <w:kern w:val="44"/>
      <w:sz w:val="28"/>
      <w:szCs w:val="28"/>
      <w:lang w:eastAsia="zh-CN"/>
      <w14:ligatures w14:val="none"/>
    </w:rPr>
  </w:style>
  <w:style w:type="character" w:styleId="LineNumber">
    <w:name w:val="line number"/>
    <w:basedOn w:val="DefaultParagraphFont"/>
    <w:uiPriority w:val="99"/>
    <w:semiHidden/>
    <w:unhideWhenUsed/>
    <w:rsid w:val="0062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609</Words>
  <Characters>3473</Characters>
  <Application>Microsoft Office Word</Application>
  <DocSecurity>0</DocSecurity>
  <Lines>28</Lines>
  <Paragraphs>8</Paragraphs>
  <ScaleCrop>false</ScaleCrop>
  <Company>SpringerNature</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2024-08-02T09:21:00Z</dcterms:created>
  <dcterms:modified xsi:type="dcterms:W3CDTF">2024-08-02T09:22:00Z</dcterms:modified>
</cp:coreProperties>
</file>