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1643CF" w14:textId="77777777" w:rsidR="001972ED" w:rsidRPr="00501C4C" w:rsidRDefault="001972ED" w:rsidP="001972ED">
      <w:pPr>
        <w:rPr>
          <w:b/>
          <w:bCs/>
          <w:sz w:val="24"/>
          <w:szCs w:val="24"/>
        </w:rPr>
      </w:pPr>
      <w:r w:rsidRPr="00501C4C">
        <w:rPr>
          <w:b/>
          <w:bCs/>
          <w:sz w:val="24"/>
          <w:szCs w:val="24"/>
        </w:rPr>
        <w:t>Supplementary Fig. 1</w:t>
      </w:r>
    </w:p>
    <w:p w14:paraId="59341717" w14:textId="77777777" w:rsidR="001972ED" w:rsidRPr="00501C4C" w:rsidRDefault="001972ED" w:rsidP="001972ED">
      <w:pPr>
        <w:rPr>
          <w:color w:val="333333"/>
          <w:kern w:val="24"/>
          <w:sz w:val="24"/>
          <w:szCs w:val="24"/>
        </w:rPr>
      </w:pPr>
      <w:r w:rsidRPr="00501C4C">
        <w:rPr>
          <w:color w:val="333333"/>
          <w:kern w:val="24"/>
          <w:sz w:val="24"/>
          <w:szCs w:val="24"/>
        </w:rPr>
        <w:t xml:space="preserve">CD68 immunostaining of the synovium </w:t>
      </w:r>
      <w:r w:rsidRPr="00501C4C">
        <w:rPr>
          <w:sz w:val="24"/>
          <w:szCs w:val="24"/>
        </w:rPr>
        <w:t>of intact knees</w:t>
      </w:r>
      <w:r w:rsidRPr="00501C4C">
        <w:rPr>
          <w:color w:val="333333"/>
          <w:kern w:val="24"/>
          <w:sz w:val="24"/>
          <w:szCs w:val="24"/>
        </w:rPr>
        <w:t>.</w:t>
      </w:r>
      <w:r w:rsidRPr="00501C4C">
        <w:rPr>
          <w:sz w:val="24"/>
          <w:szCs w:val="24"/>
        </w:rPr>
        <w:t xml:space="preserve"> </w:t>
      </w:r>
      <w:r w:rsidRPr="00501C4C">
        <w:rPr>
          <w:b/>
          <w:bCs/>
          <w:sz w:val="24"/>
          <w:szCs w:val="24"/>
        </w:rPr>
        <w:t>A</w:t>
      </w:r>
      <w:r w:rsidRPr="00501C4C">
        <w:rPr>
          <w:sz w:val="24"/>
          <w:szCs w:val="24"/>
        </w:rPr>
        <w:t xml:space="preserve"> </w:t>
      </w:r>
      <w:r w:rsidRPr="00501C4C">
        <w:rPr>
          <w:rFonts w:cs="Calibri"/>
          <w:color w:val="333333"/>
          <w:kern w:val="24"/>
          <w:sz w:val="24"/>
          <w:szCs w:val="24"/>
        </w:rPr>
        <w:t xml:space="preserve">Representative images of CD68. </w:t>
      </w:r>
      <w:r w:rsidRPr="00501C4C">
        <w:rPr>
          <w:rFonts w:cs="Calibri"/>
          <w:b/>
          <w:bCs/>
          <w:color w:val="333333"/>
          <w:kern w:val="24"/>
          <w:sz w:val="24"/>
          <w:szCs w:val="24"/>
        </w:rPr>
        <w:t>B</w:t>
      </w:r>
      <w:r w:rsidRPr="00501C4C">
        <w:rPr>
          <w:rFonts w:cs="Calibri"/>
          <w:color w:val="333333"/>
          <w:kern w:val="24"/>
          <w:sz w:val="24"/>
          <w:szCs w:val="24"/>
        </w:rPr>
        <w:t xml:space="preserve"> </w:t>
      </w:r>
      <w:r w:rsidRPr="00501C4C">
        <w:rPr>
          <w:color w:val="333333"/>
          <w:kern w:val="24"/>
          <w:sz w:val="24"/>
          <w:szCs w:val="24"/>
        </w:rPr>
        <w:t>Quantification of the positive areas.</w:t>
      </w:r>
      <w:r w:rsidRPr="00501C4C">
        <w:rPr>
          <w:color w:val="000000" w:themeColor="text1"/>
          <w:kern w:val="24"/>
          <w:sz w:val="24"/>
          <w:szCs w:val="24"/>
        </w:rPr>
        <w:t xml:space="preserve"> Data are presented as the mean ± SD of six knees. </w:t>
      </w:r>
      <w:r w:rsidRPr="00501C4C">
        <w:rPr>
          <w:color w:val="333333"/>
          <w:kern w:val="24"/>
          <w:sz w:val="24"/>
          <w:szCs w:val="24"/>
        </w:rPr>
        <w:t>****p</w:t>
      </w:r>
      <w:r w:rsidRPr="00501C4C">
        <w:rPr>
          <w:rFonts w:ascii="MS Mincho" w:eastAsia="MS Mincho" w:hAnsi="MS Mincho" w:cs="MS Mincho" w:hint="eastAsia"/>
          <w:color w:val="333333"/>
          <w:kern w:val="24"/>
          <w:sz w:val="24"/>
          <w:szCs w:val="24"/>
        </w:rPr>
        <w:t> </w:t>
      </w:r>
      <w:r w:rsidRPr="00501C4C">
        <w:rPr>
          <w:color w:val="333333"/>
          <w:kern w:val="24"/>
          <w:sz w:val="24"/>
          <w:szCs w:val="24"/>
        </w:rPr>
        <w:t>&lt;</w:t>
      </w:r>
      <w:r w:rsidRPr="00501C4C">
        <w:rPr>
          <w:rFonts w:ascii="MS Mincho" w:eastAsia="MS Mincho" w:hAnsi="MS Mincho" w:cs="MS Mincho" w:hint="eastAsia"/>
          <w:color w:val="333333"/>
          <w:kern w:val="24"/>
          <w:sz w:val="24"/>
          <w:szCs w:val="24"/>
        </w:rPr>
        <w:t> </w:t>
      </w:r>
      <w:r w:rsidRPr="00501C4C">
        <w:rPr>
          <w:color w:val="333333"/>
          <w:kern w:val="24"/>
          <w:sz w:val="24"/>
          <w:szCs w:val="24"/>
        </w:rPr>
        <w:t>0.0005.</w:t>
      </w:r>
    </w:p>
    <w:p w14:paraId="3E66C4B7" w14:textId="77777777" w:rsidR="001972ED" w:rsidRPr="00501C4C" w:rsidRDefault="001972ED" w:rsidP="001972ED">
      <w:pPr>
        <w:rPr>
          <w:color w:val="333333"/>
          <w:kern w:val="24"/>
          <w:sz w:val="24"/>
          <w:szCs w:val="24"/>
        </w:rPr>
      </w:pPr>
    </w:p>
    <w:p w14:paraId="079587E3" w14:textId="77777777" w:rsidR="001972ED" w:rsidRPr="00501C4C" w:rsidRDefault="001972ED" w:rsidP="001972ED">
      <w:pPr>
        <w:rPr>
          <w:b/>
          <w:bCs/>
          <w:sz w:val="24"/>
          <w:szCs w:val="24"/>
        </w:rPr>
      </w:pPr>
      <w:r w:rsidRPr="00501C4C">
        <w:rPr>
          <w:b/>
          <w:bCs/>
          <w:sz w:val="24"/>
          <w:szCs w:val="24"/>
        </w:rPr>
        <w:t>Supplementary Fig. 2</w:t>
      </w:r>
    </w:p>
    <w:p w14:paraId="0E8AB60E" w14:textId="77777777" w:rsidR="001972ED" w:rsidRPr="00501C4C" w:rsidRDefault="001972ED" w:rsidP="001972ED">
      <w:pPr>
        <w:rPr>
          <w:sz w:val="24"/>
          <w:szCs w:val="24"/>
        </w:rPr>
      </w:pPr>
      <w:r w:rsidRPr="00501C4C">
        <w:rPr>
          <w:sz w:val="24"/>
          <w:szCs w:val="24"/>
        </w:rPr>
        <w:t xml:space="preserve">Clustering results of single-cell RNA sequencing before cell type annotation. </w:t>
      </w:r>
      <w:r w:rsidRPr="00501C4C">
        <w:rPr>
          <w:b/>
          <w:bCs/>
          <w:sz w:val="24"/>
          <w:szCs w:val="24"/>
        </w:rPr>
        <w:t>A</w:t>
      </w:r>
      <w:r w:rsidRPr="00501C4C">
        <w:rPr>
          <w:sz w:val="24"/>
          <w:szCs w:val="24"/>
        </w:rPr>
        <w:t xml:space="preserve"> Uniform manifold approximation and projection (UMAP) plot showing 20 distinct clusters for integrated data. </w:t>
      </w:r>
      <w:r w:rsidRPr="00501C4C">
        <w:rPr>
          <w:b/>
          <w:bCs/>
          <w:sz w:val="24"/>
          <w:szCs w:val="24"/>
        </w:rPr>
        <w:t>B</w:t>
      </w:r>
      <w:r w:rsidRPr="00501C4C">
        <w:rPr>
          <w:sz w:val="24"/>
          <w:szCs w:val="24"/>
        </w:rPr>
        <w:t xml:space="preserve"> UMAP plot for each condition.</w:t>
      </w:r>
    </w:p>
    <w:p w14:paraId="7A76FF77" w14:textId="77777777" w:rsidR="001972ED" w:rsidRPr="00501C4C" w:rsidRDefault="001972ED" w:rsidP="001972ED">
      <w:pPr>
        <w:rPr>
          <w:b/>
          <w:bCs/>
          <w:sz w:val="24"/>
          <w:szCs w:val="24"/>
        </w:rPr>
      </w:pPr>
    </w:p>
    <w:p w14:paraId="423363E7" w14:textId="77777777" w:rsidR="001972ED" w:rsidRPr="00501C4C" w:rsidRDefault="001972ED" w:rsidP="001972ED">
      <w:pPr>
        <w:rPr>
          <w:b/>
          <w:bCs/>
          <w:sz w:val="24"/>
          <w:szCs w:val="24"/>
        </w:rPr>
      </w:pPr>
      <w:r w:rsidRPr="00501C4C">
        <w:rPr>
          <w:b/>
          <w:bCs/>
          <w:sz w:val="24"/>
          <w:szCs w:val="24"/>
        </w:rPr>
        <w:t>Supplementary Fig. 3</w:t>
      </w:r>
    </w:p>
    <w:p w14:paraId="488C6F82" w14:textId="77777777" w:rsidR="001972ED" w:rsidRPr="00501C4C" w:rsidRDefault="001972ED" w:rsidP="001972ED">
      <w:pPr>
        <w:rPr>
          <w:sz w:val="24"/>
          <w:szCs w:val="24"/>
        </w:rPr>
      </w:pPr>
      <w:r w:rsidRPr="00501C4C">
        <w:rPr>
          <w:sz w:val="24"/>
          <w:szCs w:val="24"/>
        </w:rPr>
        <w:t>Expression patterns of marker genes used for the cell type annotation.</w:t>
      </w:r>
    </w:p>
    <w:p w14:paraId="4E9E98DB" w14:textId="77777777" w:rsidR="001972ED" w:rsidRPr="00501C4C" w:rsidRDefault="001972ED" w:rsidP="001972ED">
      <w:pPr>
        <w:rPr>
          <w:b/>
          <w:bCs/>
          <w:sz w:val="24"/>
          <w:szCs w:val="24"/>
        </w:rPr>
      </w:pPr>
    </w:p>
    <w:p w14:paraId="355AE01A" w14:textId="77777777" w:rsidR="001972ED" w:rsidRPr="00501C4C" w:rsidRDefault="001972ED" w:rsidP="001972ED">
      <w:pPr>
        <w:rPr>
          <w:b/>
          <w:bCs/>
          <w:sz w:val="24"/>
          <w:szCs w:val="24"/>
        </w:rPr>
      </w:pPr>
      <w:r w:rsidRPr="00501C4C">
        <w:rPr>
          <w:b/>
          <w:bCs/>
          <w:sz w:val="24"/>
          <w:szCs w:val="24"/>
        </w:rPr>
        <w:t>Supplementary Fig. 4</w:t>
      </w:r>
    </w:p>
    <w:p w14:paraId="7A54176A" w14:textId="77777777" w:rsidR="001972ED" w:rsidRPr="00501C4C" w:rsidRDefault="001972ED" w:rsidP="001972ED">
      <w:pPr>
        <w:rPr>
          <w:b/>
          <w:bCs/>
          <w:sz w:val="24"/>
          <w:szCs w:val="24"/>
        </w:rPr>
      </w:pPr>
      <w:r w:rsidRPr="00501C4C">
        <w:rPr>
          <w:sz w:val="24"/>
          <w:szCs w:val="24"/>
        </w:rPr>
        <w:t>Heatmap drawn using the top 10 DEGs between seven distinct SF subsets.</w:t>
      </w:r>
    </w:p>
    <w:p w14:paraId="071332C6" w14:textId="77777777" w:rsidR="001972ED" w:rsidRPr="00501C4C" w:rsidRDefault="001972ED" w:rsidP="001972ED">
      <w:pPr>
        <w:rPr>
          <w:b/>
          <w:bCs/>
          <w:sz w:val="24"/>
          <w:szCs w:val="24"/>
        </w:rPr>
      </w:pPr>
    </w:p>
    <w:p w14:paraId="068F93C0" w14:textId="77777777" w:rsidR="001972ED" w:rsidRPr="00501C4C" w:rsidRDefault="001972ED" w:rsidP="001972ED">
      <w:pPr>
        <w:rPr>
          <w:b/>
          <w:bCs/>
          <w:sz w:val="24"/>
          <w:szCs w:val="24"/>
        </w:rPr>
      </w:pPr>
      <w:r w:rsidRPr="00501C4C">
        <w:rPr>
          <w:b/>
          <w:bCs/>
          <w:sz w:val="24"/>
          <w:szCs w:val="24"/>
        </w:rPr>
        <w:t>Supplementary Fig. 5</w:t>
      </w:r>
    </w:p>
    <w:p w14:paraId="4D23DA9B" w14:textId="77777777" w:rsidR="001972ED" w:rsidRPr="00501C4C" w:rsidRDefault="001972ED" w:rsidP="001972ED">
      <w:pPr>
        <w:rPr>
          <w:sz w:val="24"/>
          <w:szCs w:val="24"/>
        </w:rPr>
      </w:pPr>
      <w:r w:rsidRPr="00501C4C">
        <w:rPr>
          <w:sz w:val="24"/>
          <w:szCs w:val="24"/>
        </w:rPr>
        <w:lastRenderedPageBreak/>
        <w:t xml:space="preserve">Signaling networks among all cell types. </w:t>
      </w:r>
      <w:r w:rsidRPr="00501C4C">
        <w:rPr>
          <w:b/>
          <w:bCs/>
          <w:sz w:val="24"/>
          <w:szCs w:val="24"/>
        </w:rPr>
        <w:t>A</w:t>
      </w:r>
      <w:r w:rsidRPr="00501C4C">
        <w:rPr>
          <w:sz w:val="24"/>
          <w:szCs w:val="24"/>
        </w:rPr>
        <w:t xml:space="preserve"> Circle plot showing total signaling networks among all cell types in each condition. </w:t>
      </w:r>
      <w:r w:rsidRPr="00501C4C">
        <w:rPr>
          <w:b/>
          <w:bCs/>
          <w:sz w:val="24"/>
          <w:szCs w:val="24"/>
        </w:rPr>
        <w:t>B</w:t>
      </w:r>
      <w:r w:rsidRPr="00501C4C">
        <w:rPr>
          <w:sz w:val="24"/>
          <w:szCs w:val="24"/>
        </w:rPr>
        <w:t xml:space="preserve"> Number of inferred interactions and interaction strength in each condition.</w:t>
      </w:r>
    </w:p>
    <w:p w14:paraId="73864C70" w14:textId="77777777" w:rsidR="001972ED" w:rsidRPr="00501C4C" w:rsidRDefault="001972ED" w:rsidP="001972ED">
      <w:pPr>
        <w:rPr>
          <w:sz w:val="24"/>
          <w:szCs w:val="24"/>
        </w:rPr>
      </w:pPr>
    </w:p>
    <w:p w14:paraId="022F669E" w14:textId="77777777" w:rsidR="001972ED" w:rsidRPr="00501C4C" w:rsidRDefault="001972ED" w:rsidP="001972ED">
      <w:pPr>
        <w:rPr>
          <w:b/>
          <w:bCs/>
          <w:sz w:val="24"/>
          <w:szCs w:val="24"/>
        </w:rPr>
      </w:pPr>
      <w:r w:rsidRPr="00501C4C">
        <w:rPr>
          <w:b/>
          <w:bCs/>
          <w:sz w:val="24"/>
          <w:szCs w:val="24"/>
        </w:rPr>
        <w:t>Supplementary Fig. 6</w:t>
      </w:r>
    </w:p>
    <w:p w14:paraId="6F806DAC" w14:textId="77777777" w:rsidR="001972ED" w:rsidRPr="00501C4C" w:rsidRDefault="001972ED" w:rsidP="001972ED">
      <w:pPr>
        <w:rPr>
          <w:sz w:val="24"/>
          <w:szCs w:val="24"/>
        </w:rPr>
      </w:pPr>
      <w:r w:rsidRPr="00501C4C">
        <w:rPr>
          <w:sz w:val="24"/>
          <w:szCs w:val="24"/>
        </w:rPr>
        <w:t>Signaling network between Mki67</w:t>
      </w:r>
      <w:r w:rsidRPr="00501C4C">
        <w:rPr>
          <w:sz w:val="24"/>
          <w:szCs w:val="24"/>
          <w:vertAlign w:val="superscript"/>
        </w:rPr>
        <w:t>+</w:t>
      </w:r>
      <w:r w:rsidRPr="00501C4C">
        <w:rPr>
          <w:sz w:val="24"/>
          <w:szCs w:val="24"/>
        </w:rPr>
        <w:t xml:space="preserve"> SF, Tnn</w:t>
      </w:r>
      <w:r w:rsidRPr="00501C4C">
        <w:rPr>
          <w:sz w:val="24"/>
          <w:szCs w:val="24"/>
          <w:vertAlign w:val="superscript"/>
        </w:rPr>
        <w:t>high</w:t>
      </w:r>
      <w:r w:rsidRPr="00501C4C">
        <w:rPr>
          <w:sz w:val="24"/>
          <w:szCs w:val="24"/>
        </w:rPr>
        <w:t xml:space="preserve"> SF, and Prg4</w:t>
      </w:r>
      <w:r w:rsidRPr="00501C4C">
        <w:rPr>
          <w:sz w:val="24"/>
          <w:szCs w:val="24"/>
          <w:vertAlign w:val="superscript"/>
        </w:rPr>
        <w:t>high</w:t>
      </w:r>
      <w:r w:rsidRPr="00501C4C">
        <w:rPr>
          <w:sz w:val="24"/>
          <w:szCs w:val="24"/>
        </w:rPr>
        <w:t xml:space="preserve"> SF and macrophages. </w:t>
      </w:r>
      <w:r w:rsidRPr="00501C4C">
        <w:rPr>
          <w:b/>
          <w:bCs/>
          <w:sz w:val="24"/>
          <w:szCs w:val="24"/>
        </w:rPr>
        <w:t>A</w:t>
      </w:r>
      <w:r w:rsidRPr="00501C4C">
        <w:rPr>
          <w:sz w:val="24"/>
          <w:szCs w:val="24"/>
        </w:rPr>
        <w:t xml:space="preserve"> </w:t>
      </w:r>
      <w:r w:rsidRPr="00501C4C">
        <w:rPr>
          <w:rStyle w:val="Emphasis"/>
          <w:sz w:val="24"/>
          <w:szCs w:val="24"/>
        </w:rPr>
        <w:t>Chord</w:t>
      </w:r>
      <w:r w:rsidRPr="00501C4C">
        <w:rPr>
          <w:sz w:val="24"/>
          <w:szCs w:val="24"/>
        </w:rPr>
        <w:t xml:space="preserve"> diagram showing signaling from macrophages to Mki67</w:t>
      </w:r>
      <w:r w:rsidRPr="00501C4C">
        <w:rPr>
          <w:sz w:val="24"/>
          <w:szCs w:val="24"/>
          <w:vertAlign w:val="superscript"/>
        </w:rPr>
        <w:t>+</w:t>
      </w:r>
      <w:r w:rsidRPr="00501C4C">
        <w:rPr>
          <w:sz w:val="24"/>
          <w:szCs w:val="24"/>
        </w:rPr>
        <w:t xml:space="preserve"> SF, Tnn</w:t>
      </w:r>
      <w:r w:rsidRPr="00501C4C">
        <w:rPr>
          <w:sz w:val="24"/>
          <w:szCs w:val="24"/>
          <w:vertAlign w:val="superscript"/>
        </w:rPr>
        <w:t>high</w:t>
      </w:r>
      <w:r w:rsidRPr="00501C4C">
        <w:rPr>
          <w:sz w:val="24"/>
          <w:szCs w:val="24"/>
        </w:rPr>
        <w:t xml:space="preserve"> SF, and Prg4</w:t>
      </w:r>
      <w:r w:rsidRPr="00501C4C">
        <w:rPr>
          <w:sz w:val="24"/>
          <w:szCs w:val="24"/>
          <w:vertAlign w:val="superscript"/>
        </w:rPr>
        <w:t>high</w:t>
      </w:r>
      <w:r w:rsidRPr="00501C4C">
        <w:rPr>
          <w:sz w:val="24"/>
          <w:szCs w:val="24"/>
        </w:rPr>
        <w:t xml:space="preserve"> SF in each condition. </w:t>
      </w:r>
      <w:r w:rsidRPr="00501C4C">
        <w:rPr>
          <w:b/>
          <w:bCs/>
          <w:sz w:val="24"/>
          <w:szCs w:val="24"/>
        </w:rPr>
        <w:t>B</w:t>
      </w:r>
      <w:r w:rsidRPr="00501C4C">
        <w:rPr>
          <w:sz w:val="24"/>
          <w:szCs w:val="24"/>
        </w:rPr>
        <w:t xml:space="preserve"> </w:t>
      </w:r>
      <w:r w:rsidRPr="00501C4C">
        <w:rPr>
          <w:rStyle w:val="Emphasis"/>
          <w:sz w:val="24"/>
          <w:szCs w:val="24"/>
        </w:rPr>
        <w:t>Chord</w:t>
      </w:r>
      <w:r w:rsidRPr="00501C4C">
        <w:rPr>
          <w:sz w:val="24"/>
          <w:szCs w:val="24"/>
        </w:rPr>
        <w:t xml:space="preserve"> diagram showing signaling from Mki67</w:t>
      </w:r>
      <w:r w:rsidRPr="00501C4C">
        <w:rPr>
          <w:sz w:val="24"/>
          <w:szCs w:val="24"/>
          <w:vertAlign w:val="superscript"/>
        </w:rPr>
        <w:t>+</w:t>
      </w:r>
      <w:r w:rsidRPr="00501C4C">
        <w:rPr>
          <w:sz w:val="24"/>
          <w:szCs w:val="24"/>
        </w:rPr>
        <w:t xml:space="preserve"> SF, Tnn</w:t>
      </w:r>
      <w:r w:rsidRPr="00501C4C">
        <w:rPr>
          <w:sz w:val="24"/>
          <w:szCs w:val="24"/>
          <w:vertAlign w:val="superscript"/>
        </w:rPr>
        <w:t>high</w:t>
      </w:r>
      <w:r w:rsidRPr="00501C4C">
        <w:rPr>
          <w:sz w:val="24"/>
          <w:szCs w:val="24"/>
        </w:rPr>
        <w:t xml:space="preserve"> SF, and Prg4</w:t>
      </w:r>
      <w:r w:rsidRPr="00501C4C">
        <w:rPr>
          <w:sz w:val="24"/>
          <w:szCs w:val="24"/>
          <w:vertAlign w:val="superscript"/>
        </w:rPr>
        <w:t>high</w:t>
      </w:r>
      <w:r w:rsidRPr="00501C4C">
        <w:rPr>
          <w:sz w:val="24"/>
          <w:szCs w:val="24"/>
        </w:rPr>
        <w:t xml:space="preserve"> SF to macrophages in each condition.</w:t>
      </w:r>
    </w:p>
    <w:p w14:paraId="2CFC5B1F" w14:textId="77777777" w:rsidR="001972ED" w:rsidRPr="00501C4C" w:rsidRDefault="001972ED" w:rsidP="001972ED">
      <w:pPr>
        <w:rPr>
          <w:sz w:val="24"/>
          <w:szCs w:val="24"/>
        </w:rPr>
      </w:pPr>
    </w:p>
    <w:p w14:paraId="68407393" w14:textId="77777777" w:rsidR="001972ED" w:rsidRPr="00501C4C" w:rsidRDefault="001972ED" w:rsidP="001972ED">
      <w:pPr>
        <w:rPr>
          <w:b/>
          <w:bCs/>
          <w:sz w:val="24"/>
          <w:szCs w:val="24"/>
        </w:rPr>
      </w:pPr>
      <w:r w:rsidRPr="00501C4C">
        <w:rPr>
          <w:b/>
          <w:bCs/>
          <w:sz w:val="24"/>
          <w:szCs w:val="24"/>
        </w:rPr>
        <w:t>Supplementary table</w:t>
      </w:r>
    </w:p>
    <w:p w14:paraId="0B9EBAE7" w14:textId="77777777" w:rsidR="001972ED" w:rsidRPr="00501C4C" w:rsidRDefault="001972ED" w:rsidP="001972ED">
      <w:pPr>
        <w:rPr>
          <w:sz w:val="24"/>
          <w:szCs w:val="24"/>
        </w:rPr>
      </w:pPr>
      <w:r w:rsidRPr="00501C4C">
        <w:rPr>
          <w:sz w:val="24"/>
          <w:szCs w:val="24"/>
        </w:rPr>
        <w:t>List of all differentially expressed genes between the control and clodronate groups for each SF subset.</w:t>
      </w:r>
    </w:p>
    <w:p w14:paraId="6374E3FE" w14:textId="77777777" w:rsidR="001972ED" w:rsidRPr="00501C4C" w:rsidRDefault="001972ED" w:rsidP="001972ED">
      <w:pPr>
        <w:rPr>
          <w:sz w:val="24"/>
          <w:szCs w:val="24"/>
        </w:rPr>
      </w:pPr>
    </w:p>
    <w:p w14:paraId="4BD627E8" w14:textId="77777777" w:rsidR="00755780" w:rsidRDefault="00755780"/>
    <w:sectPr w:rsidR="00755780" w:rsidSect="001972ED">
      <w:footerReference w:type="default" r:id="rId4"/>
      <w:pgSz w:w="11906" w:h="16838" w:code="9"/>
      <w:pgMar w:top="1985" w:right="1701" w:bottom="1701" w:left="1701" w:header="851" w:footer="737" w:gutter="0"/>
      <w:lnNumType w:countBy="1" w:restart="continuous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688399240"/>
      <w:docPartObj>
        <w:docPartGallery w:val="Page Numbers (Bottom of Page)"/>
        <w:docPartUnique/>
      </w:docPartObj>
    </w:sdtPr>
    <w:sdtContent>
      <w:p w14:paraId="165B6A55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 xml:space="preserve">PAGE   \* </w:instrText>
        </w:r>
        <w:r>
          <w:instrText>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4C0AF74D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72ED"/>
    <w:rsid w:val="001972ED"/>
    <w:rsid w:val="00331A6B"/>
    <w:rsid w:val="00755780"/>
    <w:rsid w:val="00857596"/>
    <w:rsid w:val="00E37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08C46D"/>
  <w15:chartTrackingRefBased/>
  <w15:docId w15:val="{5322D21B-C0A8-41B1-8D46-691A16CD2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72ED"/>
    <w:pPr>
      <w:spacing w:after="0" w:line="480" w:lineRule="auto"/>
      <w:jc w:val="both"/>
    </w:pPr>
    <w:rPr>
      <w:rFonts w:ascii="Century" w:eastAsiaTheme="minorEastAsia" w:hAnsi="Century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1972ED"/>
    <w:pPr>
      <w:keepNext/>
      <w:keepLines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72ED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72ED"/>
    <w:pPr>
      <w:keepNext/>
      <w:keepLines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72ED"/>
    <w:pPr>
      <w:keepNext/>
      <w:keepLines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72ED"/>
    <w:pPr>
      <w:keepNext/>
      <w:keepLines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72ED"/>
    <w:pPr>
      <w:keepNext/>
      <w:keepLines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72ED"/>
    <w:pPr>
      <w:keepNext/>
      <w:keepLines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72ED"/>
    <w:pPr>
      <w:keepNext/>
      <w:keepLines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72ED"/>
    <w:pPr>
      <w:keepNext/>
      <w:keepLines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72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72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72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72E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72E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72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72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72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72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72ED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1972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72ED"/>
    <w:pPr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1972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72ED"/>
    <w:pPr>
      <w:spacing w:before="160" w:after="160" w:line="259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1972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72ED"/>
    <w:pPr>
      <w:spacing w:after="160" w:line="259" w:lineRule="auto"/>
      <w:ind w:left="720"/>
      <w:contextualSpacing/>
      <w:jc w:val="left"/>
    </w:pPr>
    <w:rPr>
      <w:rFonts w:asciiTheme="minorHAnsi" w:eastAsiaTheme="minorHAnsi" w:hAnsiTheme="minorHAnsi"/>
      <w:lang w:eastAsia="en-US"/>
    </w:rPr>
  </w:style>
  <w:style w:type="character" w:styleId="IntenseEmphasis">
    <w:name w:val="Intense Emphasis"/>
    <w:basedOn w:val="DefaultParagraphFont"/>
    <w:uiPriority w:val="21"/>
    <w:qFormat/>
    <w:rsid w:val="001972E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72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72E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72ED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1972ED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1972ED"/>
    <w:rPr>
      <w:rFonts w:ascii="Century" w:eastAsiaTheme="minorEastAsia" w:hAnsi="Century"/>
      <w:lang w:eastAsia="ja-JP"/>
    </w:rPr>
  </w:style>
  <w:style w:type="character" w:styleId="Emphasis">
    <w:name w:val="Emphasis"/>
    <w:basedOn w:val="DefaultParagraphFont"/>
    <w:uiPriority w:val="20"/>
    <w:qFormat/>
    <w:rsid w:val="001972ED"/>
    <w:rPr>
      <w:i/>
      <w:iCs/>
    </w:rPr>
  </w:style>
  <w:style w:type="character" w:styleId="LineNumber">
    <w:name w:val="line number"/>
    <w:basedOn w:val="DefaultParagraphFont"/>
    <w:uiPriority w:val="99"/>
    <w:semiHidden/>
    <w:unhideWhenUsed/>
    <w:rsid w:val="001972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197</Words>
  <Characters>1128</Characters>
  <Application>Microsoft Office Word</Application>
  <DocSecurity>0</DocSecurity>
  <Lines>9</Lines>
  <Paragraphs>2</Paragraphs>
  <ScaleCrop>false</ScaleCrop>
  <Company>Springer Nature</Company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2024-07-03T09:10:00Z</dcterms:created>
  <dcterms:modified xsi:type="dcterms:W3CDTF">2024-07-03T09:10:00Z</dcterms:modified>
</cp:coreProperties>
</file>