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</w:pPr>
      <w:r>
        <w:drawing>
          <wp:inline distT="0" distB="0" distL="114300" distR="114300">
            <wp:extent cx="5272405" cy="4871085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87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Figure 1.</w:t>
      </w:r>
      <w:r>
        <w:rPr>
          <w:rFonts w:hint="default" w:ascii="Times New Roman" w:hAnsi="Times New Roman" w:cs="Times New Roman"/>
          <w:sz w:val="24"/>
          <w:szCs w:val="32"/>
        </w:rPr>
        <w:t>The technical route of this study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.</w:t>
      </w:r>
    </w:p>
    <w:p>
      <w:pPr>
        <w:jc w:val="center"/>
      </w:pPr>
    </w:p>
    <w:p>
      <w:pPr>
        <w:jc w:val="center"/>
      </w:pPr>
      <w:r>
        <w:drawing>
          <wp:inline distT="0" distB="0" distL="114300" distR="114300">
            <wp:extent cx="6597015" cy="3531870"/>
            <wp:effectExtent l="0" t="0" r="381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97015" cy="353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 xml:space="preserve">Supplementary Figure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32"/>
        </w:rPr>
        <w:t>. Establishment of a blood concentration assay for venetoclax.</w:t>
      </w:r>
    </w:p>
    <w:p>
      <w:pPr>
        <w:numPr>
          <w:ilvl w:val="0"/>
          <w:numId w:val="1"/>
        </w:numPr>
        <w:spacing w:line="360" w:lineRule="auto"/>
        <w:jc w:val="center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>Isotope internal standard chromatogram (B)Venetoclax chromatogram(C) Calibration curve for venetoclax.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Supplementary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bidi="ar"/>
        </w:rPr>
        <w:t>Influences of triazoles on the VEN C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vertAlign w:val="subscript"/>
          <w:lang w:val="en-US" w:eastAsia="zh-CN" w:bidi="ar"/>
        </w:rPr>
        <w:t>0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 xml:space="preserve"> and C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vertAlign w:val="subscript"/>
          <w:lang w:val="en-US" w:eastAsia="zh-CN" w:bidi="ar"/>
        </w:rPr>
        <w:t>6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 xml:space="preserve"> in all patients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5"/>
        <w:gridCol w:w="1690"/>
        <w:gridCol w:w="2200"/>
        <w:gridCol w:w="1840"/>
        <w:gridCol w:w="1730"/>
        <w:gridCol w:w="1830"/>
        <w:gridCol w:w="181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065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Grouping in all patients</w:t>
            </w:r>
          </w:p>
        </w:tc>
        <w:tc>
          <w:tcPr>
            <w:tcW w:w="1690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vertAlign w:val="subscript"/>
              </w:rPr>
              <w:t>0</w:t>
            </w:r>
          </w:p>
        </w:tc>
        <w:tc>
          <w:tcPr>
            <w:tcW w:w="2200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Fold Change</w:t>
            </w:r>
          </w:p>
        </w:tc>
        <w:tc>
          <w:tcPr>
            <w:tcW w:w="1840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p value</w:t>
            </w:r>
          </w:p>
        </w:tc>
        <w:tc>
          <w:tcPr>
            <w:tcW w:w="1730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vertAlign w:val="subscript"/>
              </w:rPr>
              <w:t>6</w:t>
            </w:r>
          </w:p>
        </w:tc>
        <w:tc>
          <w:tcPr>
            <w:tcW w:w="1830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Fold Change</w:t>
            </w:r>
          </w:p>
        </w:tc>
        <w:tc>
          <w:tcPr>
            <w:tcW w:w="1819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5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VEN</w:t>
            </w:r>
          </w:p>
        </w:tc>
        <w:tc>
          <w:tcPr>
            <w:tcW w:w="1690" w:type="dxa"/>
            <w:tcBorders>
              <w:top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0.725±0.573</w:t>
            </w:r>
          </w:p>
        </w:tc>
        <w:tc>
          <w:tcPr>
            <w:tcW w:w="2200" w:type="dxa"/>
            <w:tcBorders>
              <w:top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0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0" w:type="dxa"/>
            <w:tcBorders>
              <w:top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2.149±1.251</w:t>
            </w:r>
          </w:p>
        </w:tc>
        <w:tc>
          <w:tcPr>
            <w:tcW w:w="1830" w:type="dxa"/>
            <w:tcBorders>
              <w:top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5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VEN+triazoles</w:t>
            </w:r>
          </w:p>
        </w:tc>
        <w:tc>
          <w:tcPr>
            <w:tcW w:w="169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1.953±1.340</w:t>
            </w:r>
          </w:p>
        </w:tc>
        <w:tc>
          <w:tcPr>
            <w:tcW w:w="220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2.69</w:t>
            </w:r>
          </w:p>
        </w:tc>
        <w:tc>
          <w:tcPr>
            <w:tcW w:w="184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1.40E-05</w:t>
            </w:r>
          </w:p>
        </w:tc>
        <w:tc>
          <w:tcPr>
            <w:tcW w:w="173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3.037±2.423</w:t>
            </w:r>
          </w:p>
        </w:tc>
        <w:tc>
          <w:tcPr>
            <w:tcW w:w="183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1.41</w:t>
            </w:r>
          </w:p>
        </w:tc>
        <w:tc>
          <w:tcPr>
            <w:tcW w:w="1819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5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VEN+VCZ</w:t>
            </w:r>
          </w:p>
        </w:tc>
        <w:tc>
          <w:tcPr>
            <w:tcW w:w="169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1.905±1.334</w:t>
            </w:r>
          </w:p>
        </w:tc>
        <w:tc>
          <w:tcPr>
            <w:tcW w:w="220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2.63</w:t>
            </w:r>
          </w:p>
        </w:tc>
        <w:tc>
          <w:tcPr>
            <w:tcW w:w="184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2.27E-04</w:t>
            </w:r>
          </w:p>
        </w:tc>
        <w:tc>
          <w:tcPr>
            <w:tcW w:w="173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2.586±1.721</w:t>
            </w:r>
          </w:p>
        </w:tc>
        <w:tc>
          <w:tcPr>
            <w:tcW w:w="183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1.20</w:t>
            </w:r>
          </w:p>
        </w:tc>
        <w:tc>
          <w:tcPr>
            <w:tcW w:w="1819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0.194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5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VEN+PCZ</w:t>
            </w:r>
          </w:p>
        </w:tc>
        <w:tc>
          <w:tcPr>
            <w:tcW w:w="169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2.103±1.438</w:t>
            </w:r>
          </w:p>
        </w:tc>
        <w:tc>
          <w:tcPr>
            <w:tcW w:w="220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2.90</w:t>
            </w:r>
          </w:p>
        </w:tc>
        <w:tc>
          <w:tcPr>
            <w:tcW w:w="184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0.03</w:t>
            </w:r>
          </w:p>
        </w:tc>
        <w:tc>
          <w:tcPr>
            <w:tcW w:w="173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4.313±3.567</w:t>
            </w:r>
          </w:p>
        </w:tc>
        <w:tc>
          <w:tcPr>
            <w:tcW w:w="183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2.01</w:t>
            </w:r>
          </w:p>
        </w:tc>
        <w:tc>
          <w:tcPr>
            <w:tcW w:w="1819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0.061</w:t>
            </w: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Supplementary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bidi="ar"/>
        </w:rPr>
        <w:t>Influences of triazoles on the VEN C/D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 xml:space="preserve"> in all patients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5"/>
        <w:gridCol w:w="1690"/>
        <w:gridCol w:w="2200"/>
        <w:gridCol w:w="1840"/>
        <w:gridCol w:w="1730"/>
        <w:gridCol w:w="1830"/>
        <w:gridCol w:w="181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065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Grouping in all patients</w:t>
            </w:r>
          </w:p>
        </w:tc>
        <w:tc>
          <w:tcPr>
            <w:tcW w:w="1690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vertAlign w:val="subscript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/D</w:t>
            </w:r>
          </w:p>
        </w:tc>
        <w:tc>
          <w:tcPr>
            <w:tcW w:w="2200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Fold Change</w:t>
            </w:r>
          </w:p>
        </w:tc>
        <w:tc>
          <w:tcPr>
            <w:tcW w:w="1840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p value</w:t>
            </w:r>
          </w:p>
        </w:tc>
        <w:tc>
          <w:tcPr>
            <w:tcW w:w="1730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vertAlign w:val="subscript"/>
              </w:rPr>
              <w:t>6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/D</w:t>
            </w:r>
          </w:p>
        </w:tc>
        <w:tc>
          <w:tcPr>
            <w:tcW w:w="1830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Fold Change</w:t>
            </w:r>
          </w:p>
        </w:tc>
        <w:tc>
          <w:tcPr>
            <w:tcW w:w="1819" w:type="dxa"/>
            <w:tcBorders>
              <w:bottom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5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VEN</w:t>
            </w:r>
          </w:p>
        </w:tc>
        <w:tc>
          <w:tcPr>
            <w:tcW w:w="1690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0.105±0.085</w:t>
            </w:r>
          </w:p>
        </w:tc>
        <w:tc>
          <w:tcPr>
            <w:tcW w:w="2200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0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30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0.319±0.196</w:t>
            </w:r>
          </w:p>
        </w:tc>
        <w:tc>
          <w:tcPr>
            <w:tcW w:w="1830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19" w:type="dxa"/>
            <w:tcBorders>
              <w:top w:val="single" w:color="auto" w:sz="4" w:space="0"/>
            </w:tcBorders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5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VEN+triazoles</w:t>
            </w:r>
          </w:p>
        </w:tc>
        <w:tc>
          <w:tcPr>
            <w:tcW w:w="1690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0.859±0.616</w:t>
            </w:r>
          </w:p>
        </w:tc>
        <w:tc>
          <w:tcPr>
            <w:tcW w:w="220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8.18</w:t>
            </w:r>
          </w:p>
        </w:tc>
        <w:tc>
          <w:tcPr>
            <w:tcW w:w="184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0.034</w:t>
            </w:r>
          </w:p>
        </w:tc>
        <w:tc>
          <w:tcPr>
            <w:tcW w:w="1730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1.238±0.932</w:t>
            </w:r>
          </w:p>
        </w:tc>
        <w:tc>
          <w:tcPr>
            <w:tcW w:w="183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3.88</w:t>
            </w:r>
          </w:p>
        </w:tc>
        <w:tc>
          <w:tcPr>
            <w:tcW w:w="1819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3.39E-05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5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VEN+VCZ</w:t>
            </w:r>
          </w:p>
        </w:tc>
        <w:tc>
          <w:tcPr>
            <w:tcW w:w="1690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0.854±0.551</w:t>
            </w:r>
          </w:p>
        </w:tc>
        <w:tc>
          <w:tcPr>
            <w:tcW w:w="220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8.13</w:t>
            </w:r>
          </w:p>
        </w:tc>
        <w:tc>
          <w:tcPr>
            <w:tcW w:w="184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4.80E-07</w:t>
            </w:r>
          </w:p>
        </w:tc>
        <w:tc>
          <w:tcPr>
            <w:tcW w:w="1730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1.171±0.840</w:t>
            </w:r>
          </w:p>
        </w:tc>
        <w:tc>
          <w:tcPr>
            <w:tcW w:w="183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3.67</w:t>
            </w:r>
          </w:p>
        </w:tc>
        <w:tc>
          <w:tcPr>
            <w:tcW w:w="1819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6.00E-06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5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VEN+PCZ</w:t>
            </w:r>
          </w:p>
        </w:tc>
        <w:tc>
          <w:tcPr>
            <w:tcW w:w="1690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0.877±0.833</w:t>
            </w:r>
          </w:p>
        </w:tc>
        <w:tc>
          <w:tcPr>
            <w:tcW w:w="220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8.35</w:t>
            </w:r>
          </w:p>
        </w:tc>
        <w:tc>
          <w:tcPr>
            <w:tcW w:w="184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5.57E-08</w:t>
            </w:r>
          </w:p>
        </w:tc>
        <w:tc>
          <w:tcPr>
            <w:tcW w:w="1730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1.602±1.097</w:t>
            </w:r>
          </w:p>
        </w:tc>
        <w:tc>
          <w:tcPr>
            <w:tcW w:w="1830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5.02</w:t>
            </w:r>
          </w:p>
        </w:tc>
        <w:tc>
          <w:tcPr>
            <w:tcW w:w="1819" w:type="dxa"/>
            <w:vAlign w:val="top"/>
          </w:tcPr>
          <w:p>
            <w:pPr>
              <w:spacing w:beforeLines="0" w:afterLines="0"/>
              <w:jc w:val="right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0.002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Supplementary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bidi="ar"/>
        </w:rPr>
        <w:t>Influences of triazoles on the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bidi="ar"/>
        </w:rPr>
        <w:t>VEN C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vertAlign w:val="subscript"/>
          <w:lang w:bidi="ar"/>
        </w:rPr>
        <w:t>0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bidi="ar"/>
        </w:rPr>
        <w:t xml:space="preserve"> and C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vertAlign w:val="subscript"/>
          <w:lang w:bidi="ar"/>
        </w:rPr>
        <w:t>6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 xml:space="preserve"> in patients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bidi="ar"/>
        </w:rPr>
        <w:t xml:space="preserve"> with VA-based chemotherapy regimens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5"/>
        <w:gridCol w:w="1870"/>
        <w:gridCol w:w="1780"/>
        <w:gridCol w:w="1490"/>
        <w:gridCol w:w="1640"/>
        <w:gridCol w:w="1750"/>
        <w:gridCol w:w="13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Grouping in patients with VA-based chemotherapy regimens</w:t>
            </w:r>
          </w:p>
        </w:tc>
        <w:tc>
          <w:tcPr>
            <w:tcW w:w="187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bscript"/>
                <w:lang w:val="en-US" w:eastAsia="zh-CN" w:bidi="ar"/>
              </w:rPr>
              <w:t>0</w:t>
            </w:r>
          </w:p>
        </w:tc>
        <w:tc>
          <w:tcPr>
            <w:tcW w:w="178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Fold Change</w:t>
            </w:r>
          </w:p>
        </w:tc>
        <w:tc>
          <w:tcPr>
            <w:tcW w:w="149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 value</w:t>
            </w:r>
          </w:p>
        </w:tc>
        <w:tc>
          <w:tcPr>
            <w:tcW w:w="164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bscript"/>
                <w:lang w:val="en-US" w:eastAsia="zh-CN" w:bidi="ar"/>
              </w:rPr>
              <w:t>6</w:t>
            </w:r>
          </w:p>
        </w:tc>
        <w:tc>
          <w:tcPr>
            <w:tcW w:w="175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Fold Change</w:t>
            </w:r>
          </w:p>
        </w:tc>
        <w:tc>
          <w:tcPr>
            <w:tcW w:w="139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</w:t>
            </w:r>
          </w:p>
        </w:tc>
        <w:tc>
          <w:tcPr>
            <w:tcW w:w="1870" w:type="dxa"/>
            <w:tcBorders>
              <w:top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0.801±0.605</w:t>
            </w:r>
          </w:p>
        </w:tc>
        <w:tc>
          <w:tcPr>
            <w:tcW w:w="1780" w:type="dxa"/>
            <w:tcBorders>
              <w:top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90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640" w:type="dxa"/>
            <w:tcBorders>
              <w:top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2.373±1.373</w:t>
            </w:r>
          </w:p>
        </w:tc>
        <w:tc>
          <w:tcPr>
            <w:tcW w:w="1750" w:type="dxa"/>
            <w:tcBorders>
              <w:top w:val="single" w:color="auto" w:sz="4" w:space="0"/>
            </w:tcBorders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99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VEN+triazoles</w:t>
            </w:r>
          </w:p>
        </w:tc>
        <w:tc>
          <w:tcPr>
            <w:tcW w:w="187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1.846±1.153</w:t>
            </w:r>
          </w:p>
        </w:tc>
        <w:tc>
          <w:tcPr>
            <w:tcW w:w="178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2.30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2.86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E-0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4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3.316±2.652</w:t>
            </w:r>
          </w:p>
        </w:tc>
        <w:tc>
          <w:tcPr>
            <w:tcW w:w="175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1.40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0.086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VEN+VCZ</w:t>
            </w:r>
          </w:p>
        </w:tc>
        <w:tc>
          <w:tcPr>
            <w:tcW w:w="187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1.768±1.637</w:t>
            </w:r>
          </w:p>
        </w:tc>
        <w:tc>
          <w:tcPr>
            <w:tcW w:w="178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2.21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3.86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E-0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4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2.942±1.766</w:t>
            </w:r>
          </w:p>
        </w:tc>
        <w:tc>
          <w:tcPr>
            <w:tcW w:w="175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1.24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0.207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VEN+PCZ</w:t>
            </w:r>
          </w:p>
        </w:tc>
        <w:tc>
          <w:tcPr>
            <w:tcW w:w="187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1.866±1.055</w:t>
            </w:r>
          </w:p>
        </w:tc>
        <w:tc>
          <w:tcPr>
            <w:tcW w:w="178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2.33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.259</w:t>
            </w:r>
          </w:p>
        </w:tc>
        <w:tc>
          <w:tcPr>
            <w:tcW w:w="164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4.271±4.154</w:t>
            </w:r>
          </w:p>
        </w:tc>
        <w:tc>
          <w:tcPr>
            <w:tcW w:w="175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1.80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213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Supplementary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Table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4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bidi="ar"/>
        </w:rPr>
        <w:t>Influences of triazoles on the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val="none"/>
          <w:lang w:bidi="ar"/>
        </w:rPr>
        <w:t>VEN C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vertAlign w:val="baseline"/>
          <w:lang w:val="en-US" w:eastAsia="zh-CN" w:bidi="ar"/>
        </w:rPr>
        <w:t>/D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val="en-US" w:eastAsia="zh-CN" w:bidi="ar"/>
        </w:rPr>
        <w:t xml:space="preserve"> in patients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u w:val="none"/>
          <w:lang w:bidi="ar"/>
        </w:rPr>
        <w:t xml:space="preserve"> with VA-based chemotherapy regimens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5"/>
        <w:gridCol w:w="1870"/>
        <w:gridCol w:w="1780"/>
        <w:gridCol w:w="1490"/>
        <w:gridCol w:w="1640"/>
        <w:gridCol w:w="1750"/>
        <w:gridCol w:w="13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u w:val="none"/>
                <w:lang w:bidi="ar"/>
              </w:rPr>
              <w:t>VA-based chemotherapy group</w:t>
            </w:r>
          </w:p>
        </w:tc>
        <w:tc>
          <w:tcPr>
            <w:tcW w:w="187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bscript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/D</w:t>
            </w:r>
          </w:p>
        </w:tc>
        <w:tc>
          <w:tcPr>
            <w:tcW w:w="178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Fold Change</w:t>
            </w:r>
          </w:p>
        </w:tc>
        <w:tc>
          <w:tcPr>
            <w:tcW w:w="149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 value</w:t>
            </w:r>
          </w:p>
        </w:tc>
        <w:tc>
          <w:tcPr>
            <w:tcW w:w="164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bscript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/D</w:t>
            </w:r>
          </w:p>
        </w:tc>
        <w:tc>
          <w:tcPr>
            <w:tcW w:w="175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Fold Change</w:t>
            </w:r>
          </w:p>
        </w:tc>
        <w:tc>
          <w:tcPr>
            <w:tcW w:w="139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</w:t>
            </w:r>
          </w:p>
        </w:tc>
        <w:tc>
          <w:tcPr>
            <w:tcW w:w="187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0.122±0.096</w:t>
            </w:r>
          </w:p>
        </w:tc>
        <w:tc>
          <w:tcPr>
            <w:tcW w:w="178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90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64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0.368±0.215</w:t>
            </w:r>
          </w:p>
        </w:tc>
        <w:tc>
          <w:tcPr>
            <w:tcW w:w="17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99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VEN+triazoles</w:t>
            </w:r>
          </w:p>
        </w:tc>
        <w:tc>
          <w:tcPr>
            <w:tcW w:w="1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0.835±0.550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6.84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1.00E-06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1.325±0.848</w:t>
            </w:r>
          </w:p>
        </w:tc>
        <w:tc>
          <w:tcPr>
            <w:tcW w:w="1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3.6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5.00E-07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VEN+VCZ</w:t>
            </w:r>
          </w:p>
        </w:tc>
        <w:tc>
          <w:tcPr>
            <w:tcW w:w="1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0.944±0.557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7.74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2.00E-0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1.365±0.856</w:t>
            </w:r>
          </w:p>
        </w:tc>
        <w:tc>
          <w:tcPr>
            <w:tcW w:w="1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3.71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1.40E-05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VEN+PCZ</w:t>
            </w:r>
          </w:p>
        </w:tc>
        <w:tc>
          <w:tcPr>
            <w:tcW w:w="1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0.398±0.207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3.26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0.039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1.221±0.870</w:t>
            </w:r>
          </w:p>
        </w:tc>
        <w:tc>
          <w:tcPr>
            <w:tcW w:w="1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3.32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0.019</w:t>
            </w:r>
          </w:p>
        </w:tc>
      </w:tr>
    </w:tbl>
    <w:p>
      <w:pPr>
        <w:jc w:val="center"/>
        <w:rPr>
          <w:rFonts w:hint="default" w:ascii="Times New Roman" w:hAnsi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/>
          <w:sz w:val="28"/>
          <w:szCs w:val="36"/>
          <w:lang w:val="en-US" w:eastAsia="zh-CN"/>
        </w:rPr>
        <w:t>Supplementary</w:t>
      </w:r>
      <w:r>
        <w:rPr>
          <w:rFonts w:hint="eastAsia" w:ascii="Times New Roman" w:hAnsi="Times New Roman"/>
          <w:sz w:val="28"/>
          <w:szCs w:val="36"/>
          <w:lang w:val="en-US" w:eastAsia="zh-CN"/>
        </w:rPr>
        <w:t xml:space="preserve"> </w:t>
      </w:r>
      <w:r>
        <w:rPr>
          <w:rFonts w:hint="default" w:ascii="Times New Roman" w:hAnsi="Times New Roman"/>
          <w:sz w:val="28"/>
          <w:szCs w:val="36"/>
          <w:lang w:val="en-US" w:eastAsia="zh-CN"/>
        </w:rPr>
        <w:t xml:space="preserve">Table </w:t>
      </w:r>
      <w:r>
        <w:rPr>
          <w:rFonts w:hint="eastAsia" w:ascii="Times New Roman" w:hAnsi="Times New Roman"/>
          <w:sz w:val="28"/>
          <w:szCs w:val="36"/>
          <w:lang w:val="en-US" w:eastAsia="zh-CN"/>
        </w:rPr>
        <w:t xml:space="preserve">5. </w:t>
      </w:r>
      <w:r>
        <w:rPr>
          <w:rFonts w:hint="default" w:ascii="Times New Roman" w:hAnsi="Times New Roman"/>
          <w:sz w:val="28"/>
          <w:szCs w:val="36"/>
          <w:lang w:val="en-US" w:eastAsia="zh-CN"/>
        </w:rPr>
        <w:t xml:space="preserve">Distribution of each gene in </w:t>
      </w:r>
      <w:r>
        <w:rPr>
          <w:rFonts w:hint="eastAsia" w:ascii="Times New Roman" w:hAnsi="Times New Roman"/>
          <w:sz w:val="28"/>
          <w:szCs w:val="36"/>
          <w:lang w:val="en-US" w:eastAsia="zh-CN"/>
        </w:rPr>
        <w:t>54</w:t>
      </w:r>
      <w:r>
        <w:rPr>
          <w:rFonts w:hint="default" w:ascii="Times New Roman" w:hAnsi="Times New Roman"/>
          <w:sz w:val="28"/>
          <w:szCs w:val="36"/>
          <w:lang w:val="en-US" w:eastAsia="zh-CN"/>
        </w:rPr>
        <w:t xml:space="preserve"> newly diagnosed leukemia patients</w:t>
      </w:r>
    </w:p>
    <w:tbl>
      <w:tblPr>
        <w:tblStyle w:val="3"/>
        <w:tblpPr w:leftFromText="180" w:rightFromText="180" w:vertAnchor="text" w:horzAnchor="page" w:tblpX="2520" w:tblpY="25"/>
        <w:tblOverlap w:val="never"/>
        <w:tblW w:w="122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676"/>
        <w:gridCol w:w="1785"/>
        <w:gridCol w:w="3036"/>
        <w:gridCol w:w="1539"/>
        <w:gridCol w:w="1216"/>
        <w:gridCol w:w="16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Gene</w:t>
            </w:r>
          </w:p>
        </w:tc>
        <w:tc>
          <w:tcPr>
            <w:tcW w:w="16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SNPs</w:t>
            </w:r>
          </w:p>
        </w:tc>
        <w:tc>
          <w:tcPr>
            <w:tcW w:w="17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Genotype(n)</w:t>
            </w:r>
          </w:p>
        </w:tc>
        <w:tc>
          <w:tcPr>
            <w:tcW w:w="3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VEN+Triazoles group</w:t>
            </w: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 group</w:t>
            </w:r>
          </w:p>
        </w:tc>
        <w:tc>
          <w:tcPr>
            <w:tcW w:w="12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ALL</w:t>
            </w:r>
          </w:p>
        </w:tc>
        <w:tc>
          <w:tcPr>
            <w:tcW w:w="16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HWE*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CYP3A5 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rs776746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AA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AG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GG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CYP3A4 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rs4646437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GG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GA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ABCB1 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rs1045642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CC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CT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TT</w:t>
            </w:r>
          </w:p>
        </w:tc>
        <w:tc>
          <w:tcPr>
            <w:tcW w:w="30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25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Abbreviations: SNPs, 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ingle nucleotide polymorphisms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; VEN, venetoclax; ;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HWE*,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Hardy-Weinberg equilibrium p-value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jc w:val="center"/>
        <w:rPr>
          <w:rFonts w:hint="default" w:ascii="Times New Roman" w:hAnsi="Times New Roman"/>
          <w:sz w:val="28"/>
          <w:szCs w:val="36"/>
          <w:lang w:val="en-US" w:eastAsia="zh-CN"/>
        </w:rPr>
      </w:pPr>
    </w:p>
    <w:p>
      <w:pPr>
        <w:jc w:val="center"/>
        <w:rPr>
          <w:rFonts w:hint="default" w:ascii="Times New Roman" w:hAnsi="Times New Roman"/>
          <w:sz w:val="28"/>
          <w:szCs w:val="36"/>
          <w:lang w:val="en-US" w:eastAsia="zh-CN"/>
        </w:rPr>
      </w:pPr>
    </w:p>
    <w:p>
      <w:pPr>
        <w:jc w:val="center"/>
        <w:rPr>
          <w:rFonts w:hint="default" w:ascii="Times New Roman" w:hAnsi="Times New Roman"/>
          <w:sz w:val="28"/>
          <w:szCs w:val="36"/>
          <w:lang w:val="en-US" w:eastAsia="zh-CN"/>
        </w:rPr>
      </w:pPr>
    </w:p>
    <w:p>
      <w:pPr>
        <w:jc w:val="center"/>
        <w:rPr>
          <w:rFonts w:hint="default" w:ascii="Times New Roman" w:hAnsi="Times New Roman"/>
          <w:sz w:val="28"/>
          <w:szCs w:val="36"/>
          <w:lang w:val="en-US" w:eastAsia="zh-CN"/>
        </w:rPr>
      </w:pPr>
    </w:p>
    <w:p>
      <w:pPr>
        <w:jc w:val="center"/>
        <w:rPr>
          <w:rFonts w:hint="default" w:ascii="Times New Roman" w:hAnsi="Times New Roman"/>
          <w:sz w:val="28"/>
          <w:szCs w:val="36"/>
          <w:lang w:val="en-US" w:eastAsia="zh-CN"/>
        </w:rPr>
      </w:pPr>
    </w:p>
    <w:p>
      <w:pPr>
        <w:jc w:val="both"/>
        <w:rPr>
          <w:rFonts w:hint="default" w:ascii="Times New Roman" w:hAnsi="Times New Roman"/>
          <w:sz w:val="28"/>
          <w:szCs w:val="36"/>
          <w:lang w:val="en-US" w:eastAsia="zh-CN"/>
        </w:rPr>
      </w:pPr>
    </w:p>
    <w:p>
      <w:pPr>
        <w:jc w:val="both"/>
        <w:rPr>
          <w:rFonts w:hint="default" w:ascii="Times New Roman" w:hAnsi="Times New Roman"/>
          <w:sz w:val="28"/>
          <w:szCs w:val="36"/>
          <w:lang w:val="en-US" w:eastAsia="zh-CN"/>
        </w:rPr>
      </w:pPr>
    </w:p>
    <w:p>
      <w:pPr>
        <w:jc w:val="both"/>
        <w:rPr>
          <w:rFonts w:hint="default" w:ascii="Times New Roman" w:hAnsi="Times New Roman"/>
          <w:sz w:val="28"/>
          <w:szCs w:val="36"/>
          <w:lang w:val="en-US" w:eastAsia="zh-CN"/>
        </w:rPr>
      </w:pPr>
    </w:p>
    <w:p>
      <w:pPr>
        <w:jc w:val="both"/>
        <w:rPr>
          <w:rFonts w:hint="default" w:ascii="Times New Roman" w:hAnsi="Times New Roman"/>
          <w:sz w:val="28"/>
          <w:szCs w:val="36"/>
          <w:lang w:val="en-US" w:eastAsia="zh-CN"/>
        </w:rPr>
      </w:pPr>
    </w:p>
    <w:p>
      <w:pPr>
        <w:jc w:val="both"/>
        <w:rPr>
          <w:rFonts w:hint="default" w:ascii="Times New Roman" w:hAnsi="Times New Roman"/>
          <w:sz w:val="28"/>
          <w:szCs w:val="36"/>
          <w:lang w:val="en-US" w:eastAsia="zh-CN"/>
        </w:rPr>
      </w:pPr>
    </w:p>
    <w:p>
      <w:pPr>
        <w:jc w:val="center"/>
        <w:rPr>
          <w:rFonts w:hint="default" w:ascii="Times New Roman" w:hAnsi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/>
          <w:sz w:val="28"/>
          <w:szCs w:val="36"/>
          <w:lang w:val="en-US" w:eastAsia="zh-CN"/>
        </w:rPr>
        <w:t>Supplementary</w:t>
      </w:r>
      <w:r>
        <w:rPr>
          <w:rFonts w:hint="eastAsia" w:ascii="Times New Roman" w:hAnsi="Times New Roman"/>
          <w:sz w:val="28"/>
          <w:szCs w:val="36"/>
          <w:lang w:val="en-US" w:eastAsia="zh-CN"/>
        </w:rPr>
        <w:t xml:space="preserve"> </w:t>
      </w:r>
      <w:r>
        <w:rPr>
          <w:rFonts w:hint="default" w:ascii="Times New Roman" w:hAnsi="Times New Roman"/>
          <w:sz w:val="28"/>
          <w:szCs w:val="36"/>
          <w:lang w:val="en-US" w:eastAsia="zh-CN"/>
        </w:rPr>
        <w:t>Table</w:t>
      </w:r>
      <w:r>
        <w:rPr>
          <w:rFonts w:hint="eastAsia" w:ascii="Times New Roman" w:hAnsi="Times New Roman"/>
          <w:sz w:val="28"/>
          <w:szCs w:val="36"/>
          <w:lang w:val="en-US" w:eastAsia="zh-CN"/>
        </w:rPr>
        <w:t xml:space="preserve"> 6. </w:t>
      </w:r>
      <w:r>
        <w:rPr>
          <w:rFonts w:hint="default" w:ascii="Times New Roman" w:hAnsi="Times New Roman"/>
          <w:sz w:val="28"/>
          <w:szCs w:val="36"/>
          <w:lang w:val="en-US" w:eastAsia="zh-CN"/>
        </w:rPr>
        <w:t xml:space="preserve">Distribution of each gene in </w:t>
      </w:r>
      <w:r>
        <w:rPr>
          <w:rFonts w:hint="eastAsia" w:ascii="Times New Roman" w:hAnsi="Times New Roman"/>
          <w:sz w:val="28"/>
          <w:szCs w:val="36"/>
          <w:lang w:val="en-US" w:eastAsia="zh-CN"/>
        </w:rPr>
        <w:t>38</w:t>
      </w:r>
      <w:r>
        <w:rPr>
          <w:rFonts w:hint="default" w:ascii="Times New Roman" w:hAnsi="Times New Roman"/>
          <w:sz w:val="28"/>
          <w:szCs w:val="36"/>
          <w:lang w:val="en-US" w:eastAsia="zh-CN"/>
        </w:rPr>
        <w:t xml:space="preserve"> patients</w:t>
      </w:r>
      <w:r>
        <w:rPr>
          <w:rFonts w:hint="eastAsia" w:ascii="Times New Roman" w:hAnsi="Times New Roman"/>
          <w:sz w:val="28"/>
          <w:szCs w:val="36"/>
          <w:lang w:val="en-US" w:eastAsia="zh-CN"/>
        </w:rPr>
        <w:t xml:space="preserve"> </w:t>
      </w:r>
      <w:r>
        <w:rPr>
          <w:rFonts w:hint="default" w:ascii="Times New Roman" w:hAnsi="Times New Roman"/>
          <w:sz w:val="28"/>
          <w:szCs w:val="36"/>
          <w:lang w:val="en-US" w:eastAsia="zh-CN"/>
        </w:rPr>
        <w:t>with VA-based chemotherapy regi</w:t>
      </w:r>
      <w:bookmarkStart w:id="0" w:name="_GoBack"/>
      <w:bookmarkEnd w:id="0"/>
      <w:r>
        <w:rPr>
          <w:rFonts w:hint="default" w:ascii="Times New Roman" w:hAnsi="Times New Roman"/>
          <w:sz w:val="28"/>
          <w:szCs w:val="36"/>
          <w:lang w:val="en-US" w:eastAsia="zh-CN"/>
        </w:rPr>
        <w:t>mens</w:t>
      </w:r>
    </w:p>
    <w:tbl>
      <w:tblPr>
        <w:tblStyle w:val="3"/>
        <w:tblpPr w:leftFromText="180" w:rightFromText="180" w:vertAnchor="text" w:horzAnchor="page" w:tblpX="2520" w:tblpY="55"/>
        <w:tblOverlap w:val="never"/>
        <w:tblW w:w="122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676"/>
        <w:gridCol w:w="1785"/>
        <w:gridCol w:w="3036"/>
        <w:gridCol w:w="1539"/>
        <w:gridCol w:w="1216"/>
        <w:gridCol w:w="16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Gene</w:t>
            </w:r>
          </w:p>
        </w:tc>
        <w:tc>
          <w:tcPr>
            <w:tcW w:w="16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SNPs</w:t>
            </w:r>
          </w:p>
        </w:tc>
        <w:tc>
          <w:tcPr>
            <w:tcW w:w="17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Genotype(n)</w:t>
            </w:r>
          </w:p>
        </w:tc>
        <w:tc>
          <w:tcPr>
            <w:tcW w:w="30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VEN+Triazoles group</w:t>
            </w: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VEN group</w:t>
            </w:r>
          </w:p>
        </w:tc>
        <w:tc>
          <w:tcPr>
            <w:tcW w:w="12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ALL</w:t>
            </w:r>
          </w:p>
        </w:tc>
        <w:tc>
          <w:tcPr>
            <w:tcW w:w="16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HWE*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CYP3A5 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rs776746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AA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AG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GG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CYP3A4 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rs4646437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GG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GA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ABCB1 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rs1045642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CC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CT</w:t>
            </w:r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TT</w:t>
            </w:r>
          </w:p>
        </w:tc>
        <w:tc>
          <w:tcPr>
            <w:tcW w:w="30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25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Abbreviations: SNPs, 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ingle nucleotide polymorphisms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; VEN, venetoclax;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HWE*,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Hardy-Weinberg equilibrium p-value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VA-based chemotherapy, venetoclax+azacitadine based chemotherapy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158632"/>
    <w:multiLevelType w:val="singleLevel"/>
    <w:tmpl w:val="95158632"/>
    <w:lvl w:ilvl="0" w:tentative="0">
      <w:start w:val="1"/>
      <w:numFmt w:val="upperLetter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YTk2NWU3OTRhNTU0YjZlNWE0ODExMjY4YzM0MTgifQ=="/>
  </w:docVars>
  <w:rsids>
    <w:rsidRoot w:val="633D0E75"/>
    <w:rsid w:val="1ADF7769"/>
    <w:rsid w:val="1CA613B3"/>
    <w:rsid w:val="28955DE3"/>
    <w:rsid w:val="57FA15C4"/>
    <w:rsid w:val="604A02F4"/>
    <w:rsid w:val="633D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355</Words>
  <Characters>1959</Characters>
  <Lines>0</Lines>
  <Paragraphs>0</Paragraphs>
  <TotalTime>1</TotalTime>
  <ScaleCrop>false</ScaleCrop>
  <LinksUpToDate>false</LinksUpToDate>
  <CharactersWithSpaces>2117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2024-06-02T06:22:00Z</dcterms:created>
  <dc:creator>薇</dc:creator>
  <cp:lastModifiedBy>李月</cp:lastModifiedBy>
  <dcterms:modified xsi:type="dcterms:W3CDTF">2024-06-09T14:25:56Z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FE3D0E49668A4E7C9A11BC0BDF88C46F_11</vt:lpwstr>
  </property>
</Properties>
</file>