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  <w:r>
        <w:rPr>
          <w:rFonts w:hint="eastAsia"/>
          <w:lang w:val="en-US" w:eastAsia="zh-CN"/>
        </w:rPr>
        <w:t>Attached T</w:t>
      </w:r>
      <w:r>
        <w:rPr>
          <w:rFonts w:hint="eastAsia"/>
        </w:rPr>
        <w:t xml:space="preserve">able 1  </w:t>
      </w:r>
      <w:r>
        <w:t>Social demography characteristic of steel workers</w:t>
      </w:r>
      <w:r>
        <w:rPr>
          <w:rFonts w:hint="eastAsia"/>
        </w:rPr>
        <w:t xml:space="preserve"> [</w:t>
      </w:r>
      <w:r>
        <w:rPr>
          <w:rFonts w:hint="eastAsia"/>
          <w:i/>
          <w:iCs/>
        </w:rPr>
        <w:t>samples</w:t>
      </w:r>
      <w:r>
        <w:rPr>
          <w:rFonts w:hint="eastAsia"/>
        </w:rPr>
        <w:t>(%)]</w:t>
      </w:r>
    </w:p>
    <w:tbl>
      <w:tblPr>
        <w:tblStyle w:val="2"/>
        <w:tblW w:w="4998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197"/>
        <w:gridCol w:w="1258"/>
        <w:gridCol w:w="1328"/>
        <w:gridCol w:w="921"/>
        <w:gridCol w:w="84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Variable</w:t>
            </w:r>
          </w:p>
        </w:tc>
        <w:tc>
          <w:tcPr>
            <w:tcW w:w="1067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  <w:lang w:bidi="ar"/>
              </w:rPr>
              <w:t>T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otal participants (</w:t>
            </w: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n</w:t>
            </w:r>
            <w:r>
              <w:rPr>
                <w:color w:val="000000"/>
                <w:sz w:val="18"/>
                <w:szCs w:val="18"/>
                <w:lang w:bidi="ar"/>
              </w:rPr>
              <w:t>=6816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Male(</w:t>
            </w: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n</w:t>
            </w:r>
            <w:r>
              <w:rPr>
                <w:color w:val="000000"/>
                <w:sz w:val="18"/>
                <w:szCs w:val="18"/>
                <w:lang w:bidi="ar"/>
              </w:rPr>
              <w:t>=6236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Female(</w:t>
            </w: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n</w:t>
            </w:r>
            <w:r>
              <w:rPr>
                <w:color w:val="000000"/>
                <w:sz w:val="18"/>
                <w:szCs w:val="18"/>
                <w:lang w:bidi="ar"/>
              </w:rPr>
              <w:t>=580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χ</w:t>
            </w:r>
            <w:r>
              <w:rPr>
                <w:color w:val="000000"/>
                <w:sz w:val="18"/>
                <w:szCs w:val="18"/>
                <w:lang w:bidi="ar"/>
              </w:rPr>
              <w:t>²</w:t>
            </w:r>
          </w:p>
        </w:tc>
        <w:tc>
          <w:tcPr>
            <w:tcW w:w="505" w:type="pct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cs="宋体"/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  <w:lang w:bidi="ar"/>
              </w:rPr>
              <w:t>A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ge(y)</w:t>
            </w:r>
          </w:p>
        </w:tc>
        <w:tc>
          <w:tcPr>
            <w:tcW w:w="1067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258.136</w:t>
            </w:r>
          </w:p>
        </w:tc>
        <w:tc>
          <w:tcPr>
            <w:tcW w:w="505" w:type="pct"/>
            <w:tcBorders>
              <w:top w:val="single" w:color="auto" w:sz="4" w:space="0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20~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624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9.2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610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9.8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14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2.4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30~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1915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28.1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1770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28.4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145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25.0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40~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2765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40.6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2365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37.9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400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69.0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≥50</w:t>
            </w:r>
          </w:p>
        </w:tc>
        <w:tc>
          <w:tcPr>
            <w:tcW w:w="1067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1512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22.2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1491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23.9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3.6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bottom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tcBorders>
              <w:top w:val="nil"/>
            </w:tcBorders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cs="宋体"/>
                <w:color w:val="000000"/>
                <w:sz w:val="18"/>
                <w:szCs w:val="18"/>
                <w:lang w:bidi="ar"/>
              </w:rPr>
              <w:t>E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ducation level</w:t>
            </w:r>
          </w:p>
        </w:tc>
        <w:tc>
          <w:tcPr>
            <w:tcW w:w="1067" w:type="pct"/>
            <w:tcBorders>
              <w:top w:val="nil"/>
            </w:tcBorders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818" w:type="pct"/>
            <w:tcBorders>
              <w:top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4.58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0</w:t>
            </w:r>
          </w:p>
        </w:tc>
        <w:tc>
          <w:tcPr>
            <w:tcW w:w="505" w:type="pct"/>
            <w:tcBorders>
              <w:top w:val="nil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0.101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Junior high or below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1697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24.9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1571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25.2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126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21.7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Senior high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3472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50.9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3154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50.6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318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54.8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Undergraduate or above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1647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24.2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1511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24.2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136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23.4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Marriage status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21.205</w:t>
            </w: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Unmarried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293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sz w:val="18"/>
                <w:szCs w:val="18"/>
                <w:lang w:bidi="ar"/>
              </w:rPr>
              <w:t>(4.3)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283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4.5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10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1.7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Married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6326(92.8)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5786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92.8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540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93.1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Other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197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sz w:val="18"/>
                <w:szCs w:val="18"/>
                <w:lang w:bidi="ar"/>
              </w:rPr>
              <w:t>(2.9)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167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2.7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</w:t>
            </w:r>
            <w:r>
              <w:rPr>
                <w:rFonts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5.2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rFonts w:hint="eastAsia" w:cs="宋体"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 xml:space="preserve">Family average monthly </w:t>
            </w:r>
          </w:p>
          <w:p>
            <w:pPr>
              <w:widowControl/>
              <w:ind w:firstLine="0" w:firstLineChars="0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income(￥)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35.713</w:t>
            </w: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&lt;1500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2210(32.4)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2086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33.5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124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21.4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1500~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2808(41.2)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2536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40.7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272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46.9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1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≥2500</w:t>
            </w:r>
          </w:p>
        </w:tc>
        <w:tc>
          <w:tcPr>
            <w:tcW w:w="1067" w:type="pct"/>
            <w:noWrap/>
            <w:vAlign w:val="center"/>
          </w:tcPr>
          <w:p>
            <w:pPr>
              <w:widowControl/>
              <w:ind w:right="360" w:rightChars="1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1798(26.4)</w:t>
            </w:r>
          </w:p>
        </w:tc>
        <w:tc>
          <w:tcPr>
            <w:tcW w:w="818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1614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25.9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769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184</w:t>
            </w:r>
            <w:r>
              <w:rPr>
                <w:rFonts w:hint="eastAsia" w:cs="宋体"/>
                <w:sz w:val="18"/>
                <w:szCs w:val="18"/>
                <w:lang w:bidi="ar"/>
              </w:rPr>
              <w:t>(</w:t>
            </w:r>
            <w:r>
              <w:rPr>
                <w:sz w:val="18"/>
                <w:szCs w:val="18"/>
                <w:lang w:bidi="ar"/>
              </w:rPr>
              <w:t>31.7</w:t>
            </w:r>
            <w:r>
              <w:rPr>
                <w:rFonts w:hint="eastAsia" w:cs="宋体"/>
                <w:sz w:val="18"/>
                <w:szCs w:val="18"/>
                <w:lang w:bidi="ar"/>
              </w:rPr>
              <w:t>)</w:t>
            </w:r>
          </w:p>
        </w:tc>
        <w:tc>
          <w:tcPr>
            <w:tcW w:w="530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rPr>
                <w:color w:val="000000"/>
                <w:sz w:val="18"/>
                <w:szCs w:val="18"/>
              </w:rPr>
            </w:pPr>
          </w:p>
        </w:tc>
      </w:tr>
    </w:tbl>
    <w:p>
      <w:pPr>
        <w:pStyle w:val="4"/>
        <w:rPr>
          <w:rFonts w:hint="eastAsia"/>
        </w:rPr>
      </w:pPr>
      <w:r>
        <w:rPr>
          <w:rFonts w:hint="eastAsia"/>
          <w:lang w:val="en-US" w:eastAsia="zh-CN"/>
        </w:rPr>
        <w:t>Attached Table 2</w:t>
      </w:r>
      <w:bookmarkStart w:id="0" w:name="_GoBack"/>
      <w:bookmarkEnd w:id="0"/>
      <w:r>
        <w:rPr>
          <w:rFonts w:hint="eastAsia"/>
        </w:rPr>
        <w:t xml:space="preserve">  Relationship between i</w:t>
      </w:r>
      <w:r>
        <w:t xml:space="preserve">nteraction effect </w:t>
      </w:r>
      <w:r>
        <w:rPr>
          <w:rFonts w:hint="eastAsia"/>
        </w:rPr>
        <w:t xml:space="preserve">of </w:t>
      </w:r>
      <w:r>
        <w:t>occupational hazardous factors and the abnormality of BMD for steel workers</w:t>
      </w:r>
    </w:p>
    <w:tbl>
      <w:tblPr>
        <w:tblStyle w:val="2"/>
        <w:tblW w:w="6000" w:type="pct"/>
        <w:jc w:val="center"/>
        <w:tblBorders>
          <w:top w:val="single" w:color="000000" w:sz="8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5"/>
        <w:gridCol w:w="3684"/>
        <w:gridCol w:w="606"/>
        <w:gridCol w:w="1649"/>
        <w:gridCol w:w="1879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O</w:t>
            </w:r>
            <w:r>
              <w:rPr>
                <w:rFonts w:cs="宋体"/>
                <w:color w:val="000000"/>
                <w:sz w:val="18"/>
                <w:szCs w:val="18"/>
                <w:lang w:bidi="ar"/>
              </w:rPr>
              <w:t>ccupational hazardous factors</w:t>
            </w:r>
          </w:p>
        </w:tc>
        <w:tc>
          <w:tcPr>
            <w:tcW w:w="1502" w:type="pct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O</w:t>
            </w:r>
            <w:r>
              <w:rPr>
                <w:rFonts w:cs="宋体"/>
                <w:color w:val="000000"/>
                <w:sz w:val="18"/>
                <w:szCs w:val="18"/>
                <w:lang w:bidi="ar"/>
              </w:rPr>
              <w:t>ccupational hazardous factors</w:t>
            </w:r>
          </w:p>
        </w:tc>
        <w:tc>
          <w:tcPr>
            <w:tcW w:w="336" w:type="pct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  <w:lang w:bidi="ar"/>
              </w:rPr>
              <w:t>n</w:t>
            </w:r>
          </w:p>
        </w:tc>
        <w:tc>
          <w:tcPr>
            <w:tcW w:w="1049" w:type="pct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OR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sz w:val="18"/>
                <w:szCs w:val="18"/>
                <w:lang w:bidi="ar"/>
              </w:rPr>
              <w:t xml:space="preserve">95% </w:t>
            </w: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CI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)</w:t>
            </w:r>
          </w:p>
        </w:tc>
        <w:tc>
          <w:tcPr>
            <w:tcW w:w="462" w:type="pct"/>
            <w:tcBorders>
              <w:bottom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cs="宋体"/>
                <w:color w:val="000000"/>
                <w:sz w:val="18"/>
                <w:szCs w:val="18"/>
                <w:vertAlign w:val="subscript"/>
                <w:lang w:bidi="ar"/>
              </w:rPr>
              <w:t>multiplicational interaction</w:t>
            </w:r>
            <w:r>
              <w:rPr>
                <w:rFonts w:hint="eastAsia" w:cs="宋体"/>
                <w:color w:val="000000"/>
                <w:sz w:val="18"/>
                <w:szCs w:val="18"/>
                <w:vertAlign w:val="subscript"/>
                <w:lang w:bidi="ar"/>
              </w:rPr>
              <w:t xml:space="preserve"> effect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Accumulated exposed amount of noise(</w:t>
            </w:r>
            <w:r>
              <w:rPr>
                <w:color w:val="000000"/>
                <w:sz w:val="18"/>
                <w:szCs w:val="18"/>
                <w:lang w:bidi="ar"/>
              </w:rPr>
              <w:t>dB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sz w:val="18"/>
                <w:szCs w:val="18"/>
                <w:lang w:bidi="ar"/>
              </w:rPr>
              <w:t>A</w:t>
            </w:r>
            <w:r>
              <w:rPr>
                <w:rFonts w:hint="eastAsia"/>
                <w:color w:val="000000"/>
                <w:sz w:val="18"/>
                <w:szCs w:val="18"/>
                <w:lang w:bidi="ar"/>
              </w:rPr>
              <w:t>)</w:t>
            </w:r>
            <w:r>
              <w:rPr>
                <w:color w:val="000000"/>
                <w:sz w:val="18"/>
                <w:szCs w:val="18"/>
                <w:lang w:bidi="ar"/>
              </w:rPr>
              <w:t>·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y)</w:t>
            </w:r>
          </w:p>
        </w:tc>
        <w:tc>
          <w:tcPr>
            <w:tcW w:w="1502" w:type="pc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Accumulated exposed amount of dust(</w:t>
            </w:r>
            <w:r>
              <w:rPr>
                <w:color w:val="000000"/>
                <w:sz w:val="18"/>
                <w:szCs w:val="18"/>
                <w:lang w:bidi="ar"/>
              </w:rPr>
              <w:t>mg/m</w:t>
            </w:r>
            <w:r>
              <w:rPr>
                <w:color w:val="00000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color w:val="000000"/>
                <w:sz w:val="18"/>
                <w:szCs w:val="18"/>
                <w:lang w:bidi="ar"/>
              </w:rPr>
              <w:t>·</w:t>
            </w:r>
            <w:r>
              <w:rPr>
                <w:rFonts w:hint="eastAsia" w:cs="宋体"/>
                <w:color w:val="000000"/>
                <w:sz w:val="18"/>
                <w:szCs w:val="18"/>
                <w:lang w:bidi="ar"/>
              </w:rPr>
              <w:t>y)</w:t>
            </w:r>
          </w:p>
        </w:tc>
        <w:tc>
          <w:tcPr>
            <w:tcW w:w="336" w:type="pc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rPr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003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574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1.000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</w:t>
            </w:r>
            <w:r>
              <w:rPr>
                <w:rFonts w:hint="eastAsia"/>
                <w:sz w:val="18"/>
                <w:szCs w:val="18"/>
                <w:lang w:bidi="ar"/>
              </w:rPr>
              <w:t>90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0.841(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568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1.247)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21.21~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0.671(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397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1.134)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30.42~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sz w:val="18"/>
                <w:szCs w:val="18"/>
                <w:lang w:bidi="ar"/>
              </w:rPr>
              <w:t>75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0.834(0.562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1.240)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≥40.17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459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1.010(</w:t>
            </w:r>
            <w:r>
              <w:rPr>
                <w:sz w:val="18"/>
                <w:szCs w:val="18"/>
                <w:lang w:bidi="ar"/>
              </w:rPr>
              <w:t>0</w:t>
            </w:r>
            <w:r>
              <w:rPr>
                <w:rFonts w:hint="eastAsia"/>
                <w:sz w:val="18"/>
                <w:szCs w:val="18"/>
                <w:lang w:bidi="ar"/>
              </w:rPr>
              <w:t>.752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1.356)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1.000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457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</w:t>
            </w:r>
            <w:r>
              <w:rPr>
                <w:rFonts w:hint="eastAsia"/>
                <w:sz w:val="18"/>
                <w:szCs w:val="18"/>
                <w:lang w:bidi="ar"/>
              </w:rPr>
              <w:t>708(1.010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2.889)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21.21~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299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</w:t>
            </w:r>
            <w:r>
              <w:rPr>
                <w:rFonts w:hint="eastAsia"/>
                <w:sz w:val="18"/>
                <w:szCs w:val="18"/>
                <w:lang w:bidi="ar"/>
              </w:rPr>
              <w:t>795(1.010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3.191)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30.42~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1.626(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858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3.082)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≥40.17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2.806(1.340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5.875)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934.92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1.000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934.92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1.249(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581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2.683)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934.92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21.21~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412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1.435(0.678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3.035)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934.92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30.42~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336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1.804(0.843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3.861)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 934.92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≥40.17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2.350(1.049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5.264)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1296.73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1.000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1296.73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0.826(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460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1.481)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1296.73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21.21~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364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1.186(0.698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2.018)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1296.73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30.42~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402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1.192(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697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2.039)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widowControl/>
              <w:ind w:right="1080" w:rightChars="4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     1296.73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≥40.17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1.498(0.833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2.693)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1707.47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0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  <w:lang w:bidi="ar"/>
              </w:rPr>
              <w:t>1.000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1707.47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1.00</w:t>
            </w:r>
            <w:r>
              <w:rPr>
                <w:sz w:val="18"/>
                <w:szCs w:val="18"/>
                <w:lang w:bidi="ar"/>
              </w:rPr>
              <w:t>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1.609(0.911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2.843)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1707.47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21.21~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sz w:val="18"/>
                <w:szCs w:val="18"/>
                <w:lang w:bidi="ar"/>
              </w:rPr>
              <w:t>77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  <w:lang w:bidi="ar"/>
              </w:rPr>
            </w:pPr>
            <w:r>
              <w:rPr>
                <w:sz w:val="18"/>
                <w:szCs w:val="18"/>
                <w:lang w:bidi="ar"/>
              </w:rPr>
              <w:t>1.</w:t>
            </w:r>
            <w:r>
              <w:rPr>
                <w:rFonts w:hint="eastAsia"/>
                <w:sz w:val="18"/>
                <w:szCs w:val="18"/>
                <w:lang w:bidi="ar"/>
              </w:rPr>
              <w:t>426(</w:t>
            </w:r>
            <w:r>
              <w:rPr>
                <w:sz w:val="18"/>
                <w:szCs w:val="18"/>
                <w:lang w:bidi="ar"/>
              </w:rPr>
              <w:t>0.</w:t>
            </w:r>
            <w:r>
              <w:rPr>
                <w:rFonts w:hint="eastAsia"/>
                <w:sz w:val="18"/>
                <w:szCs w:val="18"/>
                <w:lang w:bidi="ar"/>
              </w:rPr>
              <w:t>941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2.162)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1707.47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bidi="ar"/>
              </w:rPr>
              <w:t>30.42~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right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1.930(1.332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2.795)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48" w:type="pct"/>
            <w:noWrap/>
            <w:vAlign w:val="center"/>
          </w:tcPr>
          <w:p>
            <w:pPr>
              <w:pStyle w:val="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1707.47</w:t>
            </w:r>
          </w:p>
        </w:tc>
        <w:tc>
          <w:tcPr>
            <w:tcW w:w="1502" w:type="pct"/>
            <w:noWrap/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 xml:space="preserve">      </w:t>
            </w:r>
            <w:r>
              <w:rPr>
                <w:sz w:val="18"/>
                <w:szCs w:val="18"/>
                <w:lang w:bidi="ar"/>
              </w:rPr>
              <w:t>≥40.17</w:t>
            </w:r>
          </w:p>
        </w:tc>
        <w:tc>
          <w:tcPr>
            <w:tcW w:w="336" w:type="pct"/>
            <w:noWrap/>
            <w:vAlign w:val="center"/>
          </w:tcPr>
          <w:p>
            <w:pPr>
              <w:widowControl/>
              <w:ind w:right="120" w:rightChars="50" w:firstLine="0" w:firstLineChars="0"/>
              <w:jc w:val="center"/>
              <w:textAlignment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1049" w:type="pct"/>
            <w:noWrap/>
            <w:vAlign w:val="center"/>
          </w:tcPr>
          <w:p>
            <w:pPr>
              <w:widowControl/>
              <w:ind w:firstLine="0" w:firstLineChars="0"/>
              <w:jc w:val="right"/>
              <w:textAlignment w:val="center"/>
              <w:rPr>
                <w:rFonts w:hint="eastAsia"/>
                <w:sz w:val="18"/>
                <w:szCs w:val="18"/>
                <w:lang w:bidi="ar"/>
              </w:rPr>
            </w:pPr>
            <w:r>
              <w:rPr>
                <w:rFonts w:hint="eastAsia"/>
                <w:sz w:val="18"/>
                <w:szCs w:val="18"/>
                <w:lang w:bidi="ar"/>
              </w:rPr>
              <w:t>1.784(1.299</w:t>
            </w:r>
            <w:r>
              <w:rPr>
                <w:sz w:val="18"/>
                <w:szCs w:val="18"/>
                <w:lang w:bidi="ar"/>
              </w:rPr>
              <w:t>~</w:t>
            </w:r>
            <w:r>
              <w:rPr>
                <w:rFonts w:hint="eastAsia"/>
                <w:sz w:val="18"/>
                <w:szCs w:val="18"/>
                <w:lang w:bidi="ar"/>
              </w:rPr>
              <w:t>2.451)</w:t>
            </w:r>
          </w:p>
        </w:tc>
        <w:tc>
          <w:tcPr>
            <w:tcW w:w="462" w:type="pct"/>
            <w:noWrap/>
            <w:vAlign w:val="center"/>
          </w:tcPr>
          <w:p>
            <w:pPr>
              <w:widowControl/>
              <w:ind w:firstLine="0" w:firstLineChars="0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mNTU1MjQ3ZTFkZmRjYzE2MmM4NGE5MWIzYjRhOGMifQ=="/>
  </w:docVars>
  <w:rsids>
    <w:rsidRoot w:val="00000000"/>
    <w:rsid w:val="64C503BA"/>
    <w:rsid w:val="6961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图表标题"/>
    <w:basedOn w:val="1"/>
    <w:next w:val="1"/>
    <w:qFormat/>
    <w:uiPriority w:val="0"/>
    <w:pPr>
      <w:ind w:firstLine="0" w:firstLineChars="0"/>
      <w:jc w:val="center"/>
    </w:pPr>
    <w:rPr>
      <w:rFonts w:eastAsia="黑体"/>
      <w:sz w:val="21"/>
    </w:rPr>
  </w:style>
  <w:style w:type="paragraph" w:customStyle="1" w:styleId="5">
    <w:name w:val="图表文字"/>
    <w:basedOn w:val="1"/>
    <w:next w:val="1"/>
    <w:autoRedefine/>
    <w:qFormat/>
    <w:uiPriority w:val="0"/>
    <w:pPr>
      <w:snapToGrid w:val="0"/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2024-04-08T08:30:00Z</dcterms:created>
  <dc:creator>DELL</dc:creator>
  <cp:lastModifiedBy>阿汤哥丶</cp:lastModifiedBy>
  <dcterms:modified xsi:type="dcterms:W3CDTF">2024-04-08T09:15:43Z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244E9CFAAA0B4373AC50EBEF85AD7A5E_12</vt:lpwstr>
  </property>
</Properties>
</file>