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Table：ACR Scoring Chart</w:t>
      </w:r>
    </w:p>
    <w:p>
      <w:pPr>
        <w:rPr>
          <w:rFonts w:ascii="Times New Roman" w:hAnsi="Times New Roman" w:cs="Times New Roman"/>
          <w:b/>
          <w:bCs/>
        </w:rPr>
      </w:pPr>
    </w:p>
    <w:tbl>
      <w:tblPr>
        <w:tblStyle w:val="3"/>
        <w:tblW w:w="8657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1441"/>
        <w:gridCol w:w="1289"/>
        <w:gridCol w:w="1266"/>
        <w:gridCol w:w="1429"/>
        <w:gridCol w:w="230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28" w:type="dxa"/>
            <w:tcBorders>
              <w:bottom w:val="single" w:color="auto" w:sz="8" w:space="0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 w:ascii="Times New Roman" w:hAnsi="Times New Roman" w:cs="Times New Roman"/>
              </w:rPr>
              <w:t>Features</w:t>
            </w:r>
          </w:p>
        </w:tc>
        <w:tc>
          <w:tcPr>
            <w:tcW w:w="1441" w:type="dxa"/>
            <w:vMerge w:val="restar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Structure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(Select one)</w:t>
            </w:r>
          </w:p>
        </w:tc>
        <w:tc>
          <w:tcPr>
            <w:tcW w:w="1289" w:type="dxa"/>
            <w:vMerge w:val="restar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Echo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(Select one)</w:t>
            </w:r>
          </w:p>
        </w:tc>
        <w:tc>
          <w:tcPr>
            <w:tcW w:w="1266" w:type="dxa"/>
            <w:vMerge w:val="restar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Morphology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(Select one)</w:t>
            </w:r>
          </w:p>
        </w:tc>
        <w:tc>
          <w:tcPr>
            <w:tcW w:w="1429" w:type="dxa"/>
            <w:vMerge w:val="restar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Margin</w:t>
            </w:r>
          </w:p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(Select one)</w:t>
            </w:r>
          </w:p>
        </w:tc>
        <w:tc>
          <w:tcPr>
            <w:tcW w:w="2304" w:type="dxa"/>
            <w:vMerge w:val="restart"/>
          </w:tcPr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Local strong echo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28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 w:ascii="Times New Roman" w:hAnsi="Times New Roman" w:cs="Times New Roman"/>
              </w:rPr>
              <w:t>Score</w:t>
            </w:r>
          </w:p>
        </w:tc>
        <w:tc>
          <w:tcPr>
            <w:tcW w:w="1441" w:type="dxa"/>
            <w:vMerge w:val="continue"/>
            <w:tcBorders>
              <w:bottom w:val="single" w:color="auto" w:sz="8" w:space="0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1289" w:type="dxa"/>
            <w:vMerge w:val="continue"/>
            <w:tcBorders>
              <w:bottom w:val="single" w:color="auto" w:sz="8" w:space="0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1266" w:type="dxa"/>
            <w:vMerge w:val="continue"/>
            <w:tcBorders>
              <w:bottom w:val="single" w:color="auto" w:sz="8" w:space="0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1429" w:type="dxa"/>
            <w:vMerge w:val="continue"/>
            <w:tcBorders>
              <w:bottom w:val="single" w:color="auto" w:sz="8" w:space="0"/>
            </w:tcBorders>
          </w:tcPr>
          <w:p>
            <w:pPr>
              <w:rPr>
                <w:rFonts w:hint="eastAsia"/>
              </w:rPr>
            </w:pPr>
          </w:p>
        </w:tc>
        <w:tc>
          <w:tcPr>
            <w:tcW w:w="2304" w:type="dxa"/>
            <w:vMerge w:val="continue"/>
            <w:tcBorders>
              <w:bottom w:val="single" w:color="auto" w:sz="8" w:space="0"/>
            </w:tcBorders>
          </w:tcPr>
          <w:p>
            <w:pPr>
              <w:rPr>
                <w:rFonts w:hint="eastAsia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28" w:type="dxa"/>
            <w:tcBorders>
              <w:top w:val="single" w:color="auto" w:sz="8" w:space="0"/>
              <w:bottom w:val="nil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1441" w:type="dxa"/>
            <w:tcBorders>
              <w:top w:val="single" w:color="auto" w:sz="8" w:space="0"/>
              <w:bottom w:val="nil"/>
            </w:tcBorders>
          </w:tcPr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Cystic or predominantly cystic</w:t>
            </w:r>
          </w:p>
        </w:tc>
        <w:tc>
          <w:tcPr>
            <w:tcW w:w="1289" w:type="dxa"/>
            <w:tcBorders>
              <w:top w:val="single" w:color="auto" w:sz="8" w:space="0"/>
              <w:bottom w:val="nil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 w:ascii="Times New Roman" w:hAnsi="Times New Roman" w:cs="Times New Roman"/>
              </w:rPr>
              <w:t>Anechoic</w:t>
            </w:r>
          </w:p>
        </w:tc>
        <w:tc>
          <w:tcPr>
            <w:tcW w:w="1266" w:type="dxa"/>
            <w:tcBorders>
              <w:top w:val="single" w:color="auto" w:sz="8" w:space="0"/>
              <w:bottom w:val="nil"/>
            </w:tcBorders>
          </w:tcPr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Aspect ratio ≤ 1</w:t>
            </w:r>
          </w:p>
        </w:tc>
        <w:tc>
          <w:tcPr>
            <w:tcW w:w="1429" w:type="dxa"/>
            <w:tcBorders>
              <w:top w:val="single" w:color="auto" w:sz="8" w:space="0"/>
              <w:bottom w:val="nil"/>
            </w:tcBorders>
          </w:tcPr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Smooth or ill-defined borders</w:t>
            </w:r>
          </w:p>
        </w:tc>
        <w:tc>
          <w:tcPr>
            <w:tcW w:w="2304" w:type="dxa"/>
            <w:tcBorders>
              <w:top w:val="single" w:color="auto" w:sz="8" w:space="0"/>
              <w:bottom w:val="nil"/>
            </w:tcBorders>
          </w:tcPr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No focal hyperechoic areas or large comet tail artifacts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28" w:type="dxa"/>
            <w:tcBorders>
              <w:top w:val="nil"/>
              <w:bottom w:val="nil"/>
            </w:tcBorders>
          </w:tcPr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</w:t>
            </w:r>
          </w:p>
        </w:tc>
        <w:tc>
          <w:tcPr>
            <w:tcW w:w="1441" w:type="dxa"/>
            <w:tcBorders>
              <w:top w:val="nil"/>
              <w:bottom w:val="nil"/>
            </w:tcBorders>
          </w:tcPr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Mixed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  <w:r>
              <w:rPr>
                <w:rFonts w:hint="eastAsia" w:ascii="Times New Roman" w:hAnsi="Times New Roman" w:cs="Times New Roman"/>
              </w:rPr>
              <w:t>yperechoic or isoechoic</w:t>
            </w:r>
          </w:p>
        </w:tc>
        <w:tc>
          <w:tcPr>
            <w:tcW w:w="1266" w:type="dxa"/>
            <w:tcBorders>
              <w:top w:val="nil"/>
              <w:bottom w:val="nil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-</w:t>
            </w:r>
          </w:p>
        </w:tc>
        <w:tc>
          <w:tcPr>
            <w:tcW w:w="1429" w:type="dxa"/>
            <w:tcBorders>
              <w:top w:val="nil"/>
              <w:bottom w:val="nil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-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 w:ascii="Times New Roman" w:hAnsi="Times New Roman" w:cs="Times New Roman"/>
              </w:rPr>
              <w:t>Coarse calcifications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28" w:type="dxa"/>
            <w:tcBorders>
              <w:top w:val="nil"/>
              <w:bottom w:val="nil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441" w:type="dxa"/>
            <w:tcBorders>
              <w:top w:val="nil"/>
              <w:bottom w:val="nil"/>
            </w:tcBorders>
          </w:tcPr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Solid or predominantly solid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Hypoechoic</w:t>
            </w:r>
          </w:p>
        </w:tc>
        <w:tc>
          <w:tcPr>
            <w:tcW w:w="1266" w:type="dxa"/>
            <w:tcBorders>
              <w:top w:val="nil"/>
              <w:bottom w:val="nil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-</w:t>
            </w:r>
          </w:p>
        </w:tc>
        <w:tc>
          <w:tcPr>
            <w:tcW w:w="1429" w:type="dxa"/>
            <w:tcBorders>
              <w:top w:val="nil"/>
              <w:bottom w:val="nil"/>
            </w:tcBorders>
          </w:tcPr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Lobulated or Irregular</w:t>
            </w:r>
          </w:p>
        </w:tc>
        <w:tc>
          <w:tcPr>
            <w:tcW w:w="2304" w:type="dxa"/>
            <w:tcBorders>
              <w:top w:val="nil"/>
              <w:bottom w:val="nil"/>
            </w:tcBorders>
          </w:tcPr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Peripheral  calcifications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928" w:type="dxa"/>
            <w:tcBorders>
              <w:top w:val="nil"/>
              <w:bottom w:val="single" w:color="auto" w:sz="12" w:space="0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441" w:type="dxa"/>
            <w:tcBorders>
              <w:top w:val="nil"/>
              <w:bottom w:val="single" w:color="auto" w:sz="12" w:space="0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-</w:t>
            </w:r>
          </w:p>
        </w:tc>
        <w:tc>
          <w:tcPr>
            <w:tcW w:w="1289" w:type="dxa"/>
            <w:tcBorders>
              <w:top w:val="nil"/>
              <w:bottom w:val="single" w:color="auto" w:sz="12" w:space="0"/>
            </w:tcBorders>
          </w:tcPr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Very hypoechoic</w:t>
            </w:r>
          </w:p>
        </w:tc>
        <w:tc>
          <w:tcPr>
            <w:tcW w:w="1266" w:type="dxa"/>
            <w:tcBorders>
              <w:top w:val="nil"/>
              <w:bottom w:val="single" w:color="auto" w:sz="12" w:space="0"/>
            </w:tcBorders>
          </w:tcPr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Aspect ratio &gt; 1</w:t>
            </w:r>
          </w:p>
        </w:tc>
        <w:tc>
          <w:tcPr>
            <w:tcW w:w="1429" w:type="dxa"/>
            <w:tcBorders>
              <w:top w:val="nil"/>
              <w:bottom w:val="single" w:color="auto" w:sz="12" w:space="0"/>
            </w:tcBorders>
          </w:tcPr>
          <w:p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Extrathyroidal extension</w:t>
            </w:r>
          </w:p>
        </w:tc>
        <w:tc>
          <w:tcPr>
            <w:tcW w:w="2304" w:type="dxa"/>
            <w:tcBorders>
              <w:top w:val="nil"/>
              <w:bottom w:val="single" w:color="auto" w:sz="12" w:space="0"/>
            </w:tcBorders>
          </w:tcPr>
          <w:p>
            <w:pPr>
              <w:rPr>
                <w:rFonts w:hint="eastAsia"/>
              </w:rPr>
            </w:pPr>
            <w:r>
              <w:rPr>
                <w:rFonts w:hint="eastAsia" w:ascii="Times New Roman" w:hAnsi="Times New Roman" w:cs="Times New Roman"/>
              </w:rPr>
              <w:t>Punctate hyperechoic foci</w:t>
            </w:r>
          </w:p>
        </w:tc>
      </w:tr>
    </w:tbl>
    <w:p>
      <w:pPr>
        <w:rPr>
          <w:rFonts w:hint="eastAsia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shd w:val="clear" w:fill="FFFFFF"/>
        </w:rPr>
        <w:t xml:space="preserve">Note: In actual clinical radiology reports, to enhance efficiency, radiology experts often omit reporting certain negative indicators. Therefore, when scoring using the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shd w:val="clear" w:fill="FFFFFF"/>
          <w:lang w:val="en-US" w:eastAsia="zh-CN"/>
        </w:rPr>
        <w:t>ACR criteria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shd w:val="clear" w:fill="FFFFFF"/>
        </w:rPr>
        <w:t xml:space="preserve">, we sometimes need to assign a score of 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shd w:val="clear" w:fill="FFFFFF"/>
          <w:lang w:val="en-US" w:eastAsia="zh-CN"/>
        </w:rPr>
        <w:t>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shd w:val="clear" w:fill="FFFFFF"/>
          <w:lang w:val="en-US" w:eastAsia="zh-CN"/>
        </w:rPr>
        <w:t>0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shd w:val="clear" w:fill="FFFFFF"/>
          <w:lang w:val="en-US" w:eastAsia="zh-CN"/>
        </w:rPr>
        <w:t>”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shd w:val="clear" w:fill="FFFFFF"/>
        </w:rPr>
        <w:t xml:space="preserve"> to unreported negative items.</w:t>
      </w:r>
      <w:bookmarkStart w:id="0" w:name="_GoBack"/>
      <w:bookmarkEnd w:id="0"/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mIyZjUyZmRjM2Y4NTY2MjIzZTRiY2U2OTQxMWRiZTUifQ=="/>
  </w:docVars>
  <w:rsids>
    <w:rsidRoot w:val="003D7DBD"/>
    <w:rsid w:val="00053C2F"/>
    <w:rsid w:val="00073A95"/>
    <w:rsid w:val="00102154"/>
    <w:rsid w:val="0027625B"/>
    <w:rsid w:val="002F35EB"/>
    <w:rsid w:val="003D7DBD"/>
    <w:rsid w:val="006C594D"/>
    <w:rsid w:val="00806D91"/>
    <w:rsid w:val="00956CD7"/>
    <w:rsid w:val="00A21683"/>
    <w:rsid w:val="00A8068B"/>
    <w:rsid w:val="00AD3ED4"/>
    <w:rsid w:val="00D20618"/>
    <w:rsid w:val="00E115ED"/>
    <w:rsid w:val="00EB0AE7"/>
    <w:rsid w:val="29066A04"/>
    <w:rsid w:val="36FF1994"/>
    <w:rsid w:val="593C217C"/>
    <w:rsid w:val="749C6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451</Characters>
  <Lines>3</Lines>
  <Paragraphs>1</Paragraphs>
  <TotalTime>126</TotalTime>
  <ScaleCrop>false</ScaleCrop>
  <LinksUpToDate>false</LinksUpToDate>
  <CharactersWithSpaces>494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2024-04-15T14:53:00Z</dcterms:created>
  <dc:creator>元浩 苏</dc:creator>
  <cp:lastModifiedBy>境随忻转</cp:lastModifiedBy>
  <dcterms:modified xsi:type="dcterms:W3CDTF">2024-04-20T16:19:46Z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C7FB3DB5F6FC41F4BB605E24BF4021F8_12</vt:lpwstr>
  </property>
</Properties>
</file>