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15210" w:type="dxa"/>
        <w:tblLayout w:type="fixed"/>
        <w:tblLook w:val="04A0" w:firstRow="1" w:lastRow="0" w:firstColumn="1" w:lastColumn="0" w:noHBand="0" w:noVBand="1"/>
      </w:tblPr>
      <w:tblGrid>
        <w:gridCol w:w="1890"/>
        <w:gridCol w:w="900"/>
        <w:gridCol w:w="1440"/>
        <w:gridCol w:w="810"/>
        <w:gridCol w:w="900"/>
        <w:gridCol w:w="1431"/>
        <w:gridCol w:w="9"/>
        <w:gridCol w:w="842"/>
        <w:gridCol w:w="709"/>
        <w:gridCol w:w="1701"/>
        <w:gridCol w:w="992"/>
        <w:gridCol w:w="850"/>
        <w:gridCol w:w="1484"/>
        <w:gridCol w:w="217"/>
        <w:gridCol w:w="1035"/>
      </w:tblGrid>
      <w:tr w:rsidR="0048664E" w:rsidRPr="00B16BEE" w:rsidTr="006F2403">
        <w:trPr>
          <w:gridAfter w:val="2"/>
          <w:wAfter w:w="1252" w:type="dxa"/>
          <w:trHeight w:val="330"/>
        </w:trPr>
        <w:tc>
          <w:tcPr>
            <w:tcW w:w="13958" w:type="dxa"/>
            <w:gridSpan w:val="13"/>
            <w:tcBorders>
              <w:top w:val="nil"/>
              <w:left w:val="nil"/>
              <w:right w:val="nil"/>
            </w:tcBorders>
            <w:noWrap/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D40279">
              <w:rPr>
                <w:rFonts w:cstheme="minorHAnsi"/>
                <w:b/>
                <w:szCs w:val="24"/>
                <w:lang w:val="en-US"/>
              </w:rPr>
              <w:t>Table 4.</w:t>
            </w:r>
            <w:r w:rsidRPr="004D6995">
              <w:rPr>
                <w:rFonts w:cstheme="minorHAnsi"/>
                <w:szCs w:val="24"/>
                <w:lang w:val="en-US"/>
              </w:rPr>
              <w:t xml:space="preserve"> Incidence rates and hazard ratios of MACE in patients with </w:t>
            </w:r>
            <w:r w:rsidRPr="00DA6260">
              <w:rPr>
                <w:rFonts w:cstheme="minorHAnsi"/>
                <w:szCs w:val="24"/>
                <w:lang w:val="en-US"/>
              </w:rPr>
              <w:t>different</w:t>
            </w:r>
            <w:r w:rsidRPr="004D6995">
              <w:rPr>
                <w:rFonts w:cstheme="minorHAnsi"/>
                <w:szCs w:val="24"/>
                <w:lang w:val="en-US"/>
              </w:rPr>
              <w:t xml:space="preserve"> types of sexual dysfunction</w:t>
            </w:r>
            <w:r w:rsidR="00B16BEE">
              <w:rPr>
                <w:rFonts w:cstheme="minorHAnsi"/>
                <w:szCs w:val="24"/>
                <w:lang w:val="en-US"/>
              </w:rPr>
              <w:t>.</w:t>
            </w:r>
          </w:p>
        </w:tc>
      </w:tr>
      <w:tr w:rsidR="0048664E" w:rsidRPr="004D6995" w:rsidTr="006F2403">
        <w:trPr>
          <w:trHeight w:val="290"/>
        </w:trPr>
        <w:tc>
          <w:tcPr>
            <w:tcW w:w="1890" w:type="dxa"/>
            <w:vMerge w:val="restart"/>
            <w:tcBorders>
              <w:left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Variable</w:t>
            </w:r>
          </w:p>
        </w:tc>
        <w:tc>
          <w:tcPr>
            <w:tcW w:w="3150" w:type="dxa"/>
            <w:gridSpan w:val="3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48664E" w:rsidRPr="004D6995" w:rsidRDefault="0048664E" w:rsidP="006F2403">
            <w:pPr>
              <w:widowControl/>
              <w:spacing w:line="480" w:lineRule="auto"/>
              <w:jc w:val="center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Non-TCM</w:t>
            </w:r>
          </w:p>
        </w:tc>
        <w:tc>
          <w:tcPr>
            <w:tcW w:w="3182" w:type="dxa"/>
            <w:gridSpan w:val="4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48664E" w:rsidRPr="004D6995" w:rsidRDefault="0048664E" w:rsidP="006F2403">
            <w:pPr>
              <w:widowControl/>
              <w:spacing w:line="480" w:lineRule="auto"/>
              <w:jc w:val="center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TCM</w:t>
            </w:r>
          </w:p>
        </w:tc>
        <w:tc>
          <w:tcPr>
            <w:tcW w:w="709" w:type="dxa"/>
            <w:vMerge w:val="restart"/>
            <w:tcBorders>
              <w:left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proofErr w:type="spellStart"/>
            <w:r w:rsidRPr="004D6995">
              <w:rPr>
                <w:rFonts w:cstheme="minorHAnsi"/>
                <w:szCs w:val="24"/>
                <w:lang w:val="en-US"/>
              </w:rPr>
              <w:t>cHR</w:t>
            </w:r>
            <w:proofErr w:type="spellEnd"/>
          </w:p>
        </w:tc>
        <w:tc>
          <w:tcPr>
            <w:tcW w:w="1701" w:type="dxa"/>
            <w:vMerge w:val="restart"/>
            <w:tcBorders>
              <w:left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(95% CI)</w:t>
            </w:r>
          </w:p>
        </w:tc>
        <w:tc>
          <w:tcPr>
            <w:tcW w:w="992" w:type="dxa"/>
            <w:vMerge w:val="restart"/>
            <w:tcBorders>
              <w:left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i/>
                <w:szCs w:val="24"/>
                <w:lang w:val="en-US"/>
              </w:rPr>
              <w:t>P</w:t>
            </w:r>
            <w:r w:rsidRPr="004D6995">
              <w:rPr>
                <w:rFonts w:cstheme="minorHAnsi"/>
                <w:szCs w:val="24"/>
                <w:lang w:val="en-US"/>
              </w:rPr>
              <w:t>-value</w:t>
            </w:r>
          </w:p>
        </w:tc>
        <w:tc>
          <w:tcPr>
            <w:tcW w:w="850" w:type="dxa"/>
            <w:vMerge w:val="restart"/>
            <w:tcBorders>
              <w:left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proofErr w:type="spellStart"/>
            <w:r w:rsidRPr="004D6995">
              <w:rPr>
                <w:rFonts w:cstheme="minorHAnsi"/>
                <w:szCs w:val="24"/>
                <w:lang w:val="en-US"/>
              </w:rPr>
              <w:t>aHR</w:t>
            </w:r>
            <w:proofErr w:type="spellEnd"/>
            <w:r w:rsidRPr="00E47584">
              <w:rPr>
                <w:rFonts w:cstheme="minorHAnsi"/>
                <w:szCs w:val="24"/>
                <w:lang w:val="en-US"/>
              </w:rPr>
              <w:t>†</w:t>
            </w:r>
          </w:p>
        </w:tc>
        <w:tc>
          <w:tcPr>
            <w:tcW w:w="1701" w:type="dxa"/>
            <w:gridSpan w:val="2"/>
            <w:vMerge w:val="restart"/>
            <w:tcBorders>
              <w:left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(95% CI)</w:t>
            </w:r>
          </w:p>
        </w:tc>
        <w:tc>
          <w:tcPr>
            <w:tcW w:w="1035" w:type="dxa"/>
            <w:vMerge w:val="restart"/>
            <w:tcBorders>
              <w:left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i/>
                <w:szCs w:val="24"/>
                <w:lang w:val="en-US"/>
              </w:rPr>
              <w:t>P</w:t>
            </w:r>
            <w:r w:rsidRPr="004D6995">
              <w:rPr>
                <w:rFonts w:cstheme="minorHAnsi"/>
                <w:szCs w:val="24"/>
                <w:lang w:val="en-US"/>
              </w:rPr>
              <w:t>-value</w:t>
            </w:r>
          </w:p>
        </w:tc>
      </w:tr>
      <w:tr w:rsidR="0048664E" w:rsidRPr="004D6995" w:rsidTr="006F2403">
        <w:trPr>
          <w:trHeight w:val="290"/>
        </w:trPr>
        <w:tc>
          <w:tcPr>
            <w:tcW w:w="1890" w:type="dxa"/>
            <w:vMerge/>
            <w:tcBorders>
              <w:left w:val="nil"/>
              <w:bottom w:val="single" w:sz="4" w:space="0" w:color="auto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</w:p>
        </w:tc>
        <w:tc>
          <w:tcPr>
            <w:tcW w:w="900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jc w:val="center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Event</w:t>
            </w:r>
          </w:p>
        </w:tc>
        <w:tc>
          <w:tcPr>
            <w:tcW w:w="1440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jc w:val="center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PY</w:t>
            </w:r>
          </w:p>
        </w:tc>
        <w:tc>
          <w:tcPr>
            <w:tcW w:w="810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jc w:val="center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IR</w:t>
            </w:r>
          </w:p>
        </w:tc>
        <w:tc>
          <w:tcPr>
            <w:tcW w:w="900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jc w:val="center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Event</w:t>
            </w:r>
          </w:p>
        </w:tc>
        <w:tc>
          <w:tcPr>
            <w:tcW w:w="1431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jc w:val="center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PY</w:t>
            </w:r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jc w:val="center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IR</w:t>
            </w: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</w:p>
        </w:tc>
        <w:tc>
          <w:tcPr>
            <w:tcW w:w="1701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</w:p>
        </w:tc>
        <w:tc>
          <w:tcPr>
            <w:tcW w:w="1035" w:type="dxa"/>
            <w:vMerge/>
            <w:tcBorders>
              <w:left w:val="nil"/>
              <w:bottom w:val="single" w:sz="4" w:space="0" w:color="auto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</w:p>
        </w:tc>
      </w:tr>
      <w:tr w:rsidR="0048664E" w:rsidRPr="004D6995" w:rsidTr="006F2403">
        <w:trPr>
          <w:trHeight w:val="290"/>
        </w:trPr>
        <w:tc>
          <w:tcPr>
            <w:tcW w:w="1890" w:type="dxa"/>
            <w:tcBorders>
              <w:left w:val="nil"/>
              <w:bottom w:val="nil"/>
              <w:right w:val="nil"/>
            </w:tcBorders>
            <w:noWrap/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Without sexual dysfunction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11860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1318197.03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9.00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jc w:val="center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13374</w:t>
            </w:r>
          </w:p>
        </w:tc>
        <w:tc>
          <w:tcPr>
            <w:tcW w:w="1440" w:type="dxa"/>
            <w:gridSpan w:val="2"/>
            <w:tcBorders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jc w:val="center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1364109.19</w:t>
            </w:r>
          </w:p>
        </w:tc>
        <w:tc>
          <w:tcPr>
            <w:tcW w:w="842" w:type="dxa"/>
            <w:tcBorders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jc w:val="center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9.8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1.09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(1.06, 1.12)***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&lt;0.001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1.06</w:t>
            </w:r>
          </w:p>
        </w:tc>
        <w:tc>
          <w:tcPr>
            <w:tcW w:w="1701" w:type="dxa"/>
            <w:gridSpan w:val="2"/>
            <w:tcBorders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(1.03, 1.09)***</w:t>
            </w:r>
          </w:p>
        </w:tc>
        <w:tc>
          <w:tcPr>
            <w:tcW w:w="1035" w:type="dxa"/>
            <w:tcBorders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&lt;0.001</w:t>
            </w:r>
          </w:p>
        </w:tc>
      </w:tr>
      <w:tr w:rsidR="0048664E" w:rsidRPr="004D6995" w:rsidTr="006F2403">
        <w:trPr>
          <w:trHeight w:val="29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With sexual dysfunction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273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18214.68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14.99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jc w:val="center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526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jc w:val="center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35008.84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jc w:val="center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15.02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0.99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(0.86, 1.15)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0.908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1.23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(1.05, 1.43)**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0.009</w:t>
            </w:r>
          </w:p>
        </w:tc>
      </w:tr>
      <w:tr w:rsidR="0048664E" w:rsidRPr="004D6995" w:rsidTr="006F2403">
        <w:trPr>
          <w:trHeight w:val="29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 xml:space="preserve">　</w:t>
            </w:r>
            <w:r>
              <w:rPr>
                <w:rFonts w:cstheme="minorHAnsi" w:hint="eastAsia"/>
                <w:szCs w:val="24"/>
                <w:lang w:val="en-US"/>
              </w:rPr>
              <w:t>N</w:t>
            </w:r>
            <w:r>
              <w:rPr>
                <w:rFonts w:cstheme="minorHAnsi"/>
                <w:szCs w:val="24"/>
                <w:lang w:val="en-US"/>
              </w:rPr>
              <w:t>on-o</w:t>
            </w:r>
            <w:r w:rsidRPr="00EB5DDA">
              <w:rPr>
                <w:rFonts w:cstheme="minorHAnsi"/>
                <w:szCs w:val="24"/>
                <w:lang w:val="en-US"/>
              </w:rPr>
              <w:t>rganic</w:t>
            </w:r>
            <w:r>
              <w:rPr>
                <w:rFonts w:cstheme="minorHAnsi"/>
                <w:szCs w:val="24"/>
                <w:lang w:val="en-US"/>
              </w:rPr>
              <w:t xml:space="preserve"> </w:t>
            </w:r>
            <w:r w:rsidRPr="004D6995">
              <w:rPr>
                <w:rFonts w:cstheme="minorHAnsi"/>
                <w:szCs w:val="24"/>
                <w:lang w:val="en-US"/>
              </w:rPr>
              <w:t>sexual</w:t>
            </w:r>
            <w:r>
              <w:rPr>
                <w:rFonts w:cstheme="minorHAnsi"/>
                <w:szCs w:val="24"/>
                <w:lang w:val="en-US"/>
              </w:rPr>
              <w:t xml:space="preserve"> </w:t>
            </w:r>
            <w:r w:rsidRPr="004D6995">
              <w:rPr>
                <w:rFonts w:cstheme="minorHAnsi"/>
                <w:szCs w:val="24"/>
                <w:lang w:val="en-US"/>
              </w:rPr>
              <w:t>dysfunction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822.33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6.08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jc w:val="center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9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jc w:val="center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2117.34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jc w:val="center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4.25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0.72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(0.24, 2.14)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0.550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0.58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(0.19, 1.82)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0.353</w:t>
            </w:r>
          </w:p>
        </w:tc>
      </w:tr>
      <w:tr w:rsidR="0048664E" w:rsidRPr="004D6995" w:rsidTr="006F2403">
        <w:trPr>
          <w:trHeight w:val="290"/>
        </w:trPr>
        <w:tc>
          <w:tcPr>
            <w:tcW w:w="1890" w:type="dxa"/>
            <w:tcBorders>
              <w:top w:val="nil"/>
              <w:left w:val="nil"/>
              <w:right w:val="nil"/>
            </w:tcBorders>
            <w:noWrap/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lastRenderedPageBreak/>
              <w:t xml:space="preserve">　</w:t>
            </w:r>
            <w:r w:rsidRPr="004D6995">
              <w:rPr>
                <w:rFonts w:cstheme="minorHAnsi"/>
                <w:szCs w:val="24"/>
                <w:lang w:val="en-US"/>
              </w:rPr>
              <w:t>Organic sexual dysfunction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268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17392.35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15.41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jc w:val="center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517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jc w:val="center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32891.50</w:t>
            </w:r>
          </w:p>
        </w:tc>
        <w:tc>
          <w:tcPr>
            <w:tcW w:w="842" w:type="dxa"/>
            <w:tcBorders>
              <w:top w:val="nil"/>
              <w:left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jc w:val="center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15.72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1.01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noWrap/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(0.87, 1.17)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0.897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1.24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right w:val="nil"/>
            </w:tcBorders>
            <w:noWrap/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(1.06, 1.45)**</w:t>
            </w:r>
          </w:p>
        </w:tc>
        <w:tc>
          <w:tcPr>
            <w:tcW w:w="1035" w:type="dxa"/>
            <w:tcBorders>
              <w:top w:val="nil"/>
              <w:left w:val="nil"/>
              <w:right w:val="nil"/>
            </w:tcBorders>
            <w:hideMark/>
          </w:tcPr>
          <w:p w:rsidR="0048664E" w:rsidRPr="004D6995" w:rsidRDefault="0048664E" w:rsidP="006F2403">
            <w:pPr>
              <w:widowControl/>
              <w:spacing w:line="480" w:lineRule="auto"/>
              <w:rPr>
                <w:rFonts w:cstheme="minorHAnsi"/>
                <w:szCs w:val="24"/>
                <w:lang w:val="en-US"/>
              </w:rPr>
            </w:pPr>
            <w:r w:rsidRPr="004D6995">
              <w:rPr>
                <w:rFonts w:cstheme="minorHAnsi"/>
                <w:szCs w:val="24"/>
                <w:lang w:val="en-US"/>
              </w:rPr>
              <w:t>0.006</w:t>
            </w:r>
          </w:p>
        </w:tc>
      </w:tr>
    </w:tbl>
    <w:p w:rsidR="0048664E" w:rsidRPr="003A6F37" w:rsidRDefault="0048664E" w:rsidP="0048664E">
      <w:pPr>
        <w:widowControl/>
        <w:spacing w:line="480" w:lineRule="auto"/>
        <w:rPr>
          <w:rFonts w:cstheme="minorHAnsi"/>
          <w:sz w:val="20"/>
          <w:szCs w:val="20"/>
          <w:lang w:val="en-US"/>
        </w:rPr>
      </w:pPr>
      <w:proofErr w:type="spellStart"/>
      <w:r w:rsidRPr="00924D64">
        <w:rPr>
          <w:rFonts w:cstheme="minorHAnsi"/>
          <w:i/>
          <w:sz w:val="20"/>
          <w:szCs w:val="20"/>
          <w:lang w:val="en-US"/>
        </w:rPr>
        <w:t>cHR</w:t>
      </w:r>
      <w:proofErr w:type="spellEnd"/>
      <w:r w:rsidRPr="003A6F37">
        <w:rPr>
          <w:rFonts w:cstheme="minorHAnsi"/>
          <w:sz w:val="20"/>
          <w:szCs w:val="20"/>
          <w:lang w:val="en-US"/>
        </w:rPr>
        <w:t xml:space="preserve"> crude hazard ratio</w:t>
      </w:r>
      <w:r>
        <w:rPr>
          <w:rFonts w:cstheme="minorHAnsi"/>
          <w:sz w:val="20"/>
          <w:szCs w:val="20"/>
          <w:lang w:val="en-US"/>
        </w:rPr>
        <w:t>,</w:t>
      </w:r>
      <w:r w:rsidRPr="00924D64">
        <w:rPr>
          <w:rFonts w:cstheme="minorHAnsi"/>
          <w:i/>
          <w:sz w:val="20"/>
          <w:szCs w:val="20"/>
          <w:lang w:val="en-US"/>
        </w:rPr>
        <w:t xml:space="preserve"> CI</w:t>
      </w:r>
      <w:r>
        <w:rPr>
          <w:rFonts w:cstheme="minorHAnsi"/>
          <w:sz w:val="20"/>
          <w:szCs w:val="20"/>
          <w:lang w:val="en-US"/>
        </w:rPr>
        <w:t xml:space="preserve"> </w:t>
      </w:r>
      <w:r w:rsidRPr="003A6F37">
        <w:rPr>
          <w:rFonts w:cstheme="minorHAnsi"/>
          <w:sz w:val="20"/>
          <w:szCs w:val="20"/>
          <w:lang w:val="en-US"/>
        </w:rPr>
        <w:t>confidence interval</w:t>
      </w:r>
      <w:r>
        <w:rPr>
          <w:rFonts w:cstheme="minorHAnsi"/>
          <w:sz w:val="20"/>
          <w:szCs w:val="20"/>
          <w:lang w:val="en-US"/>
        </w:rPr>
        <w:t>,</w:t>
      </w:r>
      <w:r w:rsidRPr="003A6F37">
        <w:rPr>
          <w:rFonts w:cstheme="minorHAnsi"/>
          <w:sz w:val="20"/>
          <w:szCs w:val="20"/>
          <w:lang w:val="en-US"/>
        </w:rPr>
        <w:t xml:space="preserve"> </w:t>
      </w:r>
      <w:r w:rsidRPr="00924D64">
        <w:rPr>
          <w:rFonts w:cstheme="minorHAnsi"/>
          <w:i/>
          <w:sz w:val="20"/>
          <w:szCs w:val="20"/>
          <w:lang w:val="en-US"/>
        </w:rPr>
        <w:t>IR</w:t>
      </w:r>
      <w:r w:rsidRPr="003A6F37">
        <w:rPr>
          <w:rFonts w:cstheme="minorHAnsi"/>
          <w:sz w:val="20"/>
          <w:szCs w:val="20"/>
          <w:lang w:val="en-US"/>
        </w:rPr>
        <w:t xml:space="preserve"> incidence rate</w:t>
      </w:r>
      <w:r>
        <w:rPr>
          <w:rFonts w:cstheme="minorHAnsi"/>
          <w:sz w:val="20"/>
          <w:szCs w:val="20"/>
          <w:lang w:val="en-US"/>
        </w:rPr>
        <w:t>,</w:t>
      </w:r>
      <w:r w:rsidRPr="003A6F37">
        <w:rPr>
          <w:rFonts w:cstheme="minorHAnsi"/>
          <w:sz w:val="20"/>
          <w:szCs w:val="20"/>
          <w:lang w:val="en-US"/>
        </w:rPr>
        <w:t xml:space="preserve"> </w:t>
      </w:r>
      <w:r w:rsidRPr="00924D64">
        <w:rPr>
          <w:rFonts w:cstheme="minorHAnsi"/>
          <w:i/>
          <w:sz w:val="20"/>
          <w:szCs w:val="20"/>
          <w:lang w:val="en-US"/>
        </w:rPr>
        <w:t>MACE</w:t>
      </w:r>
      <w:r w:rsidRPr="003A6F37">
        <w:rPr>
          <w:rFonts w:cstheme="minorHAnsi"/>
          <w:sz w:val="20"/>
          <w:szCs w:val="20"/>
          <w:lang w:val="en-US"/>
        </w:rPr>
        <w:t xml:space="preserve"> major adverse cardiovascular events</w:t>
      </w:r>
      <w:r>
        <w:rPr>
          <w:rFonts w:cstheme="minorHAnsi"/>
          <w:sz w:val="20"/>
          <w:szCs w:val="20"/>
          <w:lang w:val="en-US"/>
        </w:rPr>
        <w:t>,</w:t>
      </w:r>
      <w:r w:rsidRPr="00924D64">
        <w:rPr>
          <w:rFonts w:cstheme="minorHAnsi"/>
          <w:i/>
          <w:sz w:val="20"/>
          <w:szCs w:val="20"/>
          <w:lang w:val="en-US"/>
        </w:rPr>
        <w:t xml:space="preserve"> PY</w:t>
      </w:r>
      <w:r w:rsidRPr="003A6F37">
        <w:rPr>
          <w:rFonts w:cstheme="minorHAnsi"/>
          <w:sz w:val="20"/>
          <w:szCs w:val="20"/>
          <w:lang w:val="en-US"/>
        </w:rPr>
        <w:t xml:space="preserve"> person-years</w:t>
      </w:r>
      <w:r>
        <w:rPr>
          <w:rFonts w:cstheme="minorHAnsi"/>
          <w:sz w:val="20"/>
          <w:szCs w:val="20"/>
          <w:lang w:val="en-US"/>
        </w:rPr>
        <w:t xml:space="preserve">, </w:t>
      </w:r>
      <w:r w:rsidRPr="00924D64">
        <w:rPr>
          <w:rFonts w:cstheme="minorHAnsi"/>
          <w:i/>
          <w:sz w:val="20"/>
          <w:szCs w:val="20"/>
          <w:lang w:val="en-US"/>
        </w:rPr>
        <w:t>TCM</w:t>
      </w:r>
      <w:r w:rsidRPr="00E23F3E">
        <w:rPr>
          <w:rFonts w:cstheme="minorHAnsi"/>
          <w:sz w:val="20"/>
          <w:szCs w:val="20"/>
          <w:lang w:val="en-US"/>
        </w:rPr>
        <w:t xml:space="preserve"> traditional Chinese medicine</w:t>
      </w:r>
      <w:r w:rsidR="00B16BEE">
        <w:rPr>
          <w:rFonts w:cstheme="minorHAnsi"/>
          <w:sz w:val="20"/>
          <w:szCs w:val="20"/>
          <w:lang w:val="en-US"/>
        </w:rPr>
        <w:t xml:space="preserve">, </w:t>
      </w:r>
      <w:bookmarkStart w:id="0" w:name="_GoBack"/>
      <w:bookmarkEnd w:id="0"/>
      <w:proofErr w:type="spellStart"/>
      <w:r w:rsidRPr="00924D64">
        <w:rPr>
          <w:rFonts w:cstheme="minorHAnsi"/>
          <w:i/>
          <w:sz w:val="20"/>
          <w:szCs w:val="20"/>
          <w:lang w:val="en-US"/>
        </w:rPr>
        <w:t>aHR</w:t>
      </w:r>
      <w:proofErr w:type="spellEnd"/>
      <w:r w:rsidRPr="00924D64">
        <w:rPr>
          <w:rFonts w:cstheme="minorHAnsi"/>
          <w:i/>
          <w:sz w:val="20"/>
          <w:szCs w:val="20"/>
          <w:lang w:val="en-US"/>
        </w:rPr>
        <w:t>†</w:t>
      </w:r>
      <w:r>
        <w:rPr>
          <w:rFonts w:cstheme="minorHAnsi"/>
          <w:i/>
          <w:sz w:val="20"/>
          <w:szCs w:val="20"/>
          <w:lang w:val="en-US"/>
        </w:rPr>
        <w:t xml:space="preserve"> </w:t>
      </w:r>
      <w:r w:rsidRPr="00E47584">
        <w:rPr>
          <w:rFonts w:cstheme="minorHAnsi"/>
          <w:sz w:val="20"/>
          <w:szCs w:val="20"/>
          <w:lang w:val="en-US"/>
        </w:rPr>
        <w:t>adjusted hazard ratio, adjusted for age, comorbidities, and medication</w:t>
      </w:r>
      <w:r>
        <w:rPr>
          <w:rFonts w:cstheme="minorHAnsi"/>
          <w:sz w:val="20"/>
          <w:szCs w:val="20"/>
          <w:lang w:val="en-US"/>
        </w:rPr>
        <w:t>;</w:t>
      </w:r>
      <w:r w:rsidRPr="00E47584">
        <w:rPr>
          <w:rFonts w:cstheme="minorHAnsi"/>
          <w:sz w:val="20"/>
          <w:szCs w:val="20"/>
          <w:lang w:val="en-US"/>
        </w:rPr>
        <w:t xml:space="preserve"> *</w:t>
      </w:r>
      <w:r>
        <w:rPr>
          <w:rFonts w:cstheme="minorHAnsi"/>
          <w:i/>
          <w:sz w:val="20"/>
          <w:szCs w:val="20"/>
          <w:lang w:val="en-US"/>
        </w:rPr>
        <w:t>P</w:t>
      </w:r>
      <w:r w:rsidRPr="00E47584">
        <w:rPr>
          <w:rFonts w:cstheme="minorHAnsi"/>
          <w:sz w:val="20"/>
          <w:szCs w:val="20"/>
          <w:lang w:val="en-US"/>
        </w:rPr>
        <w:t xml:space="preserve"> &lt; 0.05, **</w:t>
      </w:r>
      <w:r>
        <w:rPr>
          <w:rFonts w:cstheme="minorHAnsi"/>
          <w:i/>
          <w:sz w:val="20"/>
          <w:szCs w:val="20"/>
          <w:lang w:val="en-US"/>
        </w:rPr>
        <w:t>P</w:t>
      </w:r>
      <w:r w:rsidRPr="00E47584">
        <w:rPr>
          <w:rFonts w:cstheme="minorHAnsi"/>
          <w:sz w:val="20"/>
          <w:szCs w:val="20"/>
          <w:lang w:val="en-US"/>
        </w:rPr>
        <w:t xml:space="preserve"> &lt; 0.01, ***</w:t>
      </w:r>
      <w:r>
        <w:rPr>
          <w:rFonts w:cstheme="minorHAnsi"/>
          <w:i/>
          <w:sz w:val="20"/>
          <w:szCs w:val="20"/>
          <w:lang w:val="en-US"/>
        </w:rPr>
        <w:t>P</w:t>
      </w:r>
      <w:r w:rsidRPr="00E47584">
        <w:rPr>
          <w:rFonts w:cstheme="minorHAnsi"/>
          <w:sz w:val="20"/>
          <w:szCs w:val="20"/>
          <w:lang w:val="en-US"/>
        </w:rPr>
        <w:t xml:space="preserve"> &lt; 0.001.</w:t>
      </w:r>
    </w:p>
    <w:p w:rsidR="00EA2026" w:rsidRPr="0048664E" w:rsidRDefault="00EA2026">
      <w:pPr>
        <w:rPr>
          <w:lang w:val="en-US"/>
        </w:rPr>
      </w:pPr>
    </w:p>
    <w:sectPr w:rsidR="00EA2026" w:rsidRPr="0048664E" w:rsidSect="0048664E">
      <w:pgSz w:w="16838" w:h="11906" w:orient="landscape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D2FE1" w:rsidRDefault="005D2FE1" w:rsidP="00B16BEE">
      <w:r>
        <w:separator/>
      </w:r>
    </w:p>
  </w:endnote>
  <w:endnote w:type="continuationSeparator" w:id="0">
    <w:p w:rsidR="005D2FE1" w:rsidRDefault="005D2FE1" w:rsidP="00B16B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D2FE1" w:rsidRDefault="005D2FE1" w:rsidP="00B16BEE">
      <w:r>
        <w:separator/>
      </w:r>
    </w:p>
  </w:footnote>
  <w:footnote w:type="continuationSeparator" w:id="0">
    <w:p w:rsidR="005D2FE1" w:rsidRDefault="005D2FE1" w:rsidP="00B16B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64E"/>
    <w:rsid w:val="001E6ADF"/>
    <w:rsid w:val="003D4E84"/>
    <w:rsid w:val="0048664E"/>
    <w:rsid w:val="00547CB7"/>
    <w:rsid w:val="005D2FE1"/>
    <w:rsid w:val="00782489"/>
    <w:rsid w:val="00830F1D"/>
    <w:rsid w:val="00954C34"/>
    <w:rsid w:val="00B16BEE"/>
    <w:rsid w:val="00DA2CE2"/>
    <w:rsid w:val="00EA2026"/>
    <w:rsid w:val="00EC0FDA"/>
    <w:rsid w:val="00FB2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3DF7F0"/>
  <w15:chartTrackingRefBased/>
  <w15:docId w15:val="{00995D90-FBA9-468B-8888-16B54DFD2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8664E"/>
    <w:pPr>
      <w:widowControl w:val="0"/>
    </w:pPr>
    <w:rPr>
      <w:lang w:val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866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16B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B16BEE"/>
    <w:rPr>
      <w:sz w:val="20"/>
      <w:szCs w:val="20"/>
      <w:lang w:val="zh-TW"/>
    </w:rPr>
  </w:style>
  <w:style w:type="paragraph" w:styleId="a6">
    <w:name w:val="footer"/>
    <w:basedOn w:val="a"/>
    <w:link w:val="a7"/>
    <w:uiPriority w:val="99"/>
    <w:unhideWhenUsed/>
    <w:rsid w:val="00B16B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B16BEE"/>
    <w:rPr>
      <w:sz w:val="20"/>
      <w:szCs w:val="20"/>
      <w:lang w:val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2024-06-09T18:09:00Z</dcterms:created>
  <dcterms:modified xsi:type="dcterms:W3CDTF">2024-06-09T20:18:00Z</dcterms:modified>
</cp:coreProperties>
</file>