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33DBCA" w14:textId="77777777" w:rsidR="00BC572B" w:rsidRDefault="00BC572B" w:rsidP="00BC572B">
      <w:pPr>
        <w:spacing w:line="276" w:lineRule="auto"/>
        <w:ind w:left="-142" w:right="95"/>
        <w:jc w:val="both"/>
        <w:rPr>
          <w:rFonts w:ascii="Arial" w:hAnsi="Arial" w:cs="Arial"/>
          <w:b/>
          <w:sz w:val="22"/>
          <w:szCs w:val="22"/>
        </w:rPr>
      </w:pPr>
      <w:r>
        <w:rPr>
          <w:rFonts w:ascii="Arial" w:hAnsi="Arial" w:cs="Arial"/>
          <w:b/>
          <w:sz w:val="22"/>
          <w:szCs w:val="22"/>
        </w:rPr>
        <w:t>SUPPLEMENTARY FIGURES</w:t>
      </w:r>
    </w:p>
    <w:p w14:paraId="1183C454" w14:textId="77777777" w:rsidR="00BC572B" w:rsidRDefault="00BC572B" w:rsidP="00BC572B">
      <w:pPr>
        <w:spacing w:line="276" w:lineRule="auto"/>
        <w:ind w:left="-142" w:right="95"/>
        <w:jc w:val="both"/>
        <w:rPr>
          <w:rFonts w:ascii="Arial" w:hAnsi="Arial" w:cs="Arial"/>
          <w:b/>
          <w:sz w:val="22"/>
          <w:szCs w:val="22"/>
        </w:rPr>
      </w:pPr>
    </w:p>
    <w:p w14:paraId="070F8C3B" w14:textId="77777777" w:rsidR="00BC572B" w:rsidRDefault="00BC572B" w:rsidP="00BC572B">
      <w:pPr>
        <w:spacing w:line="276" w:lineRule="auto"/>
        <w:ind w:left="-142" w:right="95"/>
        <w:jc w:val="both"/>
        <w:rPr>
          <w:rFonts w:ascii="Arial" w:hAnsi="Arial" w:cs="Arial"/>
          <w:bCs/>
          <w:sz w:val="22"/>
          <w:szCs w:val="22"/>
        </w:rPr>
      </w:pPr>
    </w:p>
    <w:p w14:paraId="7A83725F" w14:textId="2A47C680" w:rsidR="00BC572B" w:rsidRDefault="00BC572B" w:rsidP="00BC572B">
      <w:pPr>
        <w:spacing w:line="276" w:lineRule="auto"/>
        <w:ind w:left="-142" w:right="95"/>
        <w:jc w:val="both"/>
        <w:rPr>
          <w:rFonts w:ascii="Arial" w:hAnsi="Arial" w:cs="Arial"/>
          <w:b/>
          <w:sz w:val="22"/>
          <w:szCs w:val="22"/>
          <w:lang w:val="en-US" w:eastAsia="en-US"/>
        </w:rPr>
      </w:pPr>
      <w:r>
        <w:rPr>
          <w:rFonts w:ascii="Arial" w:hAnsi="Arial" w:cs="Arial"/>
          <w:noProof/>
          <w:sz w:val="22"/>
          <w:szCs w:val="22"/>
        </w:rPr>
        <w:drawing>
          <wp:inline distT="0" distB="0" distL="0" distR="0" wp14:anchorId="1D59D0A7" wp14:editId="11C0BE0D">
            <wp:extent cx="5734050" cy="6356350"/>
            <wp:effectExtent l="0" t="0" r="0" b="6350"/>
            <wp:docPr id="2126276767" name="Picture 5" descr="A diagram of a ce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cell&#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4050" cy="6356350"/>
                    </a:xfrm>
                    <a:prstGeom prst="rect">
                      <a:avLst/>
                    </a:prstGeom>
                    <a:noFill/>
                    <a:ln>
                      <a:noFill/>
                    </a:ln>
                  </pic:spPr>
                </pic:pic>
              </a:graphicData>
            </a:graphic>
          </wp:inline>
        </w:drawing>
      </w:r>
    </w:p>
    <w:p w14:paraId="1FC79688" w14:textId="77777777" w:rsidR="00BC572B" w:rsidRDefault="00BC572B" w:rsidP="00BC572B">
      <w:pPr>
        <w:spacing w:line="276" w:lineRule="auto"/>
        <w:ind w:left="-142" w:right="95"/>
        <w:jc w:val="both"/>
        <w:rPr>
          <w:rFonts w:ascii="Arial" w:hAnsi="Arial" w:cs="Arial"/>
          <w:sz w:val="22"/>
          <w:szCs w:val="22"/>
        </w:rPr>
      </w:pPr>
      <w:r>
        <w:rPr>
          <w:rFonts w:ascii="Arial" w:hAnsi="Arial" w:cs="Arial"/>
          <w:b/>
          <w:bCs/>
          <w:sz w:val="22"/>
          <w:szCs w:val="22"/>
        </w:rPr>
        <w:t>Figure S1. Flow cytometric gating strategy to identify Jag1+Tregs and skin T cell populations.</w:t>
      </w:r>
      <w:r>
        <w:rPr>
          <w:rFonts w:ascii="Arial" w:hAnsi="Arial" w:cs="Arial"/>
          <w:sz w:val="22"/>
          <w:szCs w:val="22"/>
        </w:rPr>
        <w:t xml:space="preserve"> Cells were first stained with Zombie UV live/dead stain and CD45 to identify live CD45. </w:t>
      </w:r>
      <w:r>
        <w:rPr>
          <w:rFonts w:ascii="Arial" w:hAnsi="Arial" w:cs="Arial"/>
          <w:b/>
          <w:bCs/>
          <w:sz w:val="22"/>
          <w:szCs w:val="22"/>
        </w:rPr>
        <w:t>(A)</w:t>
      </w:r>
      <w:r>
        <w:rPr>
          <w:rFonts w:ascii="Arial" w:hAnsi="Arial" w:cs="Arial"/>
          <w:sz w:val="22"/>
          <w:szCs w:val="22"/>
        </w:rPr>
        <w:t xml:space="preserve"> T cell panel. T cells (TCRgd- CD3+) populations were further segregated based on CD8 and CD4 expression. Tregs were gated based on their Foxp3 expression. Jag1 gate was further determined based on FMO of all samples within each experiment. </w:t>
      </w:r>
      <w:r>
        <w:rPr>
          <w:rFonts w:ascii="Arial" w:hAnsi="Arial" w:cs="Arial"/>
          <w:b/>
          <w:bCs/>
          <w:sz w:val="22"/>
          <w:szCs w:val="22"/>
        </w:rPr>
        <w:t xml:space="preserve">(B) </w:t>
      </w:r>
      <w:r>
        <w:rPr>
          <w:rFonts w:ascii="Arial" w:hAnsi="Arial" w:cs="Arial"/>
          <w:sz w:val="22"/>
          <w:szCs w:val="22"/>
        </w:rPr>
        <w:t xml:space="preserve">Myeloid panel. Neutrophils (Ly6G+MHCII-) were gated directly from live CD45+ gate. B-cells and T-cells were excluded using B220 and CD3. Within the B220-CD3- MHCII+ gate, macrophages were identified </w:t>
      </w:r>
      <w:r>
        <w:rPr>
          <w:rFonts w:ascii="Arial" w:hAnsi="Arial" w:cs="Arial"/>
          <w:sz w:val="22"/>
          <w:szCs w:val="22"/>
        </w:rPr>
        <w:lastRenderedPageBreak/>
        <w:t xml:space="preserve">as F4/80+ CD11b+ population, and were further separated based on their Ly6C expression. Dendritic cells were separated into CD11b+CD11c+ and CD11b- CD11c+ populations. The remaining CD11b+CD11c- population was classified as monocytes, which was further subset into Ly6C+ and Ly6C- populations. </w:t>
      </w:r>
    </w:p>
    <w:p w14:paraId="46E6A829" w14:textId="77777777" w:rsidR="00BC572B" w:rsidRDefault="00BC572B" w:rsidP="00BC572B">
      <w:pPr>
        <w:pStyle w:val="Paragraph"/>
        <w:spacing w:before="0" w:line="276" w:lineRule="auto"/>
        <w:ind w:left="-142" w:right="95" w:firstLine="0"/>
        <w:jc w:val="both"/>
        <w:rPr>
          <w:rStyle w:val="Emphasis"/>
          <w:rFonts w:eastAsiaTheme="majorEastAsia"/>
          <w:b/>
          <w:bCs/>
          <w:i w:val="0"/>
          <w:iCs w:val="0"/>
          <w:shd w:val="clear" w:color="auto" w:fill="FFFFFF"/>
        </w:rPr>
      </w:pPr>
    </w:p>
    <w:p w14:paraId="19CE150C" w14:textId="5916F208" w:rsidR="00BC572B" w:rsidRDefault="00BC572B" w:rsidP="00BC572B">
      <w:pPr>
        <w:spacing w:line="276" w:lineRule="auto"/>
        <w:ind w:left="-142" w:right="95"/>
        <w:jc w:val="both"/>
        <w:rPr>
          <w:rFonts w:eastAsiaTheme="majorEastAsia"/>
        </w:rPr>
      </w:pPr>
      <w:r>
        <w:rPr>
          <w:rFonts w:ascii="Arial" w:hAnsi="Arial" w:cs="Arial"/>
          <w:noProof/>
          <w:sz w:val="22"/>
          <w:szCs w:val="22"/>
        </w:rPr>
        <w:lastRenderedPageBreak/>
        <w:drawing>
          <wp:inline distT="0" distB="0" distL="0" distR="0" wp14:anchorId="19A66485" wp14:editId="1D8381CA">
            <wp:extent cx="5156200" cy="7696200"/>
            <wp:effectExtent l="0" t="0" r="6350" b="0"/>
            <wp:docPr id="90851344" name="Picture 4"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ollage of graphs and diagram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56200" cy="7696200"/>
                    </a:xfrm>
                    <a:prstGeom prst="rect">
                      <a:avLst/>
                    </a:prstGeom>
                    <a:noFill/>
                    <a:ln>
                      <a:noFill/>
                    </a:ln>
                  </pic:spPr>
                </pic:pic>
              </a:graphicData>
            </a:graphic>
          </wp:inline>
        </w:drawing>
      </w:r>
    </w:p>
    <w:p w14:paraId="120A3345" w14:textId="77777777" w:rsidR="00BC572B" w:rsidRDefault="00BC572B" w:rsidP="00BC572B">
      <w:pPr>
        <w:spacing w:line="276" w:lineRule="auto"/>
        <w:ind w:left="-142" w:right="95"/>
        <w:jc w:val="both"/>
        <w:rPr>
          <w:rFonts w:ascii="Arial" w:hAnsi="Arial" w:cs="Arial"/>
          <w:b/>
          <w:bCs/>
          <w:sz w:val="22"/>
          <w:szCs w:val="22"/>
        </w:rPr>
      </w:pPr>
    </w:p>
    <w:p w14:paraId="2C5DA39A" w14:textId="77777777" w:rsidR="00BC572B" w:rsidRDefault="00BC572B" w:rsidP="00BC572B">
      <w:pPr>
        <w:pStyle w:val="Paragraph"/>
        <w:spacing w:before="0" w:line="276" w:lineRule="auto"/>
        <w:ind w:left="-142" w:right="95" w:firstLine="0"/>
        <w:jc w:val="both"/>
        <w:rPr>
          <w:rFonts w:ascii="Arial" w:hAnsi="Arial" w:cs="Arial"/>
          <w:sz w:val="22"/>
          <w:szCs w:val="22"/>
        </w:rPr>
      </w:pPr>
      <w:r>
        <w:rPr>
          <w:rFonts w:ascii="Arial" w:hAnsi="Arial" w:cs="Arial"/>
          <w:b/>
          <w:bCs/>
          <w:sz w:val="22"/>
          <w:szCs w:val="22"/>
        </w:rPr>
        <w:lastRenderedPageBreak/>
        <w:t>Figure S2.</w:t>
      </w:r>
      <w:r>
        <w:rPr>
          <w:rFonts w:ascii="Arial" w:hAnsi="Arial" w:cs="Arial"/>
          <w:sz w:val="22"/>
          <w:szCs w:val="22"/>
        </w:rPr>
        <w:t xml:space="preserve"> </w:t>
      </w:r>
      <w:r>
        <w:rPr>
          <w:rStyle w:val="notion-enable-hover"/>
          <w:rFonts w:ascii="Arial" w:eastAsiaTheme="majorEastAsia" w:hAnsi="Arial" w:cs="Arial"/>
          <w:b/>
          <w:bCs/>
          <w:sz w:val="22"/>
          <w:szCs w:val="22"/>
        </w:rPr>
        <w:t xml:space="preserve">Jag1+Tregs are phenotypically more activated than Jag1- Tregs. </w:t>
      </w:r>
      <w:r>
        <w:rPr>
          <w:rStyle w:val="notion-enable-hover"/>
          <w:rFonts w:ascii="Arial" w:eastAsiaTheme="majorEastAsia" w:hAnsi="Arial" w:cs="Arial"/>
          <w:sz w:val="22"/>
          <w:szCs w:val="22"/>
        </w:rPr>
        <w:t>Representative flow plot and quantitation of % Ctla4 (</w:t>
      </w:r>
      <w:r>
        <w:rPr>
          <w:rStyle w:val="notion-enable-hover"/>
          <w:rFonts w:ascii="Arial" w:eastAsiaTheme="majorEastAsia" w:hAnsi="Arial" w:cs="Arial"/>
          <w:b/>
          <w:bCs/>
          <w:sz w:val="22"/>
          <w:szCs w:val="22"/>
        </w:rPr>
        <w:t>A</w:t>
      </w:r>
      <w:r>
        <w:rPr>
          <w:rStyle w:val="notion-enable-hover"/>
          <w:rFonts w:ascii="Arial" w:eastAsiaTheme="majorEastAsia" w:hAnsi="Arial" w:cs="Arial"/>
          <w:sz w:val="22"/>
          <w:szCs w:val="22"/>
        </w:rPr>
        <w:t xml:space="preserve"> &amp; </w:t>
      </w:r>
      <w:r>
        <w:rPr>
          <w:rStyle w:val="notion-enable-hover"/>
          <w:rFonts w:ascii="Arial" w:eastAsiaTheme="majorEastAsia" w:hAnsi="Arial" w:cs="Arial"/>
          <w:b/>
          <w:bCs/>
          <w:sz w:val="22"/>
          <w:szCs w:val="22"/>
        </w:rPr>
        <w:t>B</w:t>
      </w:r>
      <w:r>
        <w:rPr>
          <w:rStyle w:val="notion-enable-hover"/>
          <w:rFonts w:ascii="Arial" w:eastAsiaTheme="majorEastAsia" w:hAnsi="Arial" w:cs="Arial"/>
          <w:sz w:val="22"/>
          <w:szCs w:val="22"/>
        </w:rPr>
        <w:t>), %CD25 (</w:t>
      </w:r>
      <w:r>
        <w:rPr>
          <w:rStyle w:val="notion-enable-hover"/>
          <w:rFonts w:ascii="Arial" w:eastAsiaTheme="majorEastAsia" w:hAnsi="Arial" w:cs="Arial"/>
          <w:b/>
          <w:bCs/>
          <w:sz w:val="22"/>
          <w:szCs w:val="22"/>
        </w:rPr>
        <w:t>E</w:t>
      </w:r>
      <w:r>
        <w:rPr>
          <w:rStyle w:val="notion-enable-hover"/>
          <w:rFonts w:ascii="Arial" w:eastAsiaTheme="majorEastAsia" w:hAnsi="Arial" w:cs="Arial"/>
          <w:sz w:val="22"/>
          <w:szCs w:val="22"/>
        </w:rPr>
        <w:t xml:space="preserve"> &amp; </w:t>
      </w:r>
      <w:r>
        <w:rPr>
          <w:rStyle w:val="notion-enable-hover"/>
          <w:rFonts w:ascii="Arial" w:eastAsiaTheme="majorEastAsia" w:hAnsi="Arial" w:cs="Arial"/>
          <w:b/>
          <w:bCs/>
          <w:sz w:val="22"/>
          <w:szCs w:val="22"/>
        </w:rPr>
        <w:t>F</w:t>
      </w:r>
      <w:r>
        <w:rPr>
          <w:rStyle w:val="notion-enable-hover"/>
          <w:rFonts w:ascii="Arial" w:eastAsiaTheme="majorEastAsia" w:hAnsi="Arial" w:cs="Arial"/>
          <w:sz w:val="22"/>
          <w:szCs w:val="22"/>
        </w:rPr>
        <w:t>), %ICOS (</w:t>
      </w:r>
      <w:r>
        <w:rPr>
          <w:rStyle w:val="notion-enable-hover"/>
          <w:rFonts w:ascii="Arial" w:eastAsiaTheme="majorEastAsia" w:hAnsi="Arial" w:cs="Arial"/>
          <w:b/>
          <w:bCs/>
          <w:sz w:val="22"/>
          <w:szCs w:val="22"/>
        </w:rPr>
        <w:t xml:space="preserve">I </w:t>
      </w:r>
      <w:r>
        <w:rPr>
          <w:rStyle w:val="notion-enable-hover"/>
          <w:rFonts w:ascii="Arial" w:eastAsiaTheme="majorEastAsia" w:hAnsi="Arial" w:cs="Arial"/>
          <w:sz w:val="22"/>
          <w:szCs w:val="22"/>
        </w:rPr>
        <w:t xml:space="preserve">&amp; </w:t>
      </w:r>
      <w:r>
        <w:rPr>
          <w:rStyle w:val="notion-enable-hover"/>
          <w:rFonts w:ascii="Arial" w:eastAsiaTheme="majorEastAsia" w:hAnsi="Arial" w:cs="Arial"/>
          <w:b/>
          <w:bCs/>
          <w:sz w:val="22"/>
          <w:szCs w:val="22"/>
        </w:rPr>
        <w:t>J</w:t>
      </w:r>
      <w:r>
        <w:rPr>
          <w:rStyle w:val="notion-enable-hover"/>
          <w:rFonts w:ascii="Arial" w:eastAsiaTheme="majorEastAsia" w:hAnsi="Arial" w:cs="Arial"/>
          <w:sz w:val="22"/>
          <w:szCs w:val="22"/>
        </w:rPr>
        <w:t>) and % Ctla4+Cd25+ (</w:t>
      </w:r>
      <w:r>
        <w:rPr>
          <w:rStyle w:val="notion-enable-hover"/>
          <w:rFonts w:ascii="Arial" w:eastAsiaTheme="majorEastAsia" w:hAnsi="Arial" w:cs="Arial"/>
          <w:b/>
          <w:bCs/>
          <w:sz w:val="22"/>
          <w:szCs w:val="22"/>
        </w:rPr>
        <w:t xml:space="preserve">I </w:t>
      </w:r>
      <w:r>
        <w:rPr>
          <w:rStyle w:val="notion-enable-hover"/>
          <w:rFonts w:ascii="Arial" w:eastAsiaTheme="majorEastAsia" w:hAnsi="Arial" w:cs="Arial"/>
          <w:sz w:val="22"/>
          <w:szCs w:val="22"/>
        </w:rPr>
        <w:t>and</w:t>
      </w:r>
      <w:r>
        <w:rPr>
          <w:rStyle w:val="notion-enable-hover"/>
          <w:rFonts w:ascii="Arial" w:eastAsiaTheme="majorEastAsia" w:hAnsi="Arial" w:cs="Arial"/>
          <w:b/>
          <w:bCs/>
          <w:sz w:val="22"/>
          <w:szCs w:val="22"/>
        </w:rPr>
        <w:t xml:space="preserve"> J</w:t>
      </w:r>
      <w:r>
        <w:rPr>
          <w:rStyle w:val="notion-enable-hover"/>
          <w:rFonts w:ascii="Arial" w:eastAsiaTheme="majorEastAsia" w:hAnsi="Arial" w:cs="Arial"/>
          <w:sz w:val="22"/>
          <w:szCs w:val="22"/>
        </w:rPr>
        <w:t>) in Jag1</w:t>
      </w:r>
      <w:r>
        <w:rPr>
          <w:rStyle w:val="notion-enable-hover"/>
          <w:rFonts w:ascii="Arial" w:eastAsiaTheme="majorEastAsia" w:hAnsi="Arial" w:cs="Arial"/>
          <w:sz w:val="22"/>
          <w:szCs w:val="22"/>
          <w:vertAlign w:val="superscript"/>
        </w:rPr>
        <w:t>pos</w:t>
      </w:r>
      <w:r>
        <w:rPr>
          <w:rStyle w:val="notion-enable-hover"/>
          <w:rFonts w:ascii="Arial" w:eastAsiaTheme="majorEastAsia" w:hAnsi="Arial" w:cs="Arial"/>
          <w:sz w:val="22"/>
          <w:szCs w:val="22"/>
        </w:rPr>
        <w:t xml:space="preserve"> and Jag1</w:t>
      </w:r>
      <w:r>
        <w:rPr>
          <w:rStyle w:val="notion-enable-hover"/>
          <w:rFonts w:ascii="Arial" w:eastAsiaTheme="majorEastAsia" w:hAnsi="Arial" w:cs="Arial"/>
          <w:sz w:val="22"/>
          <w:szCs w:val="22"/>
          <w:vertAlign w:val="superscript"/>
        </w:rPr>
        <w:t>neg</w:t>
      </w:r>
      <w:r>
        <w:rPr>
          <w:rStyle w:val="notion-enable-hover"/>
          <w:rFonts w:ascii="Arial" w:eastAsiaTheme="majorEastAsia" w:hAnsi="Arial" w:cs="Arial"/>
          <w:sz w:val="22"/>
          <w:szCs w:val="22"/>
        </w:rPr>
        <w:t xml:space="preserve"> skin Tregs from wildtype mice. Representative histogram and MFI quantification of Ctla4 (</w:t>
      </w:r>
      <w:r>
        <w:rPr>
          <w:rStyle w:val="notion-enable-hover"/>
          <w:rFonts w:ascii="Arial" w:eastAsiaTheme="majorEastAsia" w:hAnsi="Arial" w:cs="Arial"/>
          <w:b/>
          <w:bCs/>
          <w:sz w:val="22"/>
          <w:szCs w:val="22"/>
        </w:rPr>
        <w:t>C</w:t>
      </w:r>
      <w:r>
        <w:rPr>
          <w:rStyle w:val="notion-enable-hover"/>
          <w:rFonts w:ascii="Arial" w:eastAsiaTheme="majorEastAsia" w:hAnsi="Arial" w:cs="Arial"/>
          <w:sz w:val="22"/>
          <w:szCs w:val="22"/>
        </w:rPr>
        <w:t xml:space="preserve"> &amp; </w:t>
      </w:r>
      <w:r>
        <w:rPr>
          <w:rStyle w:val="notion-enable-hover"/>
          <w:rFonts w:ascii="Arial" w:eastAsiaTheme="majorEastAsia" w:hAnsi="Arial" w:cs="Arial"/>
          <w:b/>
          <w:bCs/>
          <w:sz w:val="22"/>
          <w:szCs w:val="22"/>
        </w:rPr>
        <w:t>D</w:t>
      </w:r>
      <w:r>
        <w:rPr>
          <w:rStyle w:val="notion-enable-hover"/>
          <w:rFonts w:ascii="Arial" w:eastAsiaTheme="majorEastAsia" w:hAnsi="Arial" w:cs="Arial"/>
          <w:sz w:val="22"/>
          <w:szCs w:val="22"/>
        </w:rPr>
        <w:t>), CD25 (</w:t>
      </w:r>
      <w:r>
        <w:rPr>
          <w:rStyle w:val="notion-enable-hover"/>
          <w:rFonts w:ascii="Arial" w:eastAsiaTheme="majorEastAsia" w:hAnsi="Arial" w:cs="Arial"/>
          <w:b/>
          <w:bCs/>
          <w:sz w:val="22"/>
          <w:szCs w:val="22"/>
        </w:rPr>
        <w:t>G</w:t>
      </w:r>
      <w:r>
        <w:rPr>
          <w:rStyle w:val="notion-enable-hover"/>
          <w:rFonts w:ascii="Arial" w:eastAsiaTheme="majorEastAsia" w:hAnsi="Arial" w:cs="Arial"/>
          <w:sz w:val="22"/>
          <w:szCs w:val="22"/>
        </w:rPr>
        <w:t xml:space="preserve"> &amp; </w:t>
      </w:r>
      <w:r>
        <w:rPr>
          <w:rStyle w:val="notion-enable-hover"/>
          <w:rFonts w:ascii="Arial" w:eastAsiaTheme="majorEastAsia" w:hAnsi="Arial" w:cs="Arial"/>
          <w:b/>
          <w:bCs/>
          <w:sz w:val="22"/>
          <w:szCs w:val="22"/>
        </w:rPr>
        <w:t>H</w:t>
      </w:r>
      <w:r>
        <w:rPr>
          <w:rStyle w:val="notion-enable-hover"/>
          <w:rFonts w:ascii="Arial" w:eastAsiaTheme="majorEastAsia" w:hAnsi="Arial" w:cs="Arial"/>
          <w:sz w:val="22"/>
          <w:szCs w:val="22"/>
        </w:rPr>
        <w:t>) expressed in Jag1</w:t>
      </w:r>
      <w:r>
        <w:rPr>
          <w:rStyle w:val="notion-enable-hover"/>
          <w:rFonts w:ascii="Arial" w:eastAsiaTheme="majorEastAsia" w:hAnsi="Arial" w:cs="Arial"/>
          <w:sz w:val="22"/>
          <w:szCs w:val="22"/>
          <w:vertAlign w:val="superscript"/>
        </w:rPr>
        <w:t>pos</w:t>
      </w:r>
      <w:r>
        <w:rPr>
          <w:rStyle w:val="notion-enable-hover"/>
          <w:rFonts w:ascii="Arial" w:eastAsiaTheme="majorEastAsia" w:hAnsi="Arial" w:cs="Arial"/>
          <w:sz w:val="22"/>
          <w:szCs w:val="22"/>
        </w:rPr>
        <w:t xml:space="preserve"> and Jag1</w:t>
      </w:r>
      <w:r>
        <w:rPr>
          <w:rStyle w:val="notion-enable-hover"/>
          <w:rFonts w:ascii="Arial" w:eastAsiaTheme="majorEastAsia" w:hAnsi="Arial" w:cs="Arial"/>
          <w:sz w:val="22"/>
          <w:szCs w:val="22"/>
          <w:vertAlign w:val="superscript"/>
        </w:rPr>
        <w:t>neg</w:t>
      </w:r>
      <w:r>
        <w:rPr>
          <w:rStyle w:val="notion-enable-hover"/>
          <w:rFonts w:ascii="Arial" w:eastAsiaTheme="majorEastAsia" w:hAnsi="Arial" w:cs="Arial"/>
          <w:sz w:val="22"/>
          <w:szCs w:val="22"/>
        </w:rPr>
        <w:t xml:space="preserve"> skin Tregs. Dash line of histogram indicates gating from negative controls. </w:t>
      </w:r>
      <w:r>
        <w:rPr>
          <w:rFonts w:ascii="Arial" w:hAnsi="Arial" w:cs="Arial"/>
          <w:sz w:val="22"/>
          <w:szCs w:val="22"/>
        </w:rPr>
        <w:t>Data were pooled from 2 independent experiments with n = 6. Each paired data point represented a biological replicate. Statistics were calculated by paired Wilcoxon t-test. * p &lt; 0.05, ** p &lt;0.01.</w:t>
      </w:r>
    </w:p>
    <w:p w14:paraId="1F5A1401" w14:textId="5A10DFAC" w:rsidR="00BC572B" w:rsidRDefault="00BC572B" w:rsidP="00BC572B">
      <w:pPr>
        <w:pStyle w:val="Paragraph"/>
        <w:spacing w:before="0" w:line="276" w:lineRule="auto"/>
        <w:ind w:left="-142" w:right="95" w:firstLine="0"/>
        <w:jc w:val="both"/>
        <w:rPr>
          <w:rFonts w:ascii="Arial" w:hAnsi="Arial" w:cs="Arial"/>
          <w:sz w:val="22"/>
          <w:szCs w:val="22"/>
        </w:rPr>
      </w:pPr>
      <w:r>
        <w:rPr>
          <w:rFonts w:ascii="Arial" w:hAnsi="Arial" w:cs="Arial"/>
          <w:noProof/>
          <w:sz w:val="22"/>
          <w:szCs w:val="22"/>
        </w:rPr>
        <w:drawing>
          <wp:inline distT="0" distB="0" distL="0" distR="0" wp14:anchorId="1F6B1198" wp14:editId="49FBC066">
            <wp:extent cx="5734050" cy="2660650"/>
            <wp:effectExtent l="0" t="0" r="0" b="6350"/>
            <wp:docPr id="1457213750" name="Picture 3"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omparison of a graph&#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4050" cy="2660650"/>
                    </a:xfrm>
                    <a:prstGeom prst="rect">
                      <a:avLst/>
                    </a:prstGeom>
                    <a:noFill/>
                    <a:ln>
                      <a:noFill/>
                    </a:ln>
                  </pic:spPr>
                </pic:pic>
              </a:graphicData>
            </a:graphic>
          </wp:inline>
        </w:drawing>
      </w:r>
    </w:p>
    <w:p w14:paraId="6CBEA480" w14:textId="31512DC4" w:rsidR="00BC572B" w:rsidRDefault="00BC572B" w:rsidP="00BC572B">
      <w:pPr>
        <w:pStyle w:val="Paragraph"/>
        <w:spacing w:before="0" w:line="276" w:lineRule="auto"/>
        <w:ind w:left="-142" w:right="95" w:firstLine="0"/>
        <w:jc w:val="both"/>
        <w:rPr>
          <w:rFonts w:ascii="Arial" w:hAnsi="Arial" w:cs="Arial"/>
          <w:sz w:val="22"/>
          <w:szCs w:val="22"/>
        </w:rPr>
      </w:pPr>
      <w:r>
        <w:rPr>
          <w:rFonts w:ascii="Arial" w:hAnsi="Arial" w:cs="Arial"/>
          <w:b/>
          <w:bCs/>
          <w:sz w:val="22"/>
          <w:szCs w:val="22"/>
        </w:rPr>
        <w:t>Figure S3. qPCR of sorted Tregs to confirm Jag1 deletion in Tregs.</w:t>
      </w:r>
      <w:r>
        <w:rPr>
          <w:rFonts w:ascii="Arial" w:hAnsi="Arial" w:cs="Arial"/>
          <w:b/>
          <w:bCs/>
          <w:sz w:val="22"/>
          <w:szCs w:val="22"/>
        </w:rPr>
        <w:br/>
      </w:r>
      <w:r>
        <w:rPr>
          <w:rFonts w:ascii="Arial" w:hAnsi="Arial" w:cs="Arial"/>
          <w:sz w:val="22"/>
          <w:szCs w:val="22"/>
        </w:rPr>
        <w:t xml:space="preserve">Data were pooled from 2 independent experiments with n = 3-4. Results were presented as mean ± SEM. Statistics were calculated by two-way ANOVA, ** </w:t>
      </w:r>
      <w:r>
        <w:rPr>
          <w:rFonts w:ascii="Arial" w:hAnsi="Arial" w:cs="Arial"/>
          <w:i/>
          <w:iCs/>
          <w:sz w:val="22"/>
          <w:szCs w:val="22"/>
        </w:rPr>
        <w:t xml:space="preserve">p &lt; </w:t>
      </w:r>
      <w:r>
        <w:rPr>
          <w:rFonts w:ascii="Arial" w:hAnsi="Arial" w:cs="Arial"/>
          <w:sz w:val="22"/>
          <w:szCs w:val="22"/>
        </w:rPr>
        <w:t>0.01, ns = non-significant.</w:t>
      </w:r>
    </w:p>
    <w:p w14:paraId="68B9BCA2"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38866FB0"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18778ECD"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3DAE1C79"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5B872B2B"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6B8FE8F6"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0AE90521"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28767BDC"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647A7B97"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49E4336F"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52961286"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6251796B"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6AABD66F"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5D4E54FC"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211F40A2"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46FF4EB5"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4B7B5703"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55C5DF16"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230C3665"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268F8DA5" w14:textId="019617C6" w:rsidR="00BC572B" w:rsidRDefault="00BC572B" w:rsidP="00BC572B">
      <w:pPr>
        <w:pStyle w:val="Paragraph"/>
        <w:spacing w:before="0" w:line="276" w:lineRule="auto"/>
        <w:ind w:left="-142" w:right="95" w:firstLine="0"/>
        <w:jc w:val="both"/>
        <w:rPr>
          <w:rFonts w:ascii="Arial" w:hAnsi="Arial" w:cs="Arial"/>
          <w:sz w:val="22"/>
          <w:szCs w:val="22"/>
        </w:rPr>
      </w:pPr>
      <w:r>
        <w:rPr>
          <w:rFonts w:ascii="Arial" w:hAnsi="Arial" w:cs="Arial"/>
          <w:noProof/>
          <w:sz w:val="22"/>
          <w:szCs w:val="22"/>
        </w:rPr>
        <w:lastRenderedPageBreak/>
        <w:drawing>
          <wp:inline distT="0" distB="0" distL="0" distR="0" wp14:anchorId="698EAE70" wp14:editId="47C8E8C1">
            <wp:extent cx="5734050" cy="8001000"/>
            <wp:effectExtent l="0" t="0" r="0" b="0"/>
            <wp:docPr id="7224987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8001000"/>
                    </a:xfrm>
                    <a:prstGeom prst="rect">
                      <a:avLst/>
                    </a:prstGeom>
                    <a:noFill/>
                    <a:ln>
                      <a:noFill/>
                    </a:ln>
                  </pic:spPr>
                </pic:pic>
              </a:graphicData>
            </a:graphic>
          </wp:inline>
        </w:drawing>
      </w:r>
      <w:r>
        <w:rPr>
          <w:rFonts w:ascii="Arial" w:hAnsi="Arial" w:cs="Arial"/>
          <w:sz w:val="22"/>
          <w:szCs w:val="22"/>
        </w:rPr>
        <w:t>\\</w:t>
      </w:r>
    </w:p>
    <w:p w14:paraId="6C39BB52" w14:textId="77777777" w:rsidR="00BC572B" w:rsidRDefault="00BC572B" w:rsidP="00BC572B">
      <w:pPr>
        <w:pStyle w:val="Paragraph"/>
        <w:spacing w:before="0" w:line="276" w:lineRule="auto"/>
        <w:ind w:left="-142" w:right="95" w:firstLine="0"/>
        <w:jc w:val="both"/>
        <w:rPr>
          <w:rFonts w:ascii="Arial" w:hAnsi="Arial" w:cs="Arial"/>
          <w:sz w:val="22"/>
          <w:szCs w:val="22"/>
        </w:rPr>
      </w:pPr>
      <w:r>
        <w:rPr>
          <w:rFonts w:ascii="Arial" w:hAnsi="Arial" w:cs="Arial"/>
          <w:sz w:val="22"/>
          <w:szCs w:val="22"/>
        </w:rPr>
        <w:t xml:space="preserve"> </w:t>
      </w:r>
    </w:p>
    <w:p w14:paraId="7DD42475" w14:textId="77777777" w:rsidR="00BC572B" w:rsidRDefault="00BC572B" w:rsidP="00BC572B">
      <w:pPr>
        <w:spacing w:line="276" w:lineRule="auto"/>
        <w:ind w:left="-142" w:right="95"/>
        <w:jc w:val="both"/>
        <w:rPr>
          <w:rStyle w:val="notion-enable-hover"/>
          <w:rFonts w:eastAsiaTheme="majorEastAsia"/>
          <w:lang w:val="en-US" w:eastAsia="en-US"/>
        </w:rPr>
      </w:pPr>
      <w:r>
        <w:rPr>
          <w:rFonts w:ascii="Arial" w:hAnsi="Arial" w:cs="Arial"/>
          <w:b/>
          <w:bCs/>
          <w:sz w:val="22"/>
          <w:szCs w:val="22"/>
        </w:rPr>
        <w:lastRenderedPageBreak/>
        <w:t xml:space="preserve">Figure S4: Jag1+Tregs do not influence T cell accumulation in wounded skin. </w:t>
      </w:r>
      <w:r>
        <w:rPr>
          <w:rFonts w:ascii="Arial" w:hAnsi="Arial" w:cs="Arial"/>
          <w:sz w:val="22"/>
          <w:szCs w:val="22"/>
        </w:rPr>
        <w:t>(</w:t>
      </w:r>
      <w:r>
        <w:rPr>
          <w:rFonts w:ascii="Arial" w:hAnsi="Arial" w:cs="Arial"/>
          <w:b/>
          <w:bCs/>
          <w:sz w:val="22"/>
          <w:szCs w:val="22"/>
        </w:rPr>
        <w:t>A</w:t>
      </w:r>
      <w:r>
        <w:rPr>
          <w:rFonts w:ascii="Arial" w:hAnsi="Arial" w:cs="Arial"/>
          <w:sz w:val="22"/>
          <w:szCs w:val="22"/>
        </w:rPr>
        <w:t>)</w:t>
      </w:r>
      <w:r>
        <w:rPr>
          <w:rStyle w:val="notion-enable-hover"/>
          <w:rFonts w:ascii="Arial" w:eastAsiaTheme="majorEastAsia" w:hAnsi="Arial" w:cs="Arial"/>
          <w:sz w:val="22"/>
          <w:szCs w:val="22"/>
        </w:rPr>
        <w:t xml:space="preserve">Representative flow plots and absolute abundance of Tregs from wounded skin at 5dpw (n = 8-10 per group). (B) Representative immunofluorescence staining and quantification of Foxp3 in wounded skin, with labels of wound site (w) and hair follicle (Hf). </w:t>
      </w:r>
      <w:r>
        <w:rPr>
          <w:rFonts w:ascii="Arial" w:hAnsi="Arial" w:cs="Arial"/>
          <w:sz w:val="22"/>
          <w:szCs w:val="22"/>
        </w:rPr>
        <w:t>Scale bars represent 50</w:t>
      </w:r>
      <w:r>
        <w:rPr>
          <w:rFonts w:ascii="Arial" w:hAnsi="Arial" w:cs="Arial"/>
          <w:sz w:val="22"/>
          <w:szCs w:val="22"/>
        </w:rPr>
        <w:sym w:font="Symbol" w:char="F06D"/>
      </w:r>
      <w:r>
        <w:rPr>
          <w:rFonts w:ascii="Arial" w:hAnsi="Arial" w:cs="Arial"/>
          <w:sz w:val="22"/>
          <w:szCs w:val="22"/>
        </w:rPr>
        <w:t xml:space="preserve">m. (n = 4 per group). </w:t>
      </w:r>
      <w:r>
        <w:rPr>
          <w:rStyle w:val="notion-enable-hover"/>
          <w:rFonts w:ascii="Arial" w:eastAsiaTheme="majorEastAsia" w:hAnsi="Arial" w:cs="Arial"/>
          <w:sz w:val="22"/>
          <w:szCs w:val="22"/>
        </w:rPr>
        <w:t xml:space="preserve">Flow cytometric quantification of (C) Treg %Ki67 and (D) mean fluorescence intensity (MFI) of  Foxp3 in CD4+ T cells (n = 8-10 per group). Representative flow plot or histogram and quantification of (E) %Ctla4+CD25+, MFI of (F) CD25, (G) Icos, (H) ST2 and (I) Ctla4 in Tregs of wounded skin (n = 8-10 per group). Quantification of </w:t>
      </w:r>
      <w:r>
        <w:rPr>
          <w:rStyle w:val="notion-enable-hover"/>
          <w:rFonts w:ascii="Arial" w:eastAsiaTheme="majorEastAsia" w:hAnsi="Arial" w:cs="Arial"/>
          <w:b/>
          <w:bCs/>
          <w:sz w:val="22"/>
          <w:szCs w:val="22"/>
        </w:rPr>
        <w:t>(J)</w:t>
      </w:r>
      <w:r>
        <w:rPr>
          <w:rStyle w:val="notion-enable-hover"/>
          <w:rFonts w:ascii="Arial" w:eastAsiaTheme="majorEastAsia" w:hAnsi="Arial" w:cs="Arial"/>
          <w:sz w:val="22"/>
          <w:szCs w:val="22"/>
        </w:rPr>
        <w:t xml:space="preserve"> Tregs, Teffs and CD8+ T cells abundance, and </w:t>
      </w:r>
      <w:r>
        <w:rPr>
          <w:rStyle w:val="notion-enable-hover"/>
          <w:rFonts w:ascii="Arial" w:eastAsiaTheme="majorEastAsia" w:hAnsi="Arial" w:cs="Arial"/>
          <w:b/>
          <w:bCs/>
          <w:sz w:val="22"/>
          <w:szCs w:val="22"/>
        </w:rPr>
        <w:t>(K)</w:t>
      </w:r>
      <w:r>
        <w:rPr>
          <w:rStyle w:val="notion-enable-hover"/>
          <w:rFonts w:ascii="Arial" w:eastAsiaTheme="majorEastAsia" w:hAnsi="Arial" w:cs="Arial"/>
          <w:sz w:val="22"/>
          <w:szCs w:val="22"/>
        </w:rPr>
        <w:t xml:space="preserve"> % Ki67 of indicated T cells residing in wounded skin. Data </w:t>
      </w:r>
      <w:r>
        <w:rPr>
          <w:rFonts w:ascii="Arial" w:hAnsi="Arial" w:cs="Arial"/>
          <w:sz w:val="22"/>
          <w:szCs w:val="22"/>
        </w:rPr>
        <w:t xml:space="preserve">were pooled from 2 independent experiments. Each individual data point represented a biological replicate, and was collectively presented with mean ± SEM. Statistics were calculated by unpaired T-test (A-I) and two-way ANOVA (J and K). ns = non-significant. </w:t>
      </w:r>
      <w:r>
        <w:rPr>
          <w:rStyle w:val="notion-enable-hover"/>
          <w:rFonts w:ascii="Arial" w:eastAsiaTheme="majorEastAsia" w:hAnsi="Arial" w:cs="Arial"/>
          <w:sz w:val="22"/>
          <w:szCs w:val="22"/>
        </w:rPr>
        <w:t xml:space="preserve"> </w:t>
      </w:r>
    </w:p>
    <w:p w14:paraId="4E879D74" w14:textId="77777777" w:rsidR="00BC572B" w:rsidRDefault="00BC572B" w:rsidP="00BC572B">
      <w:pPr>
        <w:spacing w:line="276" w:lineRule="auto"/>
        <w:rPr>
          <w:rFonts w:eastAsiaTheme="majorEastAsia"/>
          <w:b/>
          <w:bCs/>
        </w:rPr>
      </w:pPr>
      <w:r>
        <w:rPr>
          <w:rFonts w:ascii="Arial" w:hAnsi="Arial" w:cs="Arial"/>
          <w:b/>
          <w:bCs/>
          <w:sz w:val="22"/>
          <w:szCs w:val="22"/>
        </w:rPr>
        <w:br w:type="page"/>
      </w:r>
    </w:p>
    <w:p w14:paraId="43B05C35" w14:textId="77777777" w:rsidR="00BC572B" w:rsidRDefault="00BC572B" w:rsidP="00BC572B">
      <w:pPr>
        <w:spacing w:line="276" w:lineRule="auto"/>
        <w:ind w:left="-142" w:right="95"/>
        <w:jc w:val="both"/>
        <w:rPr>
          <w:rFonts w:ascii="Arial" w:hAnsi="Arial" w:cs="Arial"/>
          <w:sz w:val="22"/>
          <w:szCs w:val="22"/>
        </w:rPr>
      </w:pPr>
    </w:p>
    <w:p w14:paraId="5FCE3AC3"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05B13F0F" w14:textId="3CD9F6CA" w:rsidR="00BC572B" w:rsidRDefault="00BC572B" w:rsidP="00BC572B">
      <w:pPr>
        <w:pStyle w:val="Paragraph"/>
        <w:spacing w:before="0" w:line="276" w:lineRule="auto"/>
        <w:ind w:left="-142" w:right="95" w:firstLine="0"/>
        <w:jc w:val="both"/>
        <w:rPr>
          <w:rFonts w:ascii="Arial" w:hAnsi="Arial" w:cs="Arial"/>
          <w:sz w:val="22"/>
          <w:szCs w:val="22"/>
        </w:rPr>
      </w:pPr>
      <w:r>
        <w:rPr>
          <w:rFonts w:ascii="Arial" w:hAnsi="Arial" w:cs="Arial"/>
          <w:noProof/>
          <w:sz w:val="22"/>
          <w:szCs w:val="22"/>
        </w:rPr>
        <w:drawing>
          <wp:inline distT="0" distB="0" distL="0" distR="0" wp14:anchorId="21C6DDB3" wp14:editId="12557ABE">
            <wp:extent cx="5734050" cy="5391150"/>
            <wp:effectExtent l="0" t="0" r="0" b="0"/>
            <wp:docPr id="47059189" name="Picture 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graph&#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0" cy="5391150"/>
                    </a:xfrm>
                    <a:prstGeom prst="rect">
                      <a:avLst/>
                    </a:prstGeom>
                    <a:noFill/>
                    <a:ln>
                      <a:noFill/>
                    </a:ln>
                  </pic:spPr>
                </pic:pic>
              </a:graphicData>
            </a:graphic>
          </wp:inline>
        </w:drawing>
      </w:r>
    </w:p>
    <w:p w14:paraId="7BCCCB5B"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7AA26900" w14:textId="77777777" w:rsidR="00BC572B" w:rsidRDefault="00BC572B" w:rsidP="00BC572B">
      <w:pPr>
        <w:pStyle w:val="Paragraph"/>
        <w:spacing w:before="0" w:line="276" w:lineRule="auto"/>
        <w:ind w:left="-142" w:right="95" w:firstLine="0"/>
        <w:jc w:val="both"/>
        <w:rPr>
          <w:rFonts w:ascii="Arial" w:hAnsi="Arial" w:cs="Arial"/>
          <w:sz w:val="22"/>
          <w:szCs w:val="22"/>
        </w:rPr>
      </w:pPr>
    </w:p>
    <w:p w14:paraId="43A32A73" w14:textId="77777777" w:rsidR="00BC572B" w:rsidRDefault="00BC572B" w:rsidP="00BC572B">
      <w:pPr>
        <w:spacing w:line="276" w:lineRule="auto"/>
        <w:jc w:val="both"/>
        <w:rPr>
          <w:rStyle w:val="notion-enable-hover"/>
          <w:rFonts w:eastAsiaTheme="majorEastAsia"/>
        </w:rPr>
      </w:pPr>
      <w:r>
        <w:rPr>
          <w:rFonts w:ascii="Arial" w:hAnsi="Arial" w:cs="Arial"/>
          <w:b/>
          <w:bCs/>
          <w:sz w:val="22"/>
          <w:szCs w:val="22"/>
        </w:rPr>
        <w:t>Figure S5: Jag1+Tregs do not influence HFSC homeostasis during wound healing.  (A)</w:t>
      </w:r>
      <w:r>
        <w:rPr>
          <w:rFonts w:ascii="Arial" w:hAnsi="Arial" w:cs="Arial"/>
          <w:sz w:val="22"/>
          <w:szCs w:val="22"/>
        </w:rPr>
        <w:t>Kinetics of trans epidermal water loss (TEWL) taken during wound healing of</w:t>
      </w:r>
      <w:r>
        <w:rPr>
          <w:rFonts w:ascii="Arial" w:hAnsi="Arial" w:cs="Arial"/>
          <w:b/>
          <w:bCs/>
          <w:sz w:val="22"/>
          <w:szCs w:val="22"/>
        </w:rPr>
        <w:t xml:space="preserve"> </w:t>
      </w:r>
      <w:r>
        <w:rPr>
          <w:rFonts w:ascii="Arial" w:hAnsi="Arial" w:cs="Arial"/>
          <w:bCs/>
          <w:sz w:val="22"/>
          <w:szCs w:val="22"/>
        </w:rPr>
        <w:t>Foxp3</w:t>
      </w:r>
      <w:r>
        <w:rPr>
          <w:rFonts w:ascii="Arial" w:hAnsi="Arial" w:cs="Arial"/>
          <w:bCs/>
          <w:sz w:val="22"/>
          <w:szCs w:val="22"/>
          <w:vertAlign w:val="superscript"/>
        </w:rPr>
        <w:t>Ctrl</w:t>
      </w:r>
      <w:r>
        <w:rPr>
          <w:rFonts w:ascii="Arial" w:hAnsi="Arial" w:cs="Arial"/>
          <w:b/>
          <w:bCs/>
          <w:sz w:val="22"/>
          <w:szCs w:val="22"/>
        </w:rPr>
        <w:t xml:space="preserve"> </w:t>
      </w:r>
      <w:r>
        <w:rPr>
          <w:rFonts w:ascii="Arial" w:hAnsi="Arial" w:cs="Arial"/>
          <w:sz w:val="22"/>
          <w:szCs w:val="22"/>
        </w:rPr>
        <w:t>and Foxp3</w:t>
      </w:r>
      <w:r>
        <w:rPr>
          <w:rFonts w:ascii="Arial" w:hAnsi="Arial" w:cs="Arial"/>
          <w:sz w:val="22"/>
          <w:szCs w:val="22"/>
          <w:vertAlign w:val="superscript"/>
        </w:rPr>
        <w:t>ΔJag1</w:t>
      </w:r>
      <w:r>
        <w:rPr>
          <w:rFonts w:ascii="Arial" w:hAnsi="Arial" w:cs="Arial"/>
          <w:sz w:val="22"/>
          <w:szCs w:val="22"/>
        </w:rPr>
        <w:t>, with skin outside wound site setting the baseline of intact skin barrier (n = 8 per group).</w:t>
      </w:r>
      <w:r>
        <w:rPr>
          <w:rFonts w:ascii="Arial" w:hAnsi="Arial" w:cs="Arial"/>
          <w:b/>
          <w:bCs/>
          <w:sz w:val="22"/>
          <w:szCs w:val="22"/>
        </w:rPr>
        <w:t xml:space="preserve">(B) </w:t>
      </w:r>
      <w:r>
        <w:rPr>
          <w:rFonts w:ascii="Arial" w:hAnsi="Arial" w:cs="Arial"/>
          <w:sz w:val="22"/>
          <w:szCs w:val="22"/>
        </w:rPr>
        <w:t xml:space="preserve">Flow cytometric gating strategy to identify epithelial cell populations in skin. Cells were stained with Zombie UV live/dead stain and CD45 to identify live CD45neg populations. Epithelial cells were further separated into bulge HFSCs (Sca1+CD49f+CD34+)). </w:t>
      </w:r>
      <w:r>
        <w:rPr>
          <w:rStyle w:val="notion-enable-hover"/>
          <w:rFonts w:ascii="Arial" w:eastAsiaTheme="majorEastAsia" w:hAnsi="Arial" w:cs="Arial"/>
          <w:sz w:val="22"/>
          <w:szCs w:val="22"/>
        </w:rPr>
        <w:t xml:space="preserve">Representative flow plots and quantification of bulge HFSCs abundance (C) and their proliferation (D)from wounded skin at 5dpw (n = 4-8 per group). Data </w:t>
      </w:r>
      <w:r>
        <w:rPr>
          <w:rFonts w:ascii="Arial" w:hAnsi="Arial" w:cs="Arial"/>
          <w:sz w:val="22"/>
          <w:szCs w:val="22"/>
        </w:rPr>
        <w:t>were pooled from 2 independent experiments. Each individual data point represented a biological replicate, and was collectively presented with mean ± SEM Statistics were calculated by two-way ANOVA (A) and unpaired T-test (C and D). ns = non-</w:t>
      </w:r>
      <w:r>
        <w:rPr>
          <w:rFonts w:ascii="Arial" w:hAnsi="Arial" w:cs="Arial"/>
          <w:sz w:val="22"/>
          <w:szCs w:val="22"/>
        </w:rPr>
        <w:lastRenderedPageBreak/>
        <w:t xml:space="preserve">significant.. Statistics were calculated by unpaired T-test (B), and two-way ANOVA (B, D and F). ns = non-significant. </w:t>
      </w:r>
      <w:r>
        <w:rPr>
          <w:rStyle w:val="notion-enable-hover"/>
          <w:rFonts w:ascii="Arial" w:eastAsiaTheme="majorEastAsia" w:hAnsi="Arial" w:cs="Arial"/>
          <w:sz w:val="22"/>
          <w:szCs w:val="22"/>
        </w:rPr>
        <w:t xml:space="preserve"> </w:t>
      </w:r>
    </w:p>
    <w:p w14:paraId="65A04495" w14:textId="77777777" w:rsidR="00BC572B" w:rsidRDefault="00BC572B" w:rsidP="00BC572B">
      <w:pPr>
        <w:spacing w:line="276" w:lineRule="auto"/>
        <w:ind w:left="-142" w:right="95"/>
        <w:jc w:val="both"/>
        <w:rPr>
          <w:rStyle w:val="notion-enable-hover"/>
          <w:rFonts w:ascii="Arial" w:eastAsiaTheme="majorEastAsia" w:hAnsi="Arial" w:cs="Arial"/>
          <w:sz w:val="22"/>
          <w:szCs w:val="22"/>
        </w:rPr>
      </w:pPr>
    </w:p>
    <w:p w14:paraId="5073FAEB" w14:textId="77777777" w:rsidR="00BC572B" w:rsidRDefault="00BC572B" w:rsidP="00BC572B">
      <w:pPr>
        <w:spacing w:line="276" w:lineRule="auto"/>
        <w:ind w:left="-142" w:right="95"/>
        <w:jc w:val="both"/>
        <w:rPr>
          <w:rStyle w:val="notion-enable-hover"/>
          <w:rFonts w:ascii="Arial" w:eastAsiaTheme="majorEastAsia" w:hAnsi="Arial" w:cs="Arial"/>
          <w:sz w:val="22"/>
          <w:szCs w:val="22"/>
        </w:rPr>
      </w:pPr>
    </w:p>
    <w:p w14:paraId="0C6DEDB4" w14:textId="77777777" w:rsidR="00BC572B" w:rsidRDefault="00BC572B" w:rsidP="00BC572B">
      <w:pPr>
        <w:spacing w:line="276" w:lineRule="auto"/>
        <w:ind w:left="-142" w:right="95"/>
        <w:jc w:val="both"/>
        <w:rPr>
          <w:rStyle w:val="notion-enable-hover"/>
          <w:rFonts w:ascii="Arial" w:eastAsiaTheme="majorEastAsia" w:hAnsi="Arial" w:cs="Arial"/>
          <w:sz w:val="22"/>
          <w:szCs w:val="22"/>
        </w:rPr>
      </w:pPr>
    </w:p>
    <w:p w14:paraId="0B1D52F0"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72B"/>
    <w:rsid w:val="003E5F5B"/>
    <w:rsid w:val="005374DE"/>
    <w:rsid w:val="00871FE1"/>
    <w:rsid w:val="00AD1398"/>
    <w:rsid w:val="00BC5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A924A"/>
  <w15:chartTrackingRefBased/>
  <w15:docId w15:val="{FB0E491A-0532-400C-947A-08D763271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72B"/>
    <w:pPr>
      <w:spacing w:after="0" w:line="240" w:lineRule="auto"/>
    </w:pPr>
    <w:rPr>
      <w:rFonts w:ascii="Times New Roman" w:eastAsia="Times New Roman" w:hAnsi="Times New Roman" w:cs="Times New Roman"/>
      <w:kern w:val="0"/>
      <w:sz w:val="24"/>
      <w:szCs w:val="24"/>
      <w:lang w:val="en-GB" w:eastAsia="zh-TW"/>
      <w14:ligatures w14:val="none"/>
    </w:rPr>
  </w:style>
  <w:style w:type="paragraph" w:styleId="Heading1">
    <w:name w:val="heading 1"/>
    <w:basedOn w:val="Normal"/>
    <w:next w:val="Normal"/>
    <w:link w:val="Heading1Char"/>
    <w:uiPriority w:val="9"/>
    <w:qFormat/>
    <w:rsid w:val="00BC572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BC572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BC572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BC572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BC572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BC572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BC572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BC572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BC572B"/>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7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57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57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57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57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57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57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57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572B"/>
    <w:rPr>
      <w:rFonts w:eastAsiaTheme="majorEastAsia" w:cstheme="majorBidi"/>
      <w:color w:val="272727" w:themeColor="text1" w:themeTint="D8"/>
    </w:rPr>
  </w:style>
  <w:style w:type="paragraph" w:styleId="Title">
    <w:name w:val="Title"/>
    <w:basedOn w:val="Normal"/>
    <w:next w:val="Normal"/>
    <w:link w:val="TitleChar"/>
    <w:uiPriority w:val="10"/>
    <w:qFormat/>
    <w:rsid w:val="00BC572B"/>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BC57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72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BC57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72B"/>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US" w:eastAsia="en-US"/>
      <w14:ligatures w14:val="standardContextual"/>
    </w:rPr>
  </w:style>
  <w:style w:type="character" w:customStyle="1" w:styleId="QuoteChar">
    <w:name w:val="Quote Char"/>
    <w:basedOn w:val="DefaultParagraphFont"/>
    <w:link w:val="Quote"/>
    <w:uiPriority w:val="29"/>
    <w:rsid w:val="00BC572B"/>
    <w:rPr>
      <w:i/>
      <w:iCs/>
      <w:color w:val="404040" w:themeColor="text1" w:themeTint="BF"/>
    </w:rPr>
  </w:style>
  <w:style w:type="paragraph" w:styleId="ListParagraph">
    <w:name w:val="List Paragraph"/>
    <w:basedOn w:val="Normal"/>
    <w:uiPriority w:val="34"/>
    <w:qFormat/>
    <w:rsid w:val="00BC572B"/>
    <w:pPr>
      <w:spacing w:after="160" w:line="259"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character" w:styleId="IntenseEmphasis">
    <w:name w:val="Intense Emphasis"/>
    <w:basedOn w:val="DefaultParagraphFont"/>
    <w:uiPriority w:val="21"/>
    <w:qFormat/>
    <w:rsid w:val="00BC572B"/>
    <w:rPr>
      <w:i/>
      <w:iCs/>
      <w:color w:val="0F4761" w:themeColor="accent1" w:themeShade="BF"/>
    </w:rPr>
  </w:style>
  <w:style w:type="paragraph" w:styleId="IntenseQuote">
    <w:name w:val="Intense Quote"/>
    <w:basedOn w:val="Normal"/>
    <w:next w:val="Normal"/>
    <w:link w:val="IntenseQuoteChar"/>
    <w:uiPriority w:val="30"/>
    <w:qFormat/>
    <w:rsid w:val="00BC572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US" w:eastAsia="en-US"/>
      <w14:ligatures w14:val="standardContextual"/>
    </w:rPr>
  </w:style>
  <w:style w:type="character" w:customStyle="1" w:styleId="IntenseQuoteChar">
    <w:name w:val="Intense Quote Char"/>
    <w:basedOn w:val="DefaultParagraphFont"/>
    <w:link w:val="IntenseQuote"/>
    <w:uiPriority w:val="30"/>
    <w:rsid w:val="00BC572B"/>
    <w:rPr>
      <w:i/>
      <w:iCs/>
      <w:color w:val="0F4761" w:themeColor="accent1" w:themeShade="BF"/>
    </w:rPr>
  </w:style>
  <w:style w:type="character" w:styleId="IntenseReference">
    <w:name w:val="Intense Reference"/>
    <w:basedOn w:val="DefaultParagraphFont"/>
    <w:uiPriority w:val="32"/>
    <w:qFormat/>
    <w:rsid w:val="00BC572B"/>
    <w:rPr>
      <w:b/>
      <w:bCs/>
      <w:smallCaps/>
      <w:color w:val="0F4761" w:themeColor="accent1" w:themeShade="BF"/>
      <w:spacing w:val="5"/>
    </w:rPr>
  </w:style>
  <w:style w:type="paragraph" w:customStyle="1" w:styleId="Paragraph">
    <w:name w:val="Paragraph"/>
    <w:basedOn w:val="Normal"/>
    <w:rsid w:val="00BC572B"/>
    <w:pPr>
      <w:spacing w:before="120"/>
      <w:ind w:firstLine="720"/>
    </w:pPr>
    <w:rPr>
      <w:lang w:val="en-US" w:eastAsia="en-US"/>
    </w:rPr>
  </w:style>
  <w:style w:type="character" w:customStyle="1" w:styleId="notion-enable-hover">
    <w:name w:val="notion-enable-hover"/>
    <w:basedOn w:val="DefaultParagraphFont"/>
    <w:rsid w:val="00BC572B"/>
  </w:style>
  <w:style w:type="character" w:styleId="Emphasis">
    <w:name w:val="Emphasis"/>
    <w:basedOn w:val="DefaultParagraphFont"/>
    <w:uiPriority w:val="20"/>
    <w:qFormat/>
    <w:rsid w:val="00BC57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389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597</Words>
  <Characters>3407</Characters>
  <Application>Microsoft Office Word</Application>
  <DocSecurity>0</DocSecurity>
  <Lines>28</Lines>
  <Paragraphs>7</Paragraphs>
  <ScaleCrop>false</ScaleCrop>
  <Company>Springer Nature</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2024-06-27T05:22:00Z</dcterms:created>
  <dcterms:modified xsi:type="dcterms:W3CDTF">2024-06-27T05:23:00Z</dcterms:modified>
</cp:coreProperties>
</file>