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2EE7" w14:textId="77777777" w:rsidR="00FB0DF5" w:rsidRPr="00822E58" w:rsidRDefault="00FB0DF5" w:rsidP="00FB0DF5">
      <w:pPr>
        <w:jc w:val="center"/>
        <w:rPr>
          <w:b/>
          <w:bCs/>
          <w:sz w:val="32"/>
          <w:szCs w:val="32"/>
        </w:rPr>
      </w:pPr>
      <w:r w:rsidRPr="00822E58">
        <w:rPr>
          <w:b/>
          <w:bCs/>
          <w:sz w:val="32"/>
          <w:szCs w:val="32"/>
        </w:rPr>
        <w:t xml:space="preserve">Additional file </w:t>
      </w:r>
    </w:p>
    <w:p w14:paraId="2B123B9F" w14:textId="77777777" w:rsidR="00FB0DF5" w:rsidRDefault="00FB0DF5" w:rsidP="00FB0DF5">
      <w:pPr>
        <w:rPr>
          <w:b/>
          <w:bCs/>
        </w:rPr>
      </w:pPr>
    </w:p>
    <w:p w14:paraId="75860538" w14:textId="77777777" w:rsidR="00FB0DF5" w:rsidRPr="00BD0C30" w:rsidRDefault="00FB0DF5" w:rsidP="00FB0DF5">
      <w:pPr>
        <w:rPr>
          <w:b/>
          <w:bCs/>
          <w:sz w:val="28"/>
          <w:szCs w:val="28"/>
        </w:rPr>
      </w:pPr>
      <w:r w:rsidRPr="00BD0C30">
        <w:rPr>
          <w:b/>
          <w:bCs/>
          <w:sz w:val="28"/>
          <w:szCs w:val="28"/>
        </w:rPr>
        <w:t>S</w:t>
      </w:r>
      <w:r w:rsidRPr="00BD0C30">
        <w:rPr>
          <w:rFonts w:hint="eastAsia"/>
          <w:b/>
          <w:bCs/>
          <w:sz w:val="28"/>
          <w:szCs w:val="28"/>
        </w:rPr>
        <w:t>1</w:t>
      </w:r>
      <w:r w:rsidRPr="00BD0C30">
        <w:rPr>
          <w:b/>
          <w:bCs/>
          <w:sz w:val="28"/>
          <w:szCs w:val="28"/>
        </w:rPr>
        <w:t xml:space="preserve">. Data </w:t>
      </w:r>
      <w:r w:rsidRPr="00BD0C30">
        <w:rPr>
          <w:rFonts w:hint="eastAsia"/>
          <w:b/>
          <w:bCs/>
          <w:sz w:val="28"/>
          <w:szCs w:val="28"/>
        </w:rPr>
        <w:t>Information</w:t>
      </w:r>
    </w:p>
    <w:p w14:paraId="318339F8" w14:textId="77777777" w:rsidR="00FB0DF5" w:rsidRDefault="00FB0DF5" w:rsidP="00FB0DF5"/>
    <w:p w14:paraId="1253A60E" w14:textId="77777777" w:rsidR="00FB0DF5" w:rsidRPr="00B713E7" w:rsidRDefault="00FB0DF5" w:rsidP="00FB0DF5">
      <w:pPr>
        <w:spacing w:line="480" w:lineRule="auto"/>
        <w:rPr>
          <w:iCs/>
        </w:rPr>
      </w:pPr>
      <w:r w:rsidRPr="00B713E7">
        <w:rPr>
          <w:iCs/>
        </w:rPr>
        <w:t>All datasets used in this study are listed in Table</w:t>
      </w:r>
      <w:r w:rsidRPr="00B713E7">
        <w:rPr>
          <w:rFonts w:hint="eastAsia"/>
          <w:iCs/>
        </w:rPr>
        <w:t xml:space="preserve"> </w:t>
      </w:r>
      <w:r>
        <w:rPr>
          <w:rFonts w:hint="eastAsia"/>
          <w:iCs/>
        </w:rPr>
        <w:t>S</w:t>
      </w:r>
      <w:r w:rsidRPr="00B713E7">
        <w:rPr>
          <w:rFonts w:hint="eastAsia"/>
          <w:iCs/>
        </w:rPr>
        <w:t>1</w:t>
      </w:r>
      <w:r w:rsidRPr="00B713E7">
        <w:rPr>
          <w:iCs/>
        </w:rPr>
        <w:t xml:space="preserve">. </w:t>
      </w:r>
      <w:r w:rsidRPr="00B713E7">
        <w:rPr>
          <w:rFonts w:hint="eastAsia"/>
          <w:iCs/>
        </w:rPr>
        <w:t xml:space="preserve">We </w:t>
      </w:r>
      <w:r w:rsidRPr="00B713E7">
        <w:rPr>
          <w:iCs/>
        </w:rPr>
        <w:t xml:space="preserve">include </w:t>
      </w:r>
      <w:r w:rsidRPr="00B713E7">
        <w:rPr>
          <w:rFonts w:hint="eastAsia"/>
          <w:iCs/>
        </w:rPr>
        <w:t>six</w:t>
      </w:r>
      <w:r w:rsidRPr="00B713E7">
        <w:rPr>
          <w:iCs/>
        </w:rPr>
        <w:t xml:space="preserve"> datasets from human peripheral blood mononuclear cells (PBMC</w:t>
      </w:r>
      <w:r w:rsidRPr="00B713E7">
        <w:rPr>
          <w:rFonts w:hint="eastAsia"/>
          <w:iCs/>
        </w:rPr>
        <w:t xml:space="preserve">s) </w:t>
      </w:r>
      <w:r w:rsidRPr="00B713E7">
        <w:rPr>
          <w:iCs/>
        </w:rPr>
        <w:t>processed by 10X sequencing platform. “</w:t>
      </w:r>
      <w:r w:rsidRPr="00B713E7">
        <w:rPr>
          <w:rFonts w:hint="eastAsia"/>
          <w:iCs/>
        </w:rPr>
        <w:t>Lupus</w:t>
      </w:r>
      <w:r w:rsidRPr="00B713E7">
        <w:rPr>
          <w:iCs/>
        </w:rPr>
        <w:t>”</w:t>
      </w:r>
      <w:r w:rsidRPr="00B713E7">
        <w:rPr>
          <w:rFonts w:hint="eastAsia"/>
          <w:iCs/>
        </w:rPr>
        <w:t xml:space="preserve"> represents the </w:t>
      </w:r>
      <w:r w:rsidRPr="00B713E7">
        <w:rPr>
          <w:iCs/>
        </w:rPr>
        <w:t>studies from lupus patients</w:t>
      </w:r>
      <w:r w:rsidRPr="00B713E7">
        <w:rPr>
          <w:rFonts w:hint="eastAsia"/>
          <w:iCs/>
        </w:rPr>
        <w:t xml:space="preserve"> with </w:t>
      </w:r>
      <w:r w:rsidRPr="00B713E7">
        <w:rPr>
          <w:iCs/>
        </w:rPr>
        <w:t>frozen (pbmc1) and fresh (pbmc2) samples</w:t>
      </w:r>
      <w:bookmarkStart w:id="0" w:name="OLE_LINK6"/>
      <w:r>
        <w:rPr>
          <w:rFonts w:hint="eastAsia"/>
          <w:iCs/>
        </w:rPr>
        <w:t xml:space="preserve"> </w:t>
      </w:r>
      <w:r>
        <w:rPr>
          <w:iCs/>
        </w:rPr>
        <w:fldChar w:fldCharType="begin"/>
      </w:r>
      <w:r>
        <w:rPr>
          <w:iCs/>
        </w:rPr>
        <w:instrText xml:space="preserve"> ADDIN EN.CITE &lt;EndNote&gt;&lt;Cite&gt;&lt;Author&gt;Kang&lt;/Author&gt;&lt;Year&gt;2018&lt;/Year&gt;&lt;RecNum&gt;16&lt;/RecNum&gt;&lt;DisplayText&gt;[1]&lt;/DisplayText&gt;&lt;record&gt;&lt;rec-number&gt;16&lt;/rec-number&gt;&lt;foreign-keys&gt;&lt;key app="EN" db-id="pdrtdrspu0t5adex5vopfs0b20vtdfzptpwv" timestamp="1715961299"&gt;16&lt;/key&gt;&lt;/foreign-keys&gt;&lt;ref-type name="Journal Article"&gt;17&lt;/ref-type&gt;&lt;contributors&gt;&lt;authors&gt;&lt;author&gt;Kang, Hyun Min&lt;/author&gt;&lt;author&gt;Subramaniam, Meena&lt;/author&gt;&lt;author&gt;Targ, Sasha&lt;/author&gt;&lt;author&gt;Nguyen, Michelle&lt;/author&gt;&lt;author&gt;Maliskova, Lenka&lt;/author&gt;&lt;author&gt;McCarthy, Elizabeth&lt;/author&gt;&lt;author&gt;Wan, Eunice&lt;/author&gt;&lt;author&gt;Wong, Simon&lt;/author&gt;&lt;author&gt;Byrnes, Lauren&lt;/author&gt;&lt;author&gt;Lanata, Cristina M&lt;/author&gt;&lt;/authors&gt;&lt;/contributors&gt;&lt;titles&gt;&lt;title&gt;Multiplexed droplet single-cell RNA-sequencing using natural genetic variation&lt;/title&gt;&lt;secondary-title&gt;Nature biotechnology&lt;/secondary-title&gt;&lt;/titles&gt;&lt;periodical&gt;&lt;full-title&gt;Nature biotechnology&lt;/full-title&gt;&lt;/periodical&gt;&lt;pages&gt;89-94&lt;/pages&gt;&lt;volume&gt;36&lt;/volume&gt;&lt;number&gt;1&lt;/number&gt;&lt;dates&gt;&lt;year&gt;2018&lt;/year&gt;&lt;/dates&gt;&lt;isbn&gt;1087-0156&lt;/isbn&gt;&lt;urls&gt;&lt;/urls&gt;&lt;/record&gt;&lt;/Cite&gt;&lt;/EndNote&gt;</w:instrText>
      </w:r>
      <w:r>
        <w:rPr>
          <w:iCs/>
        </w:rPr>
        <w:fldChar w:fldCharType="separate"/>
      </w:r>
      <w:r>
        <w:rPr>
          <w:iCs/>
          <w:noProof/>
        </w:rPr>
        <w:t>[1]</w:t>
      </w:r>
      <w:r>
        <w:rPr>
          <w:iCs/>
        </w:rPr>
        <w:fldChar w:fldCharType="end"/>
      </w:r>
      <w:r w:rsidRPr="00B713E7">
        <w:rPr>
          <w:iCs/>
        </w:rPr>
        <w:t>.</w:t>
      </w:r>
      <w:bookmarkStart w:id="1" w:name="OLE_LINK2"/>
      <w:bookmarkStart w:id="2" w:name="OLE_LINK3"/>
      <w:r w:rsidRPr="00B713E7">
        <w:rPr>
          <w:rFonts w:hint="eastAsia"/>
          <w:iCs/>
        </w:rPr>
        <w:t xml:space="preserve"> </w:t>
      </w:r>
      <w:bookmarkEnd w:id="0"/>
      <w:r w:rsidRPr="00B713E7">
        <w:rPr>
          <w:iCs/>
        </w:rPr>
        <w:t>“</w:t>
      </w:r>
      <w:r w:rsidRPr="00B713E7">
        <w:rPr>
          <w:rFonts w:hint="eastAsia"/>
          <w:iCs/>
        </w:rPr>
        <w:t>P</w:t>
      </w:r>
      <w:r w:rsidRPr="00B713E7">
        <w:rPr>
          <w:iCs/>
        </w:rPr>
        <w:t>rotocol” originates from a study comparing different sequencing methods</w:t>
      </w:r>
      <w:r w:rsidRPr="00B713E7">
        <w:rPr>
          <w:rFonts w:hint="eastAsia"/>
          <w:iCs/>
        </w:rPr>
        <w:t xml:space="preserve"> across various samples </w:t>
      </w:r>
      <w:r>
        <w:rPr>
          <w:iCs/>
        </w:rPr>
        <w:fldChar w:fldCharType="begin"/>
      </w:r>
      <w:r>
        <w:rPr>
          <w:iCs/>
        </w:rPr>
        <w:instrText xml:space="preserve"> ADDIN EN.CITE &lt;EndNote&gt;&lt;Cite&gt;&lt;Author&gt;Ding&lt;/Author&gt;&lt;Year&gt;2020&lt;/Year&gt;&lt;RecNum&gt;23&lt;/RecNum&gt;&lt;DisplayText&gt;[2]&lt;/DisplayText&gt;&lt;record&gt;&lt;rec-number&gt;23&lt;/rec-number&gt;&lt;foreign-keys&gt;&lt;key app="EN" db-id="pdrtdrspu0t5adex5vopfs0b20vtdfzptpwv" timestamp="1715962058"&gt;23&lt;/key&gt;&lt;/foreign-keys&gt;&lt;ref-type name="Journal Article"&gt;17&lt;/ref-type&gt;&lt;contributors&gt;&lt;authors&gt;&lt;author&gt;Ding, Jiarui&lt;/author&gt;&lt;author&gt;Adiconis, Xian&lt;/author&gt;&lt;author&gt;Simmons, Sean K&lt;/author&gt;&lt;author&gt;Kowalczyk, Monika S&lt;/author&gt;&lt;author&gt;Hession, Cynthia C&lt;/author&gt;&lt;author&gt;Marjanovic, Nemanja D&lt;/author&gt;&lt;author&gt;Hughes, Travis K&lt;/author&gt;&lt;author&gt;Wadsworth, Marc H&lt;/author&gt;&lt;author&gt;Burks, Tyler&lt;/author&gt;&lt;author&gt;Nguyen, Lan T&lt;/author&gt;&lt;/authors&gt;&lt;/contributors&gt;&lt;titles&gt;&lt;title&gt;Systematic comparison of single-cell and single-nucleus RNA-sequencing methods&lt;/title&gt;&lt;secondary-title&gt;Nature biotechnology&lt;/secondary-title&gt;&lt;/titles&gt;&lt;periodical&gt;&lt;full-title&gt;Nature biotechnology&lt;/full-title&gt;&lt;/periodical&gt;&lt;pages&gt;737-746&lt;/pages&gt;&lt;volume&gt;38&lt;/volume&gt;&lt;number&gt;6&lt;/number&gt;&lt;dates&gt;&lt;year&gt;2020&lt;/year&gt;&lt;/dates&gt;&lt;isbn&gt;1087-0156&lt;/isbn&gt;&lt;urls&gt;&lt;/urls&gt;&lt;/record&gt;&lt;/Cite&gt;&lt;/EndNote&gt;</w:instrText>
      </w:r>
      <w:r>
        <w:rPr>
          <w:iCs/>
        </w:rPr>
        <w:fldChar w:fldCharType="separate"/>
      </w:r>
      <w:r>
        <w:rPr>
          <w:iCs/>
          <w:noProof/>
        </w:rPr>
        <w:t>[2]</w:t>
      </w:r>
      <w:r>
        <w:rPr>
          <w:iCs/>
        </w:rPr>
        <w:fldChar w:fldCharType="end"/>
      </w:r>
      <w:r w:rsidRPr="00B713E7">
        <w:rPr>
          <w:iCs/>
        </w:rPr>
        <w:t xml:space="preserve">. We </w:t>
      </w:r>
      <w:r w:rsidRPr="00B713E7">
        <w:rPr>
          <w:rFonts w:hint="eastAsia"/>
          <w:iCs/>
        </w:rPr>
        <w:t xml:space="preserve">only </w:t>
      </w:r>
      <w:r w:rsidRPr="00B713E7">
        <w:rPr>
          <w:iCs/>
        </w:rPr>
        <w:t>retain human PBMC</w:t>
      </w:r>
      <w:r w:rsidRPr="00B713E7">
        <w:rPr>
          <w:rFonts w:hint="eastAsia"/>
          <w:iCs/>
        </w:rPr>
        <w:t>s</w:t>
      </w:r>
      <w:r w:rsidRPr="00B713E7">
        <w:rPr>
          <w:iCs/>
        </w:rPr>
        <w:t xml:space="preserve"> processed by 10X Chromium.</w:t>
      </w:r>
      <w:r w:rsidRPr="00B713E7">
        <w:rPr>
          <w:rFonts w:hint="eastAsia"/>
          <w:iCs/>
        </w:rPr>
        <w:t xml:space="preserve"> </w:t>
      </w:r>
      <w:r w:rsidRPr="00B713E7">
        <w:rPr>
          <w:iCs/>
        </w:rPr>
        <w:t>“Covid</w:t>
      </w:r>
      <w:r w:rsidRPr="00B713E7">
        <w:rPr>
          <w:rFonts w:hint="eastAsia"/>
          <w:iCs/>
        </w:rPr>
        <w:t xml:space="preserve"> </w:t>
      </w:r>
      <w:r w:rsidRPr="00B713E7">
        <w:rPr>
          <w:iCs/>
        </w:rPr>
        <w:t>UK”</w:t>
      </w:r>
      <w:r w:rsidRPr="00B713E7">
        <w:rPr>
          <w:rFonts w:hint="eastAsia"/>
          <w:iCs/>
        </w:rPr>
        <w:t xml:space="preserve">, </w:t>
      </w:r>
      <w:r w:rsidRPr="00B713E7">
        <w:rPr>
          <w:iCs/>
        </w:rPr>
        <w:t>“Covid</w:t>
      </w:r>
      <w:r w:rsidRPr="00B713E7">
        <w:rPr>
          <w:rFonts w:hint="eastAsia"/>
          <w:iCs/>
        </w:rPr>
        <w:t xml:space="preserve"> CN</w:t>
      </w:r>
      <w:r w:rsidRPr="00B713E7">
        <w:rPr>
          <w:iCs/>
        </w:rPr>
        <w:t>”</w:t>
      </w:r>
      <w:r w:rsidRPr="00B713E7">
        <w:rPr>
          <w:rFonts w:hint="eastAsia"/>
          <w:iCs/>
        </w:rPr>
        <w:t xml:space="preserve"> and </w:t>
      </w:r>
      <w:r w:rsidRPr="00B713E7">
        <w:rPr>
          <w:iCs/>
        </w:rPr>
        <w:t>“Covid</w:t>
      </w:r>
      <w:r w:rsidRPr="00B713E7">
        <w:rPr>
          <w:rFonts w:hint="eastAsia"/>
          <w:iCs/>
        </w:rPr>
        <w:t xml:space="preserve"> FMC</w:t>
      </w:r>
      <w:r w:rsidRPr="00B713E7">
        <w:rPr>
          <w:iCs/>
        </w:rPr>
        <w:t>”</w:t>
      </w:r>
      <w:r w:rsidRPr="00B713E7">
        <w:rPr>
          <w:rFonts w:hint="eastAsia"/>
          <w:iCs/>
        </w:rPr>
        <w:t xml:space="preserve"> are all cohort </w:t>
      </w:r>
      <w:r w:rsidRPr="00B713E7">
        <w:rPr>
          <w:iCs/>
        </w:rPr>
        <w:t>studies examining patients with varying severities of COVID-19</w:t>
      </w:r>
      <w:r w:rsidRPr="00B713E7">
        <w:rPr>
          <w:rFonts w:hint="eastAsia"/>
          <w:iCs/>
        </w:rPr>
        <w:t xml:space="preserve"> </w:t>
      </w:r>
      <w:r>
        <w:rPr>
          <w:iCs/>
        </w:rPr>
        <w:fldChar w:fldCharType="begin">
          <w:fldData xml:space="preserve">PEVuZE5vdGU+PENpdGU+PEF1dGhvcj5TdGVwaGVuc29uPC9BdXRob3I+PFllYXI+MjAyMTwvWWVh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</w:fldData>
        </w:fldChar>
      </w:r>
      <w:r>
        <w:rPr>
          <w:iCs/>
        </w:rPr>
        <w:instrText xml:space="preserve"> ADDIN EN.CITE </w:instrText>
      </w:r>
      <w:r>
        <w:rPr>
          <w:iCs/>
        </w:rPr>
        <w:fldChar w:fldCharType="begin">
          <w:fldData xml:space="preserve">PEVuZE5vdGU+PENpdGU+PEF1dGhvcj5TdGVwaGVuc29uPC9BdXRob3I+PFllYXI+MjAyMTwvWWVh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</w:fldData>
        </w:fldChar>
      </w:r>
      <w:r>
        <w:rPr>
          <w:iCs/>
        </w:rPr>
        <w:instrText xml:space="preserve"> ADDIN EN.CITE.DATA </w:instrText>
      </w:r>
      <w:r>
        <w:rPr>
          <w:iCs/>
        </w:rPr>
      </w:r>
      <w:r>
        <w:rPr>
          <w:iCs/>
        </w:rPr>
        <w:fldChar w:fldCharType="end"/>
      </w:r>
      <w:r>
        <w:rPr>
          <w:iCs/>
        </w:rPr>
      </w:r>
      <w:r>
        <w:rPr>
          <w:iCs/>
        </w:rPr>
        <w:fldChar w:fldCharType="separate"/>
      </w:r>
      <w:r>
        <w:rPr>
          <w:iCs/>
          <w:noProof/>
        </w:rPr>
        <w:t>[3-5]</w:t>
      </w:r>
      <w:r>
        <w:rPr>
          <w:iCs/>
        </w:rPr>
        <w:fldChar w:fldCharType="end"/>
      </w:r>
      <w:r w:rsidRPr="00B713E7">
        <w:rPr>
          <w:iCs/>
        </w:rPr>
        <w:t xml:space="preserve">. The cell </w:t>
      </w:r>
      <w:r>
        <w:rPr>
          <w:rFonts w:hint="eastAsia"/>
          <w:iCs/>
        </w:rPr>
        <w:t>labels</w:t>
      </w:r>
      <w:r w:rsidRPr="00B713E7">
        <w:rPr>
          <w:iCs/>
        </w:rPr>
        <w:t xml:space="preserve"> from the above datasets are annotated in the literatures by unsupervised clustering and known marker gene expression. </w:t>
      </w:r>
    </w:p>
    <w:bookmarkEnd w:id="1"/>
    <w:bookmarkEnd w:id="2"/>
    <w:p w14:paraId="2E161B16" w14:textId="7FD2BEFB" w:rsidR="00FB0DF5" w:rsidRPr="00B713E7" w:rsidRDefault="00FB0DF5" w:rsidP="00FB0DF5">
      <w:pPr>
        <w:spacing w:line="480" w:lineRule="auto"/>
        <w:rPr>
          <w:iCs/>
        </w:rPr>
      </w:pPr>
      <w:r w:rsidRPr="00B713E7">
        <w:rPr>
          <w:rFonts w:hint="eastAsia"/>
          <w:iCs/>
        </w:rPr>
        <w:t>Since</w:t>
      </w:r>
      <w:r w:rsidRPr="00B713E7">
        <w:rPr>
          <w:iCs/>
        </w:rPr>
        <w:t xml:space="preserve"> the computationally derived annotations </w:t>
      </w:r>
      <w:r w:rsidRPr="00B713E7">
        <w:rPr>
          <w:rFonts w:hint="eastAsia"/>
          <w:iCs/>
        </w:rPr>
        <w:t>might</w:t>
      </w:r>
      <w:r w:rsidRPr="00B713E7">
        <w:rPr>
          <w:iCs/>
        </w:rPr>
        <w:t xml:space="preserve"> bias toward certain computational prediction methods, we also includ</w:t>
      </w:r>
      <w:r>
        <w:rPr>
          <w:iCs/>
        </w:rPr>
        <w:t xml:space="preserve">e a </w:t>
      </w:r>
      <w:r w:rsidRPr="00B713E7">
        <w:rPr>
          <w:iCs/>
        </w:rPr>
        <w:t>“</w:t>
      </w:r>
      <w:r w:rsidRPr="00B713E7">
        <w:rPr>
          <w:rFonts w:hint="eastAsia"/>
          <w:iCs/>
        </w:rPr>
        <w:t>FACS</w:t>
      </w:r>
      <w:r w:rsidRPr="00B713E7">
        <w:rPr>
          <w:iCs/>
        </w:rPr>
        <w:t>”</w:t>
      </w:r>
      <w:r w:rsidRPr="00B713E7">
        <w:rPr>
          <w:rFonts w:hint="eastAsia"/>
          <w:iCs/>
        </w:rPr>
        <w:t xml:space="preserve"> </w:t>
      </w:r>
      <w:r w:rsidRPr="00B713E7">
        <w:rPr>
          <w:iCs/>
        </w:rPr>
        <w:t xml:space="preserve">dataset with </w:t>
      </w:r>
      <w:r w:rsidRPr="00B713E7">
        <w:rPr>
          <w:rFonts w:hint="eastAsia"/>
          <w:iCs/>
        </w:rPr>
        <w:t>9</w:t>
      </w:r>
      <w:r w:rsidRPr="00B713E7">
        <w:rPr>
          <w:iCs/>
        </w:rPr>
        <w:t xml:space="preserve"> cell subpopulations from a healthy donor</w:t>
      </w:r>
      <w:r w:rsidRPr="00B713E7">
        <w:rPr>
          <w:rFonts w:hint="eastAsia"/>
          <w:iCs/>
        </w:rPr>
        <w:t xml:space="preserve"> as a golden standard dataset</w:t>
      </w:r>
      <w:r w:rsidRPr="00B713E7">
        <w:rPr>
          <w:iCs/>
        </w:rPr>
        <w:t>, where the cell</w:t>
      </w:r>
      <w:r>
        <w:rPr>
          <w:rFonts w:hint="eastAsia"/>
          <w:iCs/>
        </w:rPr>
        <w:t>s</w:t>
      </w:r>
      <w:r w:rsidRPr="00B713E7">
        <w:rPr>
          <w:iCs/>
        </w:rPr>
        <w:t xml:space="preserve"> </w:t>
      </w:r>
      <w:r w:rsidR="0095743F">
        <w:rPr>
          <w:rFonts w:hint="eastAsia"/>
          <w:iCs/>
        </w:rPr>
        <w:t>are</w:t>
      </w:r>
      <w:r w:rsidRPr="00B713E7">
        <w:rPr>
          <w:iCs/>
        </w:rPr>
        <w:t xml:space="preserve"> </w:t>
      </w:r>
      <w:r w:rsidRPr="005304A1">
        <w:rPr>
          <w:iCs/>
        </w:rPr>
        <w:t>separated by</w:t>
      </w:r>
      <w:r>
        <w:rPr>
          <w:rFonts w:hint="eastAsia"/>
          <w:iCs/>
        </w:rPr>
        <w:t xml:space="preserve"> f</w:t>
      </w:r>
      <w:r w:rsidRPr="005304A1">
        <w:rPr>
          <w:iCs/>
        </w:rPr>
        <w:t>luorescence-activated cell sorting (FACS)</w:t>
      </w:r>
      <w:r>
        <w:rPr>
          <w:rFonts w:hint="eastAsia"/>
          <w:iCs/>
        </w:rPr>
        <w:t xml:space="preserve"> </w:t>
      </w:r>
      <w:r>
        <w:rPr>
          <w:iCs/>
        </w:rPr>
        <w:fldChar w:fldCharType="begin"/>
      </w:r>
      <w:r>
        <w:rPr>
          <w:iCs/>
        </w:rPr>
        <w:instrText xml:space="preserve"> ADDIN EN.CITE &lt;EndNote&gt;&lt;Cite&gt;&lt;Author&gt;Zheng&lt;/Author&gt;&lt;Year&gt;2017&lt;/Year&gt;&lt;RecNum&gt;24&lt;/RecNum&gt;&lt;DisplayText&gt;[6]&lt;/DisplayText&gt;&lt;record&gt;&lt;rec-number&gt;24&lt;/rec-number&gt;&lt;foreign-keys&gt;&lt;key app="EN" db-id="pdrtdrspu0t5adex5vopfs0b20vtdfzptpwv" timestamp="1715962069"&gt;24&lt;/key&gt;&lt;/foreign-keys&gt;&lt;ref-type name="Journal Article"&gt;17&lt;/ref-type&gt;&lt;contributors&gt;&lt;authors&gt;&lt;author&gt;Zheng, Grace XY&lt;/author&gt;&lt;author&gt;Terry, Jessica M&lt;/author&gt;&lt;author&gt;Belgrader, Phillip&lt;/author&gt;&lt;author&gt;Ryvkin, Paul&lt;/author&gt;&lt;author&gt;Bent, Zachary W&lt;/author&gt;&lt;author&gt;Wilson, Ryan&lt;/author&gt;&lt;author&gt;Ziraldo, Solongo B&lt;/author&gt;&lt;author&gt;Wheeler, Tobias D&lt;/author&gt;&lt;author&gt;McDermott, Geoff P&lt;/author&gt;&lt;author&gt;Zhu, Junjie&lt;/author&gt;&lt;/authors&gt;&lt;/contributors&gt;&lt;titles&gt;&lt;title&gt;Massively parallel digital transcriptional profiling of single cells&lt;/title&gt;&lt;secondary-title&gt;Nature communications&lt;/secondary-title&gt;&lt;/titles&gt;&lt;periodical&gt;&lt;full-title&gt;Nature communications&lt;/full-title&gt;&lt;/periodical&gt;&lt;pages&gt;14049&lt;/pages&gt;&lt;volume&gt;8&lt;/volume&gt;&lt;number&gt;1&lt;/number&gt;&lt;dates&gt;&lt;year&gt;2017&lt;/year&gt;&lt;/dates&gt;&lt;isbn&gt;2041-1723&lt;/isbn&gt;&lt;urls&gt;&lt;/urls&gt;&lt;/record&gt;&lt;/Cite&gt;&lt;/EndNote&gt;</w:instrText>
      </w:r>
      <w:r>
        <w:rPr>
          <w:iCs/>
        </w:rPr>
        <w:fldChar w:fldCharType="separate"/>
      </w:r>
      <w:r>
        <w:rPr>
          <w:iCs/>
          <w:noProof/>
        </w:rPr>
        <w:t>[6]</w:t>
      </w:r>
      <w:r>
        <w:rPr>
          <w:iCs/>
        </w:rPr>
        <w:fldChar w:fldCharType="end"/>
      </w:r>
      <w:r w:rsidRPr="00B713E7">
        <w:rPr>
          <w:iCs/>
        </w:rPr>
        <w:t>.</w:t>
      </w:r>
    </w:p>
    <w:p w14:paraId="2119F715" w14:textId="77777777" w:rsidR="00FB0DF5" w:rsidRDefault="00FB0DF5" w:rsidP="00FB0DF5"/>
    <w:p w14:paraId="7C289D2B" w14:textId="77777777" w:rsidR="00FB0DF5" w:rsidRDefault="00FB0DF5" w:rsidP="00FB0DF5">
      <w:pPr>
        <w:rPr>
          <w:b/>
          <w:bCs/>
        </w:rPr>
      </w:pPr>
      <w:r>
        <w:rPr>
          <w:b/>
          <w:bCs/>
        </w:rPr>
        <w:t>Table</w:t>
      </w:r>
      <w:r>
        <w:rPr>
          <w:rFonts w:hint="eastAsia"/>
          <w:b/>
          <w:bCs/>
        </w:rPr>
        <w:t xml:space="preserve"> S1</w:t>
      </w:r>
      <w:r>
        <w:rPr>
          <w:b/>
          <w:bCs/>
        </w:rPr>
        <w:t>. Human PBMC Datasets used in this study</w:t>
      </w:r>
    </w:p>
    <w:p w14:paraId="3D2271D5" w14:textId="77777777" w:rsidR="00FB0DF5" w:rsidRPr="00DE1338" w:rsidRDefault="00FB0DF5" w:rsidP="00FB0DF5">
      <w:pPr>
        <w:rPr>
          <w:b/>
          <w:bCs/>
        </w:rPr>
      </w:pPr>
    </w:p>
    <w:tbl>
      <w:tblPr>
        <w:tblStyle w:val="TableGrid"/>
        <w:tblW w:w="9493" w:type="dxa"/>
        <w:tblLook w:val="04A0" w:firstRow="1" w:lastRow="0" w:firstColumn="1" w:lastColumn="0" w:noHBand="0" w:noVBand="1"/>
      </w:tblPr>
      <w:tblGrid>
        <w:gridCol w:w="1413"/>
        <w:gridCol w:w="2977"/>
        <w:gridCol w:w="1842"/>
        <w:gridCol w:w="1276"/>
        <w:gridCol w:w="1985"/>
      </w:tblGrid>
      <w:tr w:rsidR="00FB0DF5" w14:paraId="6BB5919D" w14:textId="77777777" w:rsidTr="004C6ED0">
        <w:tc>
          <w:tcPr>
            <w:tcW w:w="1413" w:type="dxa"/>
          </w:tcPr>
          <w:p w14:paraId="6D75D1EA" w14:textId="77777777" w:rsidR="00FB0DF5" w:rsidRDefault="00FB0DF5" w:rsidP="004C6ED0"/>
          <w:p w14:paraId="5C030088" w14:textId="77777777" w:rsidR="00FB0DF5" w:rsidRDefault="00FB0DF5" w:rsidP="004C6ED0"/>
        </w:tc>
        <w:tc>
          <w:tcPr>
            <w:tcW w:w="2977" w:type="dxa"/>
          </w:tcPr>
          <w:p w14:paraId="7A384B6D" w14:textId="77777777" w:rsidR="00FB0DF5" w:rsidRDefault="00FB0DF5" w:rsidP="004C6ED0">
            <w:r>
              <w:t>Dataset Description</w:t>
            </w:r>
          </w:p>
        </w:tc>
        <w:tc>
          <w:tcPr>
            <w:tcW w:w="1842" w:type="dxa"/>
          </w:tcPr>
          <w:p w14:paraId="5CB2959F" w14:textId="77777777" w:rsidR="00FB0DF5" w:rsidRDefault="00FB0DF5" w:rsidP="004C6ED0">
            <w:r>
              <w:t>Protocol</w:t>
            </w:r>
          </w:p>
        </w:tc>
        <w:tc>
          <w:tcPr>
            <w:tcW w:w="1276" w:type="dxa"/>
          </w:tcPr>
          <w:p w14:paraId="4A22ECDF" w14:textId="77777777" w:rsidR="00FB0DF5" w:rsidRDefault="00FB0DF5" w:rsidP="004C6ED0">
            <w:r>
              <w:t>No. cells</w:t>
            </w:r>
          </w:p>
        </w:tc>
        <w:tc>
          <w:tcPr>
            <w:tcW w:w="1985" w:type="dxa"/>
          </w:tcPr>
          <w:p w14:paraId="38E6075F" w14:textId="77777777" w:rsidR="00FB0DF5" w:rsidRDefault="00FB0DF5" w:rsidP="004C6ED0">
            <w:r>
              <w:t>No. major cell-types (subtypes)</w:t>
            </w:r>
          </w:p>
        </w:tc>
      </w:tr>
      <w:tr w:rsidR="00FB0DF5" w14:paraId="6D7EAC7B" w14:textId="77777777" w:rsidTr="004C6ED0">
        <w:tc>
          <w:tcPr>
            <w:tcW w:w="1413" w:type="dxa"/>
            <w:vMerge w:val="restart"/>
          </w:tcPr>
          <w:p w14:paraId="2FA02687" w14:textId="77777777" w:rsidR="00FB0DF5" w:rsidRPr="00503B1A" w:rsidRDefault="00FB0DF5" w:rsidP="004C6ED0">
            <w:r>
              <w:rPr>
                <w:rFonts w:hint="eastAsia"/>
              </w:rPr>
              <w:t>L</w:t>
            </w:r>
            <w:r w:rsidRPr="00503B1A">
              <w:t>upus</w:t>
            </w:r>
          </w:p>
          <w:p w14:paraId="2DF2D180" w14:textId="77777777" w:rsidR="00FB0DF5" w:rsidRPr="00503B1A" w:rsidRDefault="00FB0DF5" w:rsidP="004C6ED0">
            <w:r>
              <w:rPr>
                <w:lang w:val="sv-SE"/>
              </w:rPr>
              <w:fldChar w:fldCharType="begin"/>
            </w:r>
            <w:r w:rsidRPr="00503B1A">
              <w:instrText xml:space="preserve"> ADDIN ZOTERO_ITEM CSL_CITATION {"citationID":"yGGv0D1r","properties":{"formattedCitation":"[6]","plainCitation":"[6]","noteIndex":0},"citationItems":[{"id":253,"uris":["http://zotero.org/users/5808836/items/5VKT8YST"],"uri":["http://zotero.org/users/5808836/items/5VKT8YST"],"itemData":{"id":253,"type":"article-journal","container-title":"Nature biotechnology","issue":"1","note":"ISBN: 1546-1696\npublisher: Nature Publishing Group","page":"89","title":"Multiplexed droplet single-cell RNA-sequencing using natural genetic variation","volume":"36","author":[{"family":"Kang","given":"Hyun Min"},{"family":"Subramaniam","given":"Meena"},{"family":"Targ","given":"Sasha"},{"family":"Nguyen","given":"Michelle"},{"family":"Maliskova","given":"Lenka"},{"family":"McCarthy","given":"Elizabeth"},{"family":"Wan","given":"Eunice"},{"family":"Wong","given":"Simon"},{"family":"Byrnes","given":"Lauren"},{"family":"Lanata","given":"Cristina M."}],"issued":{"date-parts":[["2018"]]}}}],"schema":"https://github.com/citation-style-language/schema/raw/master/csl-citation.json"} </w:instrText>
            </w:r>
            <w:r>
              <w:rPr>
                <w:lang w:val="sv-SE"/>
              </w:rPr>
              <w:fldChar w:fldCharType="separate"/>
            </w:r>
            <w:r w:rsidRPr="00503B1A">
              <w:rPr>
                <w:noProof/>
              </w:rPr>
              <w:t>[</w:t>
            </w:r>
            <w:r>
              <w:rPr>
                <w:noProof/>
              </w:rPr>
              <w:t>1</w:t>
            </w:r>
            <w:r w:rsidRPr="00503B1A">
              <w:rPr>
                <w:noProof/>
              </w:rPr>
              <w:t>]</w:t>
            </w:r>
            <w:r>
              <w:rPr>
                <w:lang w:val="sv-SE"/>
              </w:rPr>
              <w:fldChar w:fldCharType="end"/>
            </w:r>
          </w:p>
        </w:tc>
        <w:tc>
          <w:tcPr>
            <w:tcW w:w="2977" w:type="dxa"/>
          </w:tcPr>
          <w:p w14:paraId="575BE7C7" w14:textId="77777777" w:rsidR="00FB0DF5" w:rsidRPr="00196410" w:rsidRDefault="00000000" w:rsidP="004C6ED0">
            <w:hyperlink r:id="rId7" w:history="1">
              <w:r w:rsidR="00FB0DF5" w:rsidRPr="00196410">
                <w:rPr>
                  <w:rStyle w:val="Hyperlink"/>
                  <w:rFonts w:eastAsiaTheme="majorEastAsia"/>
                  <w:color w:val="auto"/>
                </w:rPr>
                <w:t>GSE96583</w:t>
              </w:r>
            </w:hyperlink>
            <w:r w:rsidR="00FB0DF5" w:rsidRPr="00196410">
              <w:rPr>
                <w:rStyle w:val="Hyperlink"/>
                <w:rFonts w:eastAsiaTheme="majorEastAsia"/>
                <w:color w:val="auto"/>
              </w:rPr>
              <w:t xml:space="preserve">, </w:t>
            </w:r>
            <w:r w:rsidR="00FB0DF5" w:rsidRPr="00196410">
              <w:t xml:space="preserve">batch1, 8 SLE patients </w:t>
            </w:r>
          </w:p>
        </w:tc>
        <w:tc>
          <w:tcPr>
            <w:tcW w:w="1842" w:type="dxa"/>
            <w:vMerge w:val="restart"/>
          </w:tcPr>
          <w:p w14:paraId="7BD793AF" w14:textId="77777777" w:rsidR="00FB0DF5" w:rsidRDefault="00FB0DF5" w:rsidP="004C6ED0">
            <w:r>
              <w:t>10X Chromium</w:t>
            </w:r>
          </w:p>
          <w:p w14:paraId="18498AFA" w14:textId="77777777" w:rsidR="00FB0DF5" w:rsidRDefault="00FB0DF5" w:rsidP="004C6ED0"/>
        </w:tc>
        <w:tc>
          <w:tcPr>
            <w:tcW w:w="1276" w:type="dxa"/>
          </w:tcPr>
          <w:p w14:paraId="58654999" w14:textId="77777777" w:rsidR="00FB0DF5" w:rsidRDefault="00FB0DF5" w:rsidP="004C6ED0">
            <w:r>
              <w:t xml:space="preserve">12,544 </w:t>
            </w:r>
          </w:p>
        </w:tc>
        <w:tc>
          <w:tcPr>
            <w:tcW w:w="1985" w:type="dxa"/>
            <w:vMerge w:val="restart"/>
          </w:tcPr>
          <w:p w14:paraId="40C555F0" w14:textId="77777777" w:rsidR="00FB0DF5" w:rsidRDefault="00FB0DF5" w:rsidP="004C6ED0">
            <w:r>
              <w:t>7 (8)</w:t>
            </w:r>
          </w:p>
        </w:tc>
      </w:tr>
      <w:tr w:rsidR="00FB0DF5" w14:paraId="28086349" w14:textId="77777777" w:rsidTr="004C6ED0">
        <w:tc>
          <w:tcPr>
            <w:tcW w:w="1413" w:type="dxa"/>
            <w:vMerge/>
          </w:tcPr>
          <w:p w14:paraId="2FABD1C9" w14:textId="77777777" w:rsidR="00FB0DF5" w:rsidRDefault="00FB0DF5" w:rsidP="004C6ED0"/>
        </w:tc>
        <w:tc>
          <w:tcPr>
            <w:tcW w:w="2977" w:type="dxa"/>
          </w:tcPr>
          <w:p w14:paraId="6D9BE375" w14:textId="77777777" w:rsidR="00FB0DF5" w:rsidRPr="00196410" w:rsidRDefault="00000000" w:rsidP="004C6ED0">
            <w:hyperlink r:id="rId8" w:history="1">
              <w:r w:rsidR="00FB0DF5" w:rsidRPr="00196410">
                <w:rPr>
                  <w:rStyle w:val="Hyperlink"/>
                  <w:rFonts w:eastAsiaTheme="majorEastAsia"/>
                  <w:color w:val="auto"/>
                </w:rPr>
                <w:t>GSE96583</w:t>
              </w:r>
            </w:hyperlink>
            <w:r w:rsidR="00FB0DF5" w:rsidRPr="00196410">
              <w:t>, batch2, 8 SLE patients untreated for 6 hours</w:t>
            </w:r>
          </w:p>
        </w:tc>
        <w:tc>
          <w:tcPr>
            <w:tcW w:w="1842" w:type="dxa"/>
            <w:vMerge/>
          </w:tcPr>
          <w:p w14:paraId="1071FEBC" w14:textId="77777777" w:rsidR="00FB0DF5" w:rsidRDefault="00FB0DF5" w:rsidP="004C6ED0"/>
        </w:tc>
        <w:tc>
          <w:tcPr>
            <w:tcW w:w="1276" w:type="dxa"/>
          </w:tcPr>
          <w:p w14:paraId="00463643" w14:textId="77777777" w:rsidR="00FB0DF5" w:rsidRDefault="00FB0DF5" w:rsidP="004C6ED0">
            <w:r>
              <w:t>12,138</w:t>
            </w:r>
          </w:p>
        </w:tc>
        <w:tc>
          <w:tcPr>
            <w:tcW w:w="1985" w:type="dxa"/>
            <w:vMerge/>
          </w:tcPr>
          <w:p w14:paraId="209C5227" w14:textId="77777777" w:rsidR="00FB0DF5" w:rsidRDefault="00FB0DF5" w:rsidP="004C6ED0"/>
        </w:tc>
      </w:tr>
      <w:tr w:rsidR="00FB0DF5" w:rsidRPr="00334479" w14:paraId="7EF21EC0" w14:textId="77777777" w:rsidTr="004C6ED0">
        <w:tc>
          <w:tcPr>
            <w:tcW w:w="1413" w:type="dxa"/>
            <w:vMerge/>
          </w:tcPr>
          <w:p w14:paraId="64D5A376" w14:textId="77777777" w:rsidR="00FB0DF5" w:rsidRPr="00334479" w:rsidRDefault="00FB0DF5" w:rsidP="004C6ED0">
            <w:pPr>
              <w:rPr>
                <w:lang w:val="sv-SE"/>
              </w:rPr>
            </w:pPr>
          </w:p>
        </w:tc>
        <w:tc>
          <w:tcPr>
            <w:tcW w:w="2977" w:type="dxa"/>
          </w:tcPr>
          <w:p w14:paraId="72ECCBB1" w14:textId="77777777" w:rsidR="00FB0DF5" w:rsidRPr="00196410" w:rsidRDefault="00000000" w:rsidP="004C6ED0">
            <w:hyperlink r:id="rId9" w:history="1">
              <w:r w:rsidR="00FB0DF5" w:rsidRPr="00196410">
                <w:rPr>
                  <w:rStyle w:val="Hyperlink"/>
                  <w:rFonts w:eastAsiaTheme="majorEastAsia"/>
                  <w:color w:val="auto"/>
                </w:rPr>
                <w:t>GSE96583</w:t>
              </w:r>
            </w:hyperlink>
            <w:r w:rsidR="00FB0DF5" w:rsidRPr="00196410">
              <w:t xml:space="preserve">, batch2, 8 SLE patients activated by </w:t>
            </w:r>
            <w:r w:rsidR="00FB0DF5" w:rsidRPr="00196410">
              <w:rPr>
                <w:iCs/>
              </w:rPr>
              <w:t>IFN-β</w:t>
            </w:r>
            <w:r w:rsidR="00FB0DF5" w:rsidRPr="00196410" w:rsidDel="00654C2E">
              <w:t xml:space="preserve"> </w:t>
            </w:r>
            <w:r w:rsidR="00FB0DF5" w:rsidRPr="00196410">
              <w:t>for 6 hours</w:t>
            </w:r>
          </w:p>
        </w:tc>
        <w:tc>
          <w:tcPr>
            <w:tcW w:w="1842" w:type="dxa"/>
            <w:vMerge/>
          </w:tcPr>
          <w:p w14:paraId="014F3FBD" w14:textId="77777777" w:rsidR="00FB0DF5" w:rsidRPr="00334479" w:rsidRDefault="00FB0DF5" w:rsidP="004C6ED0"/>
        </w:tc>
        <w:tc>
          <w:tcPr>
            <w:tcW w:w="1276" w:type="dxa"/>
          </w:tcPr>
          <w:p w14:paraId="584CE1A4" w14:textId="77777777" w:rsidR="00FB0DF5" w:rsidRPr="00334479" w:rsidRDefault="00FB0DF5" w:rsidP="004C6ED0">
            <w:r>
              <w:t>12,167</w:t>
            </w:r>
          </w:p>
        </w:tc>
        <w:tc>
          <w:tcPr>
            <w:tcW w:w="1985" w:type="dxa"/>
            <w:vMerge/>
          </w:tcPr>
          <w:p w14:paraId="18794253" w14:textId="77777777" w:rsidR="00FB0DF5" w:rsidRPr="00334479" w:rsidRDefault="00FB0DF5" w:rsidP="004C6ED0"/>
        </w:tc>
      </w:tr>
      <w:tr w:rsidR="00FB0DF5" w:rsidRPr="00334479" w14:paraId="5654B1F7" w14:textId="77777777" w:rsidTr="004C6ED0">
        <w:tc>
          <w:tcPr>
            <w:tcW w:w="1413" w:type="dxa"/>
          </w:tcPr>
          <w:p w14:paraId="29929939" w14:textId="77777777" w:rsidR="00FB0DF5" w:rsidRPr="00E132F8" w:rsidRDefault="00FB0DF5" w:rsidP="004C6ED0">
            <w:r>
              <w:rPr>
                <w:rFonts w:hint="eastAsia"/>
              </w:rPr>
              <w:t>P</w:t>
            </w:r>
            <w:r w:rsidRPr="00E132F8">
              <w:t>rotocols</w:t>
            </w:r>
          </w:p>
          <w:p w14:paraId="780CE1B7" w14:textId="77777777" w:rsidR="00FB0DF5" w:rsidRPr="00E132F8" w:rsidRDefault="00FB0DF5" w:rsidP="004C6ED0">
            <w:r>
              <w:fldChar w:fldCharType="begin"/>
            </w:r>
            <w:r>
              <w:instrText xml:space="preserve"> ADDIN ZOTERO_ITEM CSL_CITATION {"citationID":"7ypywkhA","properties":{"formattedCitation":"[4]","plainCitation":"[4]","noteIndex":0},"citationItems":[{"id":254,"uris":["http://zotero.org/users/5808836/items/LIVJVKZJ"],"uri":["http://zotero.org/users/5808836/items/LIVJVKZJ"],"itemData":{"id":254,"type":"article-journal","container-title":"Nature biotechnology","issue":"6","note":"ISBN: 1546-1696\npublisher: Nature Publishing Group","page":"737-746","title":"Systematic comparison of single-cell and single-nucleus RNA-sequencing methods","volume":"38","author":[{"family":"Ding","given":"Jiarui"},{"family":"Adiconis","given":"Xian"},{"family":"Simmons","given":"Sean K."},{"family":"Kowalczyk","given":"Monika S."},{"family":"Hession","given":"Cynthia C."},{"family":"Marjanovic","given":"Nemanja D."},{"family":"Hughes","given":"Travis K."},{"family":"Wadsworth","given":"Marc H."},{"family":"Burks","given":"Tyler"},{"family":"Nguyen","given":"Lan T."}],"issued":{"date-parts":[["2020"]]}}}],"schema":"https://github.com/citation-style-language/schema/raw/master/csl-citation.json"} </w:instrText>
            </w:r>
            <w:r>
              <w:fldChar w:fldCharType="separate"/>
            </w:r>
            <w:r>
              <w:rPr>
                <w:noProof/>
              </w:rPr>
              <w:t>[2]</w:t>
            </w:r>
            <w:r>
              <w:fldChar w:fldCharType="end"/>
            </w:r>
          </w:p>
        </w:tc>
        <w:tc>
          <w:tcPr>
            <w:tcW w:w="2977" w:type="dxa"/>
          </w:tcPr>
          <w:p w14:paraId="213C2AA9" w14:textId="77777777" w:rsidR="00FB0DF5" w:rsidRPr="00196410" w:rsidRDefault="00000000" w:rsidP="004C6ED0">
            <w:hyperlink r:id="rId10" w:history="1">
              <w:r w:rsidR="00FB0DF5" w:rsidRPr="00196410">
                <w:rPr>
                  <w:rStyle w:val="Hyperlink"/>
                  <w:rFonts w:eastAsiaTheme="majorEastAsia"/>
                  <w:color w:val="auto"/>
                </w:rPr>
                <w:t>SCP424</w:t>
              </w:r>
            </w:hyperlink>
            <w:r w:rsidR="00FB0DF5" w:rsidRPr="00196410">
              <w:t>, pooled frozen 25million pbmc1 and within 4-hour fresh blood pbmc2</w:t>
            </w:r>
          </w:p>
        </w:tc>
        <w:tc>
          <w:tcPr>
            <w:tcW w:w="1842" w:type="dxa"/>
          </w:tcPr>
          <w:p w14:paraId="1C3D4E91" w14:textId="77777777" w:rsidR="00FB0DF5" w:rsidRDefault="00FB0DF5" w:rsidP="004C6ED0">
            <w:r>
              <w:t xml:space="preserve">10X Chromium </w:t>
            </w:r>
          </w:p>
          <w:p w14:paraId="76FBDADA" w14:textId="77777777" w:rsidR="00FB0DF5" w:rsidRDefault="00FB0DF5" w:rsidP="004C6ED0"/>
        </w:tc>
        <w:tc>
          <w:tcPr>
            <w:tcW w:w="1276" w:type="dxa"/>
          </w:tcPr>
          <w:p w14:paraId="3707D6A8" w14:textId="77777777" w:rsidR="00FB0DF5" w:rsidRDefault="00FB0DF5" w:rsidP="004C6ED0">
            <w:r>
              <w:t>9,666 (pbmc1)</w:t>
            </w:r>
          </w:p>
          <w:p w14:paraId="42C2AF71" w14:textId="77777777" w:rsidR="00FB0DF5" w:rsidRPr="001255FB" w:rsidRDefault="00FB0DF5" w:rsidP="004C6ED0">
            <w:r>
              <w:t>3,362</w:t>
            </w:r>
          </w:p>
          <w:p w14:paraId="41D155AC" w14:textId="77777777" w:rsidR="00FB0DF5" w:rsidRDefault="00FB0DF5" w:rsidP="004C6ED0">
            <w:r>
              <w:t>(pbmc2)</w:t>
            </w:r>
          </w:p>
        </w:tc>
        <w:tc>
          <w:tcPr>
            <w:tcW w:w="1985" w:type="dxa"/>
          </w:tcPr>
          <w:p w14:paraId="16D0763D" w14:textId="77777777" w:rsidR="00FB0DF5" w:rsidRDefault="00FB0DF5" w:rsidP="004C6ED0">
            <w:r>
              <w:t>6 (9)</w:t>
            </w:r>
          </w:p>
        </w:tc>
      </w:tr>
      <w:tr w:rsidR="00FB0DF5" w:rsidRPr="00503B1A" w14:paraId="01512CA5" w14:textId="77777777" w:rsidTr="004C6ED0">
        <w:tc>
          <w:tcPr>
            <w:tcW w:w="1413" w:type="dxa"/>
          </w:tcPr>
          <w:p w14:paraId="0A3C263A" w14:textId="77777777" w:rsidR="00FB0DF5" w:rsidRDefault="00FB0DF5" w:rsidP="004C6ED0">
            <w:r>
              <w:lastRenderedPageBreak/>
              <w:t>Covid</w:t>
            </w:r>
          </w:p>
          <w:p w14:paraId="40933C36" w14:textId="77777777" w:rsidR="00FB0DF5" w:rsidRPr="002C278E" w:rsidRDefault="00FB0DF5" w:rsidP="004C6ED0">
            <w:r>
              <w:t>UK</w:t>
            </w:r>
          </w:p>
          <w:p w14:paraId="6B79C5D9" w14:textId="77777777" w:rsidR="00FB0DF5" w:rsidRPr="00252E0F" w:rsidRDefault="00FB0DF5" w:rsidP="004C6ED0">
            <w:r w:rsidRPr="00252E0F">
              <w:fldChar w:fldCharType="begin"/>
            </w:r>
            <w:r w:rsidRPr="00252E0F">
              <w:instrText xml:space="preserve"> ADDIN ZOTERO_ITEM CSL_CITATION {"citationID":"aN7aTmsr","properties":{"formattedCitation":"[7]","plainCitation":"[7]","noteIndex":0},"citationItems":[{"id":289,"uris":["http://zotero.org/users/5808836/items/NRQ644KJ"],"uri":["http://zotero.org/users/5808836/items/NRQ644KJ"],"itemData":{"id":289,"type":"article-journal","container-title":"Nature communications","issue":"1","note":"ISBN: 2041-1723\npublisher: Nature Publishing Group","page":"1-12","title":"Massively parallel digital transcriptional profiling of single cells","volume":"8","author":[{"family":"Zheng","given":"Grace XY"},{"family":"Terry","given":"Jessica M."},{"family":"Belgrader","given":"Phillip"},{"family":"Ryvkin","given":"Paul"},{"family":"Bent","given":"Zachary W."},{"family":"Wilson","given":"Ryan"},{"family":"Ziraldo","given":"Solongo B."},{"family":"Wheeler","given":"Tobias D."},{"family":"McDermott","given":"Geoff P."},{"family":"Zhu","given":"Junjie"}],"issued":{"date-parts":[["2017"]]}}}],"schema":"https://github.com/citation-style-language/schema/raw/master/csl-citation.json"} </w:instrText>
            </w:r>
            <w:r w:rsidRPr="00252E0F">
              <w:fldChar w:fldCharType="separate"/>
            </w:r>
            <w:r w:rsidRPr="00252E0F">
              <w:rPr>
                <w:noProof/>
              </w:rPr>
              <w:t>[</w:t>
            </w:r>
            <w:r>
              <w:rPr>
                <w:rFonts w:hint="eastAsia"/>
                <w:noProof/>
              </w:rPr>
              <w:t>3</w:t>
            </w:r>
            <w:r w:rsidRPr="00252E0F">
              <w:rPr>
                <w:noProof/>
              </w:rPr>
              <w:t>]</w:t>
            </w:r>
            <w:r w:rsidRPr="00252E0F">
              <w:fldChar w:fldCharType="end"/>
            </w:r>
          </w:p>
        </w:tc>
        <w:tc>
          <w:tcPr>
            <w:tcW w:w="2977" w:type="dxa"/>
          </w:tcPr>
          <w:p w14:paraId="39A7F4B1" w14:textId="77777777" w:rsidR="00FB0DF5" w:rsidRDefault="00000000" w:rsidP="004C6ED0">
            <w:hyperlink r:id="rId11" w:history="1">
              <w:r w:rsidR="00FB0DF5" w:rsidRPr="00964716">
                <w:rPr>
                  <w:rStyle w:val="Hyperlink"/>
                  <w:rFonts w:eastAsiaTheme="majorEastAsia"/>
                </w:rPr>
                <w:t xml:space="preserve">COVID-19 PBMC </w:t>
              </w:r>
              <w:proofErr w:type="spellStart"/>
              <w:r w:rsidR="00FB0DF5" w:rsidRPr="00964716">
                <w:rPr>
                  <w:rStyle w:val="Hyperlink"/>
                  <w:rFonts w:eastAsiaTheme="majorEastAsia"/>
                </w:rPr>
                <w:t>Ncl</w:t>
              </w:r>
              <w:proofErr w:type="spellEnd"/>
              <w:r w:rsidR="00FB0DF5" w:rsidRPr="00964716">
                <w:rPr>
                  <w:rStyle w:val="Hyperlink"/>
                  <w:rFonts w:eastAsiaTheme="majorEastAsia"/>
                </w:rPr>
                <w:t>-Cambridge-UCL</w:t>
              </w:r>
            </w:hyperlink>
            <w:r w:rsidR="00FB0DF5">
              <w:rPr>
                <w:color w:val="24292F"/>
              </w:rPr>
              <w:t xml:space="preserve">, 143 PBMC </w:t>
            </w:r>
            <w:r w:rsidR="00FB0DF5">
              <w:rPr>
                <w:color w:val="222222"/>
                <w:shd w:val="clear" w:color="auto" w:fill="FFFFFF"/>
              </w:rPr>
              <w:t xml:space="preserve">samples from </w:t>
            </w:r>
            <w:r w:rsidR="00FB0DF5" w:rsidRPr="00607444">
              <w:t> </w:t>
            </w:r>
          </w:p>
          <w:p w14:paraId="7B6302A3" w14:textId="77777777" w:rsidR="00FB0DF5" w:rsidRPr="00252E0F" w:rsidRDefault="00FB0DF5" w:rsidP="004C6ED0">
            <w:r w:rsidRPr="00607444">
              <w:rPr>
                <w:color w:val="222222"/>
                <w:shd w:val="clear" w:color="auto" w:fill="FFFFFF"/>
              </w:rPr>
              <w:t>asymptomatic, mild, moderate, severe, and critica</w:t>
            </w:r>
            <w:r>
              <w:rPr>
                <w:color w:val="222222"/>
                <w:shd w:val="clear" w:color="auto" w:fill="FFFFFF"/>
              </w:rPr>
              <w:t>l</w:t>
            </w:r>
            <w:r w:rsidRPr="00607444">
              <w:rPr>
                <w:color w:val="222222"/>
                <w:shd w:val="clear" w:color="auto" w:fill="FFFFFF"/>
              </w:rPr>
              <w:t xml:space="preserve"> </w:t>
            </w:r>
            <w:r>
              <w:rPr>
                <w:color w:val="222222"/>
                <w:shd w:val="clear" w:color="auto" w:fill="FFFFFF"/>
              </w:rPr>
              <w:t xml:space="preserve">covid across </w:t>
            </w:r>
            <w:r w:rsidRPr="00607444">
              <w:rPr>
                <w:color w:val="222222"/>
                <w:shd w:val="clear" w:color="auto" w:fill="FFFFFF"/>
              </w:rPr>
              <w:t>three UK medical centers.</w:t>
            </w:r>
          </w:p>
        </w:tc>
        <w:tc>
          <w:tcPr>
            <w:tcW w:w="1842" w:type="dxa"/>
          </w:tcPr>
          <w:p w14:paraId="20692D57" w14:textId="77777777" w:rsidR="00FB0DF5" w:rsidRPr="00964716" w:rsidRDefault="00FB0DF5" w:rsidP="004C6ED0">
            <w:r>
              <w:t xml:space="preserve">10X </w:t>
            </w:r>
            <w:r w:rsidRPr="00607444">
              <w:t>Chromium</w:t>
            </w:r>
          </w:p>
        </w:tc>
        <w:tc>
          <w:tcPr>
            <w:tcW w:w="1276" w:type="dxa"/>
          </w:tcPr>
          <w:p w14:paraId="7DFD1B79" w14:textId="77777777" w:rsidR="00FB0DF5" w:rsidRPr="001255FB" w:rsidRDefault="00FB0DF5" w:rsidP="004C6ED0">
            <w:r>
              <w:t>647,366</w:t>
            </w:r>
          </w:p>
        </w:tc>
        <w:tc>
          <w:tcPr>
            <w:tcW w:w="1985" w:type="dxa"/>
          </w:tcPr>
          <w:p w14:paraId="7213EBFD" w14:textId="77777777" w:rsidR="00FB0DF5" w:rsidRPr="00252E0F" w:rsidRDefault="00FB0DF5" w:rsidP="004C6ED0">
            <w:r>
              <w:t>7 (51)</w:t>
            </w:r>
          </w:p>
        </w:tc>
      </w:tr>
      <w:tr w:rsidR="00FB0DF5" w:rsidRPr="00503B1A" w14:paraId="6CCCD791" w14:textId="77777777" w:rsidTr="004C6ED0">
        <w:tc>
          <w:tcPr>
            <w:tcW w:w="1413" w:type="dxa"/>
          </w:tcPr>
          <w:p w14:paraId="222A606E" w14:textId="77777777" w:rsidR="00FB0DF5" w:rsidRDefault="00FB0DF5" w:rsidP="004C6ED0">
            <w:r>
              <w:t>Covid</w:t>
            </w:r>
          </w:p>
          <w:p w14:paraId="4EC20F10" w14:textId="77777777" w:rsidR="00FB0DF5" w:rsidRPr="002C278E" w:rsidRDefault="00FB0DF5" w:rsidP="004C6ED0">
            <w:r>
              <w:t>CN</w:t>
            </w:r>
          </w:p>
          <w:p w14:paraId="05C8B983" w14:textId="77777777" w:rsidR="00FB0DF5" w:rsidRPr="00ED3674" w:rsidRDefault="00FB0DF5" w:rsidP="004C6ED0">
            <w:r w:rsidRPr="00252E0F">
              <w:fldChar w:fldCharType="begin"/>
            </w:r>
            <w:r w:rsidRPr="00252E0F">
              <w:instrText xml:space="preserve"> ADDIN ZOTERO_ITEM CSL_CITATION {"citationID":"aN7aTmsr","properties":{"formattedCitation":"[7]","plainCitation":"[7]","noteIndex":0},"citationItems":[{"id":289,"uris":["http://zotero.org/users/5808836/items/NRQ644KJ"],"uri":["http://zotero.org/users/5808836/items/NRQ644KJ"],"itemData":{"id":289,"type":"article-journal","container-title":"Nature communications","issue":"1","note":"ISBN: 2041-1723\npublisher: Nature Publishing Group","page":"1-12","title":"Massively parallel digital transcriptional profiling of single cells","volume":"8","author":[{"family":"Zheng","given":"Grace XY"},{"family":"Terry","given":"Jessica M."},{"family":"Belgrader","given":"Phillip"},{"family":"Ryvkin","given":"Paul"},{"family":"Bent","given":"Zachary W."},{"family":"Wilson","given":"Ryan"},{"family":"Ziraldo","given":"Solongo B."},{"family":"Wheeler","given":"Tobias D."},{"family":"McDermott","given":"Geoff P."},{"family":"Zhu","given":"Junjie"}],"issued":{"date-parts":[["2017"]]}}}],"schema":"https://github.com/citation-style-language/schema/raw/master/csl-citation.json"} </w:instrText>
            </w:r>
            <w:r w:rsidRPr="00252E0F">
              <w:fldChar w:fldCharType="separate"/>
            </w:r>
            <w:r w:rsidRPr="00252E0F">
              <w:rPr>
                <w:noProof/>
              </w:rPr>
              <w:t>[</w:t>
            </w:r>
            <w:r>
              <w:rPr>
                <w:noProof/>
              </w:rPr>
              <w:t>4</w:t>
            </w:r>
            <w:r w:rsidRPr="00252E0F">
              <w:rPr>
                <w:noProof/>
              </w:rPr>
              <w:t>]</w:t>
            </w:r>
            <w:r w:rsidRPr="00252E0F">
              <w:fldChar w:fldCharType="end"/>
            </w:r>
          </w:p>
        </w:tc>
        <w:tc>
          <w:tcPr>
            <w:tcW w:w="2977" w:type="dxa"/>
          </w:tcPr>
          <w:p w14:paraId="0081868C" w14:textId="77777777" w:rsidR="00FB0DF5" w:rsidRDefault="00000000" w:rsidP="004C6ED0">
            <w:hyperlink r:id="rId12" w:history="1">
              <w:r w:rsidR="00FB0DF5" w:rsidRPr="00964716">
                <w:rPr>
                  <w:rStyle w:val="Hyperlink"/>
                  <w:rFonts w:eastAsiaTheme="majorEastAsia"/>
                </w:rPr>
                <w:t>GSE158055</w:t>
              </w:r>
            </w:hyperlink>
            <w:r w:rsidR="00FB0DF5">
              <w:t xml:space="preserve">, </w:t>
            </w:r>
            <w:hyperlink r:id="rId13" w:anchor="/pbmc" w:history="1">
              <w:r w:rsidR="00FB0DF5" w:rsidRPr="00964716">
                <w:rPr>
                  <w:rStyle w:val="Hyperlink"/>
                  <w:rFonts w:eastAsiaTheme="majorEastAsia"/>
                </w:rPr>
                <w:t>summary link</w:t>
              </w:r>
            </w:hyperlink>
            <w:r w:rsidR="00FB0DF5">
              <w:t>,</w:t>
            </w:r>
          </w:p>
          <w:p w14:paraId="041365EE" w14:textId="77777777" w:rsidR="00FB0DF5" w:rsidRPr="00964716" w:rsidRDefault="00FB0DF5" w:rsidP="004C6ED0">
            <w:r>
              <w:t xml:space="preserve">frozen/fresh PBMC from control, mild and severe covid patients (14 batched, </w:t>
            </w:r>
            <w:r w:rsidRPr="00B0508B">
              <w:t>151</w:t>
            </w:r>
            <w:r>
              <w:t xml:space="preserve"> patients and 172 samples in total)</w:t>
            </w:r>
          </w:p>
        </w:tc>
        <w:tc>
          <w:tcPr>
            <w:tcW w:w="1842" w:type="dxa"/>
          </w:tcPr>
          <w:p w14:paraId="773A105C" w14:textId="77777777" w:rsidR="00FB0DF5" w:rsidRPr="00964716" w:rsidRDefault="00FB0DF5" w:rsidP="004C6ED0">
            <w:r w:rsidRPr="00C6429F">
              <w:t>10x Chromium</w:t>
            </w:r>
            <w:r w:rsidRPr="00964716">
              <w:t xml:space="preserve"> </w:t>
            </w:r>
          </w:p>
        </w:tc>
        <w:tc>
          <w:tcPr>
            <w:tcW w:w="1276" w:type="dxa"/>
          </w:tcPr>
          <w:p w14:paraId="099287E7" w14:textId="77777777" w:rsidR="00FB0DF5" w:rsidRPr="00ED11AA" w:rsidRDefault="00FB0DF5" w:rsidP="004C6ED0">
            <w:r>
              <w:t>1,259,901</w:t>
            </w:r>
          </w:p>
        </w:tc>
        <w:tc>
          <w:tcPr>
            <w:tcW w:w="1985" w:type="dxa"/>
          </w:tcPr>
          <w:p w14:paraId="5574617D" w14:textId="77777777" w:rsidR="00FB0DF5" w:rsidRPr="00ED11AA" w:rsidRDefault="00FB0DF5" w:rsidP="004C6ED0">
            <w:r>
              <w:t>10 (64)</w:t>
            </w:r>
          </w:p>
        </w:tc>
      </w:tr>
      <w:tr w:rsidR="00FB0DF5" w:rsidRPr="00503B1A" w14:paraId="41597A7A" w14:textId="77777777" w:rsidTr="004C6ED0">
        <w:tc>
          <w:tcPr>
            <w:tcW w:w="1413" w:type="dxa"/>
          </w:tcPr>
          <w:p w14:paraId="0976C9BE" w14:textId="77777777" w:rsidR="00FB0DF5" w:rsidRDefault="00FB0DF5" w:rsidP="004C6ED0">
            <w:r>
              <w:t>Covid</w:t>
            </w:r>
          </w:p>
          <w:p w14:paraId="2D263F70" w14:textId="77777777" w:rsidR="00FB0DF5" w:rsidRPr="002C278E" w:rsidRDefault="00FB0DF5" w:rsidP="004C6ED0">
            <w:r>
              <w:t>FMC</w:t>
            </w:r>
          </w:p>
          <w:p w14:paraId="2F5C751E" w14:textId="77777777" w:rsidR="00FB0DF5" w:rsidRPr="00252E0F" w:rsidRDefault="00FB0DF5" w:rsidP="004C6ED0">
            <w:r w:rsidRPr="00252E0F">
              <w:fldChar w:fldCharType="begin"/>
            </w:r>
            <w:r w:rsidRPr="00252E0F">
              <w:instrText xml:space="preserve"> ADDIN ZOTERO_ITEM CSL_CITATION {"citationID":"aN7aTmsr","properties":{"formattedCitation":"[7]","plainCitation":"[7]","noteIndex":0},"citationItems":[{"id":289,"uris":["http://zotero.org/users/5808836/items/NRQ644KJ"],"uri":["http://zotero.org/users/5808836/items/NRQ644KJ"],"itemData":{"id":289,"type":"article-journal","container-title":"Nature communications","issue":"1","note":"ISBN: 2041-1723\npublisher: Nature Publishing Group","page":"1-12","title":"Massively parallel digital transcriptional profiling of single cells","volume":"8","author":[{"family":"Zheng","given":"Grace XY"},{"family":"Terry","given":"Jessica M."},{"family":"Belgrader","given":"Phillip"},{"family":"Ryvkin","given":"Paul"},{"family":"Bent","given":"Zachary W."},{"family":"Wilson","given":"Ryan"},{"family":"Ziraldo","given":"Solongo B."},{"family":"Wheeler","given":"Tobias D."},{"family":"McDermott","given":"Geoff P."},{"family":"Zhu","given":"Junjie"}],"issued":{"date-parts":[["2017"]]}}}],"schema":"https://github.com/citation-style-language/schema/raw/master/csl-citation.json"} </w:instrText>
            </w:r>
            <w:r w:rsidRPr="00252E0F">
              <w:fldChar w:fldCharType="separate"/>
            </w:r>
            <w:r w:rsidRPr="00252E0F">
              <w:rPr>
                <w:noProof/>
              </w:rPr>
              <w:t>[</w:t>
            </w:r>
            <w:r>
              <w:rPr>
                <w:rFonts w:hint="eastAsia"/>
                <w:noProof/>
              </w:rPr>
              <w:t>5</w:t>
            </w:r>
            <w:r w:rsidRPr="00252E0F">
              <w:rPr>
                <w:noProof/>
              </w:rPr>
              <w:t>]</w:t>
            </w:r>
            <w:r w:rsidRPr="00252E0F">
              <w:fldChar w:fldCharType="end"/>
            </w:r>
          </w:p>
        </w:tc>
        <w:tc>
          <w:tcPr>
            <w:tcW w:w="2977" w:type="dxa"/>
          </w:tcPr>
          <w:p w14:paraId="0905DA0A" w14:textId="77777777" w:rsidR="00FB0DF5" w:rsidRPr="00607444" w:rsidRDefault="00000000" w:rsidP="004C6ED0">
            <w:pPr>
              <w:rPr>
                <w:color w:val="24292F"/>
              </w:rPr>
            </w:pPr>
            <w:hyperlink r:id="rId14" w:history="1">
              <w:r w:rsidR="00FB0DF5" w:rsidRPr="00ED11AA">
                <w:rPr>
                  <w:rStyle w:val="Hyperlink"/>
                  <w:rFonts w:eastAsiaTheme="majorEastAsia"/>
                </w:rPr>
                <w:t>UCSC Cell</w:t>
              </w:r>
            </w:hyperlink>
            <w:r w:rsidR="00FB0DF5">
              <w:t>,</w:t>
            </w:r>
            <w:r w:rsidR="00FB0DF5">
              <w:rPr>
                <w:color w:val="24292F"/>
              </w:rPr>
              <w:t xml:space="preserve"> PBMC </w:t>
            </w:r>
            <w:r w:rsidR="00FB0DF5" w:rsidRPr="00BC6DD0">
              <w:rPr>
                <w:color w:val="222222"/>
                <w:shd w:val="clear" w:color="auto" w:fill="FFFFFF"/>
              </w:rPr>
              <w:t>samples of 5 healthy donors and 13 patients with COVID-19</w:t>
            </w:r>
            <w:r w:rsidR="00FB0DF5">
              <w:rPr>
                <w:color w:val="222222"/>
                <w:shd w:val="clear" w:color="auto" w:fill="FFFFFF"/>
              </w:rPr>
              <w:t xml:space="preserve"> (22 samples in total).</w:t>
            </w:r>
          </w:p>
        </w:tc>
        <w:tc>
          <w:tcPr>
            <w:tcW w:w="1842" w:type="dxa"/>
          </w:tcPr>
          <w:p w14:paraId="408A78D1" w14:textId="77777777" w:rsidR="00FB0DF5" w:rsidRPr="00607444" w:rsidRDefault="00FB0DF5" w:rsidP="004C6ED0">
            <w:r>
              <w:t>10X</w:t>
            </w:r>
            <w:r>
              <w:rPr>
                <w:rFonts w:hint="eastAsia"/>
              </w:rPr>
              <w:t xml:space="preserve"> Genomics</w:t>
            </w:r>
          </w:p>
        </w:tc>
        <w:tc>
          <w:tcPr>
            <w:tcW w:w="1276" w:type="dxa"/>
          </w:tcPr>
          <w:p w14:paraId="1B49B2D5" w14:textId="77777777" w:rsidR="00FB0DF5" w:rsidRPr="004C0170" w:rsidRDefault="00FB0DF5" w:rsidP="004C6ED0">
            <w:r>
              <w:t>122,542</w:t>
            </w:r>
          </w:p>
        </w:tc>
        <w:tc>
          <w:tcPr>
            <w:tcW w:w="1985" w:type="dxa"/>
          </w:tcPr>
          <w:p w14:paraId="755E651A" w14:textId="77777777" w:rsidR="00FB0DF5" w:rsidRPr="004C0170" w:rsidRDefault="00FB0DF5" w:rsidP="004C6ED0">
            <w:r>
              <w:t>7 (14)</w:t>
            </w:r>
          </w:p>
        </w:tc>
      </w:tr>
      <w:tr w:rsidR="00FB0DF5" w:rsidRPr="00503B1A" w14:paraId="0421D84C" w14:textId="77777777" w:rsidTr="004C6ED0">
        <w:tc>
          <w:tcPr>
            <w:tcW w:w="1413" w:type="dxa"/>
          </w:tcPr>
          <w:p w14:paraId="20BC60AE" w14:textId="77777777" w:rsidR="00FB0DF5" w:rsidRPr="00252E0F" w:rsidRDefault="00FB0DF5" w:rsidP="004C6ED0">
            <w:r w:rsidRPr="00252E0F">
              <w:t>FACS</w:t>
            </w:r>
          </w:p>
          <w:p w14:paraId="75D5BC30" w14:textId="77777777" w:rsidR="00FB0DF5" w:rsidRPr="00252E0F" w:rsidRDefault="00FB0DF5" w:rsidP="004C6ED0">
            <w:r w:rsidRPr="00252E0F">
              <w:fldChar w:fldCharType="begin"/>
            </w:r>
            <w:r w:rsidRPr="00252E0F">
              <w:instrText xml:space="preserve"> ADDIN ZOTERO_ITEM CSL_CITATION {"citationID":"aN7aTmsr","properties":{"formattedCitation":"[7]","plainCitation":"[7]","noteIndex":0},"citationItems":[{"id":289,"uris":["http://zotero.org/users/5808836/items/NRQ644KJ"],"uri":["http://zotero.org/users/5808836/items/NRQ644KJ"],"itemData":{"id":289,"type":"article-journal","container-title":"Nature communications","issue":"1","note":"ISBN: 2041-1723\npublisher: Nature Publishing Group","page":"1-12","title":"Massively parallel digital transcriptional profiling of single cells","volume":"8","author":[{"family":"Zheng","given":"Grace XY"},{"family":"Terry","given":"Jessica M."},{"family":"Belgrader","given":"Phillip"},{"family":"Ryvkin","given":"Paul"},{"family":"Bent","given":"Zachary W."},{"family":"Wilson","given":"Ryan"},{"family":"Ziraldo","given":"Solongo B."},{"family":"Wheeler","given":"Tobias D."},{"family":"McDermott","given":"Geoff P."},{"family":"Zhu","given":"Junjie"}],"issued":{"date-parts":[["2017"]]}}}],"schema":"https://github.com/citation-style-language/schema/raw/master/csl-citation.json"} </w:instrText>
            </w:r>
            <w:r w:rsidRPr="00252E0F">
              <w:fldChar w:fldCharType="separate"/>
            </w:r>
            <w:r w:rsidRPr="00252E0F">
              <w:rPr>
                <w:noProof/>
              </w:rPr>
              <w:t>[</w:t>
            </w:r>
            <w:r>
              <w:rPr>
                <w:rFonts w:hint="eastAsia"/>
                <w:noProof/>
              </w:rPr>
              <w:t>6</w:t>
            </w:r>
            <w:r w:rsidRPr="00252E0F">
              <w:rPr>
                <w:noProof/>
              </w:rPr>
              <w:t>]</w:t>
            </w:r>
            <w:r w:rsidRPr="00252E0F">
              <w:fldChar w:fldCharType="end"/>
            </w:r>
          </w:p>
        </w:tc>
        <w:tc>
          <w:tcPr>
            <w:tcW w:w="2977" w:type="dxa"/>
          </w:tcPr>
          <w:p w14:paraId="23A17A7F" w14:textId="77777777" w:rsidR="00FB0DF5" w:rsidRPr="00BC6DD0" w:rsidRDefault="00000000" w:rsidP="004C6ED0">
            <w:hyperlink r:id="rId15" w:history="1">
              <w:r w:rsidR="00FB0DF5" w:rsidRPr="00252E0F">
                <w:rPr>
                  <w:rStyle w:val="Hyperlink"/>
                  <w:rFonts w:eastAsiaTheme="majorEastAsia"/>
                  <w:color w:val="auto"/>
                </w:rPr>
                <w:t>10X Genomics Datasets</w:t>
              </w:r>
            </w:hyperlink>
            <w:r w:rsidR="00FB0DF5" w:rsidRPr="00252E0F">
              <w:t xml:space="preserve">, </w:t>
            </w:r>
            <w:r w:rsidR="00FB0DF5" w:rsidRPr="002750C1">
              <w:rPr>
                <w:color w:val="0A2347"/>
                <w:spacing w:val="2"/>
                <w:shd w:val="clear" w:color="auto" w:fill="FFFFFF"/>
              </w:rPr>
              <w:t xml:space="preserve">fresh PBMCs </w:t>
            </w:r>
          </w:p>
        </w:tc>
        <w:tc>
          <w:tcPr>
            <w:tcW w:w="1842" w:type="dxa"/>
          </w:tcPr>
          <w:p w14:paraId="04E513C3" w14:textId="77777777" w:rsidR="00FB0DF5" w:rsidRPr="00AE1C46" w:rsidRDefault="00FB0DF5" w:rsidP="004C6ED0">
            <w:r>
              <w:t>10</w:t>
            </w:r>
            <w:r>
              <w:rPr>
                <w:rFonts w:hint="eastAsia"/>
              </w:rPr>
              <w:t>X Genomics</w:t>
            </w:r>
            <w:r>
              <w:br/>
            </w:r>
            <w:r w:rsidRPr="00964716">
              <w:t>FACS</w:t>
            </w:r>
          </w:p>
        </w:tc>
        <w:tc>
          <w:tcPr>
            <w:tcW w:w="1276" w:type="dxa"/>
          </w:tcPr>
          <w:p w14:paraId="6333C71A" w14:textId="77777777" w:rsidR="00FB0DF5" w:rsidRPr="00AE1C46" w:rsidRDefault="00FB0DF5" w:rsidP="004C6ED0">
            <w:r w:rsidRPr="00252E0F">
              <w:t>9</w:t>
            </w:r>
            <w:r>
              <w:t>6</w:t>
            </w:r>
            <w:r w:rsidRPr="00252E0F">
              <w:t>,6</w:t>
            </w:r>
            <w:r>
              <w:t>36</w:t>
            </w:r>
          </w:p>
        </w:tc>
        <w:tc>
          <w:tcPr>
            <w:tcW w:w="1985" w:type="dxa"/>
          </w:tcPr>
          <w:p w14:paraId="546A112D" w14:textId="77777777" w:rsidR="00FB0DF5" w:rsidRPr="00AE1C46" w:rsidRDefault="00FB0DF5" w:rsidP="004C6ED0">
            <w:r w:rsidRPr="00252E0F">
              <w:t>5 (</w:t>
            </w:r>
            <w:r>
              <w:t>9</w:t>
            </w:r>
            <w:r w:rsidRPr="00252E0F">
              <w:t>)</w:t>
            </w:r>
          </w:p>
        </w:tc>
      </w:tr>
    </w:tbl>
    <w:p w14:paraId="21739322" w14:textId="77777777" w:rsidR="00FB0DF5" w:rsidRDefault="00FB0DF5" w:rsidP="00FB0DF5"/>
    <w:p w14:paraId="69E049AE" w14:textId="77777777" w:rsidR="00FB0DF5" w:rsidRDefault="00FB0DF5" w:rsidP="00FB0DF5">
      <w:pPr>
        <w:rPr>
          <w:b/>
          <w:bCs/>
        </w:rPr>
      </w:pPr>
    </w:p>
    <w:p w14:paraId="5C77793E" w14:textId="77777777" w:rsidR="00FB0DF5" w:rsidRPr="00BD0C30" w:rsidRDefault="00FB0DF5" w:rsidP="00FB0DF5">
      <w:pPr>
        <w:rPr>
          <w:b/>
          <w:bCs/>
          <w:sz w:val="28"/>
          <w:szCs w:val="28"/>
        </w:rPr>
      </w:pPr>
      <w:r w:rsidRPr="00BD0C30">
        <w:rPr>
          <w:b/>
          <w:bCs/>
          <w:sz w:val="28"/>
          <w:szCs w:val="28"/>
        </w:rPr>
        <w:t>S</w:t>
      </w:r>
      <w:r w:rsidRPr="00BD0C30">
        <w:rPr>
          <w:rFonts w:hint="eastAsia"/>
          <w:b/>
          <w:bCs/>
          <w:sz w:val="28"/>
          <w:szCs w:val="28"/>
        </w:rPr>
        <w:t>2</w:t>
      </w:r>
      <w:r w:rsidRPr="00BD0C30">
        <w:rPr>
          <w:b/>
          <w:bCs/>
          <w:sz w:val="28"/>
          <w:szCs w:val="28"/>
        </w:rPr>
        <w:t>. Data Preprocessing</w:t>
      </w:r>
    </w:p>
    <w:p w14:paraId="6E7321FA" w14:textId="77777777" w:rsidR="00FB0DF5" w:rsidRDefault="00FB0DF5" w:rsidP="00FB0DF5">
      <w:pPr>
        <w:rPr>
          <w:b/>
          <w:bCs/>
        </w:rPr>
      </w:pPr>
    </w:p>
    <w:p w14:paraId="51EB6795" w14:textId="77777777" w:rsidR="00FB0DF5" w:rsidRDefault="00FB0DF5" w:rsidP="00FB0DF5"/>
    <w:p w14:paraId="4EF1B165" w14:textId="77777777" w:rsidR="00FB0DF5" w:rsidRPr="0092259B" w:rsidRDefault="00FB0DF5" w:rsidP="00FB0DF5">
      <w:pPr>
        <w:spacing w:line="480" w:lineRule="auto"/>
        <w:rPr>
          <w:iCs/>
        </w:rPr>
      </w:pPr>
      <w:r w:rsidRPr="006F2E5B">
        <w:rPr>
          <w:iCs/>
        </w:rPr>
        <w:t xml:space="preserve">The preprocessing pipeline for MLP involves several steps. First, all </w:t>
      </w:r>
      <w:proofErr w:type="spellStart"/>
      <w:r w:rsidRPr="006F2E5B">
        <w:rPr>
          <w:iCs/>
        </w:rPr>
        <w:t>scRNA</w:t>
      </w:r>
      <w:proofErr w:type="spellEnd"/>
      <w:r w:rsidRPr="006F2E5B">
        <w:rPr>
          <w:iCs/>
        </w:rPr>
        <w:t>-seq datasets are normalized</w:t>
      </w:r>
      <w:r>
        <w:rPr>
          <w:iCs/>
        </w:rPr>
        <w:t xml:space="preserve"> by library size</w:t>
      </w:r>
      <w:r w:rsidRPr="006F2E5B">
        <w:rPr>
          <w:iCs/>
        </w:rPr>
        <w:t xml:space="preserve">, ensuring each cell has 10,000 reads and undergoes log-transformation. Top features are then selected using the F-test </w:t>
      </w:r>
      <w:r>
        <w:rPr>
          <w:iCs/>
        </w:rPr>
        <w:t>as suggested</w:t>
      </w:r>
      <w:r w:rsidRPr="006F2E5B">
        <w:rPr>
          <w:iCs/>
        </w:rPr>
        <w:t xml:space="preserve"> by Ma</w:t>
      </w:r>
      <w:r>
        <w:rPr>
          <w:iCs/>
        </w:rPr>
        <w:t xml:space="preserve"> </w:t>
      </w:r>
      <w:r>
        <w:rPr>
          <w:iCs/>
        </w:rPr>
        <w:fldChar w:fldCharType="begin"/>
      </w:r>
      <w:r>
        <w:rPr>
          <w:iCs/>
        </w:rPr>
        <w:instrText xml:space="preserve"> ADDIN EN.CITE &lt;EndNote&gt;&lt;Cite&gt;&lt;Author&gt;Ma&lt;/Author&gt;&lt;Year&gt;2021&lt;/Year&gt;&lt;RecNum&gt;15&lt;/RecNum&gt;&lt;DisplayText&gt;[7]&lt;/DisplayText&gt;&lt;record&gt;&lt;rec-number&gt;15&lt;/rec-number&gt;&lt;foreign-keys&gt;&lt;key app="EN" db-id="pdrtdrspu0t5adex5vopfs0b20vtdfzptpwv" timestamp="1715961288"&gt;15&lt;/key&gt;&lt;/foreign-keys&gt;&lt;ref-type name="Journal Article"&gt;17&lt;/ref-type&gt;&lt;contributors&gt;&lt;authors&gt;&lt;author&gt;Ma, Wenjing&lt;/author&gt;&lt;author&gt;Su, Kenong&lt;/author&gt;&lt;author&gt;Wu, Hao&lt;/author&gt;&lt;/authors&gt;&lt;/contributors&gt;&lt;titles&gt;&lt;title&gt;Evaluation of some aspects in supervised cell type identification for single-cell RNA-seq: classifier, feature selection, and reference construction&lt;/title&gt;&lt;secondary-title&gt;Genome biology&lt;/secondary-title&gt;&lt;/titles&gt;&lt;periodical&gt;&lt;full-title&gt;Genome biology&lt;/full-title&gt;&lt;/periodical&gt;&lt;pages&gt;1-23&lt;/pages&gt;&lt;volume&gt;22&lt;/volume&gt;&lt;dates&gt;&lt;year&gt;2021&lt;/year&gt;&lt;/dates&gt;&lt;urls&gt;&lt;/urls&gt;&lt;/record&gt;&lt;/Cite&gt;&lt;/EndNote&gt;</w:instrText>
      </w:r>
      <w:r>
        <w:rPr>
          <w:iCs/>
        </w:rPr>
        <w:fldChar w:fldCharType="separate"/>
      </w:r>
      <w:r>
        <w:rPr>
          <w:iCs/>
          <w:noProof/>
        </w:rPr>
        <w:t>[7]</w:t>
      </w:r>
      <w:r>
        <w:rPr>
          <w:iCs/>
        </w:rPr>
        <w:fldChar w:fldCharType="end"/>
      </w:r>
      <w:r w:rsidRPr="006F2E5B">
        <w:rPr>
          <w:iCs/>
        </w:rPr>
        <w:t xml:space="preserve">. </w:t>
      </w:r>
      <w:r>
        <w:rPr>
          <w:rFonts w:hint="eastAsia"/>
          <w:iCs/>
        </w:rPr>
        <w:t xml:space="preserve">By default, top 1000 features </w:t>
      </w:r>
      <w:r>
        <w:rPr>
          <w:iCs/>
        </w:rPr>
        <w:t>are</w:t>
      </w:r>
      <w:r>
        <w:rPr>
          <w:rFonts w:hint="eastAsia"/>
          <w:iCs/>
        </w:rPr>
        <w:t xml:space="preserve"> selected. </w:t>
      </w:r>
      <w:r w:rsidRPr="006F2E5B">
        <w:rPr>
          <w:iCs/>
        </w:rPr>
        <w:t xml:space="preserve">Subsequently, the reference data is </w:t>
      </w:r>
      <w:r>
        <w:rPr>
          <w:iCs/>
        </w:rPr>
        <w:t xml:space="preserve">standardized </w:t>
      </w:r>
      <w:r w:rsidRPr="006F2E5B">
        <w:rPr>
          <w:iCs/>
        </w:rPr>
        <w:t>to have zero mean</w:t>
      </w:r>
      <w:r>
        <w:rPr>
          <w:iCs/>
        </w:rPr>
        <w:t xml:space="preserve"> and unit variance for each feature. </w:t>
      </w:r>
      <w:r w:rsidRPr="006F2E5B">
        <w:rPr>
          <w:iCs/>
        </w:rPr>
        <w:t xml:space="preserve">Absolute values exceeding </w:t>
      </w:r>
      <w:r>
        <w:rPr>
          <w:rFonts w:hint="eastAsia"/>
          <w:iCs/>
        </w:rPr>
        <w:t>six</w:t>
      </w:r>
      <w:r w:rsidRPr="006F2E5B">
        <w:rPr>
          <w:iCs/>
        </w:rPr>
        <w:t xml:space="preserve"> are truncated. </w:t>
      </w:r>
      <w:r>
        <w:rPr>
          <w:iCs/>
        </w:rPr>
        <w:t>T</w:t>
      </w:r>
      <w:r w:rsidRPr="006F2E5B">
        <w:rPr>
          <w:iCs/>
        </w:rPr>
        <w:t>he processed data is input</w:t>
      </w:r>
      <w:r>
        <w:rPr>
          <w:iCs/>
        </w:rPr>
        <w:t>ted</w:t>
      </w:r>
      <w:r w:rsidRPr="006F2E5B">
        <w:rPr>
          <w:iCs/>
        </w:rPr>
        <w:t xml:space="preserve"> into </w:t>
      </w:r>
      <w:r>
        <w:rPr>
          <w:iCs/>
        </w:rPr>
        <w:t>MLP</w:t>
      </w:r>
      <w:r>
        <w:rPr>
          <w:rFonts w:hint="eastAsia"/>
          <w:iCs/>
        </w:rPr>
        <w:t xml:space="preserve"> for training</w:t>
      </w:r>
      <w:r w:rsidRPr="006F2E5B">
        <w:rPr>
          <w:iCs/>
        </w:rPr>
        <w:t>.</w:t>
      </w:r>
      <w:r>
        <w:rPr>
          <w:iCs/>
        </w:rPr>
        <w:t xml:space="preserve"> For predicting, t</w:t>
      </w:r>
      <w:r w:rsidRPr="006F2E5B">
        <w:rPr>
          <w:iCs/>
        </w:rPr>
        <w:t xml:space="preserve">he target data </w:t>
      </w:r>
      <w:r>
        <w:rPr>
          <w:iCs/>
        </w:rPr>
        <w:t xml:space="preserve">undergoes the same processing (centered and </w:t>
      </w:r>
      <w:r w:rsidRPr="006F2E5B">
        <w:rPr>
          <w:iCs/>
        </w:rPr>
        <w:t>scaled using the mean and variance of the reference data</w:t>
      </w:r>
      <w:r>
        <w:rPr>
          <w:iCs/>
        </w:rPr>
        <w:t>) first and are then fed to the trained classifier.</w:t>
      </w:r>
      <w:r w:rsidRPr="006F2E5B">
        <w:rPr>
          <w:iCs/>
        </w:rPr>
        <w:t xml:space="preserve"> </w:t>
      </w:r>
      <w:r>
        <w:rPr>
          <w:iCs/>
        </w:rPr>
        <w:t xml:space="preserve"> </w:t>
      </w:r>
    </w:p>
    <w:p w14:paraId="292F499B" w14:textId="77777777" w:rsidR="00FB0DF5" w:rsidRDefault="00FB0DF5" w:rsidP="00FB0DF5">
      <w:pPr>
        <w:spacing w:line="480" w:lineRule="auto"/>
        <w:rPr>
          <w:iCs/>
        </w:rPr>
      </w:pPr>
      <w:bookmarkStart w:id="3" w:name="OLE_LINK5"/>
      <w:r w:rsidRPr="0092259B">
        <w:rPr>
          <w:iCs/>
        </w:rPr>
        <w:t>For other methods, we</w:t>
      </w:r>
      <w:bookmarkEnd w:id="3"/>
      <w:r w:rsidRPr="0092259B">
        <w:rPr>
          <w:iCs/>
        </w:rPr>
        <w:t xml:space="preserve"> conduct data processing based on the tutorials or guidance provided by the respective methods.</w:t>
      </w:r>
    </w:p>
    <w:p w14:paraId="162797F4" w14:textId="77777777" w:rsidR="00FB0DF5" w:rsidRDefault="00FB0DF5" w:rsidP="00FB0DF5">
      <w:pPr>
        <w:spacing w:line="480" w:lineRule="auto"/>
        <w:rPr>
          <w:iCs/>
        </w:rPr>
      </w:pPr>
    </w:p>
    <w:p w14:paraId="07FD1A8D" w14:textId="77777777" w:rsidR="00FB0DF5" w:rsidRDefault="00FB0DF5" w:rsidP="00FB0DF5">
      <w:pPr>
        <w:rPr>
          <w:b/>
          <w:bCs/>
          <w:sz w:val="28"/>
          <w:szCs w:val="28"/>
        </w:rPr>
      </w:pPr>
      <w:r w:rsidRPr="00BD0C30">
        <w:rPr>
          <w:b/>
          <w:bCs/>
          <w:sz w:val="28"/>
          <w:szCs w:val="28"/>
        </w:rPr>
        <w:lastRenderedPageBreak/>
        <w:t>S</w:t>
      </w:r>
      <w:r>
        <w:rPr>
          <w:rFonts w:hint="eastAsia"/>
          <w:b/>
          <w:bCs/>
          <w:sz w:val="28"/>
          <w:szCs w:val="28"/>
        </w:rPr>
        <w:t>3</w:t>
      </w:r>
      <w:r w:rsidRPr="00BD0C30">
        <w:rPr>
          <w:b/>
          <w:bCs/>
          <w:sz w:val="28"/>
          <w:szCs w:val="28"/>
        </w:rPr>
        <w:t xml:space="preserve">. </w:t>
      </w:r>
      <w:r>
        <w:rPr>
          <w:rFonts w:hint="eastAsia"/>
          <w:b/>
          <w:bCs/>
          <w:sz w:val="28"/>
          <w:szCs w:val="28"/>
        </w:rPr>
        <w:t>Motivation</w:t>
      </w:r>
    </w:p>
    <w:p w14:paraId="216305A9" w14:textId="77777777" w:rsidR="00AA06E8" w:rsidRDefault="00AA06E8" w:rsidP="00FB0DF5">
      <w:pPr>
        <w:rPr>
          <w:b/>
          <w:bCs/>
          <w:sz w:val="28"/>
          <w:szCs w:val="28"/>
        </w:rPr>
      </w:pPr>
    </w:p>
    <w:p w14:paraId="0225E61A" w14:textId="42A98EF9" w:rsidR="00FB0DF5" w:rsidRDefault="00FB0DF5" w:rsidP="00AA06E8">
      <w:pPr>
        <w:rPr>
          <w:b/>
          <w:bCs/>
          <w:iCs/>
        </w:rPr>
      </w:pPr>
      <w:r w:rsidRPr="00C87B45">
        <w:rPr>
          <w:b/>
          <w:bCs/>
          <w:iCs/>
        </w:rPr>
        <w:t xml:space="preserve">The quality of reference has a strong impact in </w:t>
      </w:r>
      <w:r w:rsidR="005C1EC3">
        <w:rPr>
          <w:b/>
          <w:bCs/>
          <w:iCs/>
        </w:rPr>
        <w:t>cell-typing</w:t>
      </w:r>
      <w:r w:rsidRPr="00C87B45">
        <w:rPr>
          <w:b/>
          <w:bCs/>
          <w:iCs/>
        </w:rPr>
        <w:t xml:space="preserve"> accuracy </w:t>
      </w:r>
    </w:p>
    <w:p w14:paraId="67FC58D4" w14:textId="77777777" w:rsidR="00AA06E8" w:rsidRPr="00AA06E8" w:rsidRDefault="00AA06E8" w:rsidP="00AA06E8">
      <w:pPr>
        <w:rPr>
          <w:b/>
          <w:bCs/>
          <w:iCs/>
        </w:rPr>
      </w:pPr>
    </w:p>
    <w:p w14:paraId="02F92AD2" w14:textId="77777777" w:rsidR="00FB0DF5" w:rsidRPr="00413F8B" w:rsidRDefault="00FB0DF5" w:rsidP="00FB0DF5">
      <w:pPr>
        <w:spacing w:line="480" w:lineRule="auto"/>
        <w:rPr>
          <w:iCs/>
        </w:rPr>
      </w:pPr>
      <w:r w:rsidRPr="00413F8B">
        <w:rPr>
          <w:iCs/>
        </w:rPr>
        <w:t xml:space="preserve">It is common knowledge that the size of the training sample is an important factor in supervised learning. </w:t>
      </w:r>
      <w:r>
        <w:rPr>
          <w:iCs/>
        </w:rPr>
        <w:t xml:space="preserve">This is observed in the </w:t>
      </w:r>
      <w:proofErr w:type="spellStart"/>
      <w:r>
        <w:rPr>
          <w:iCs/>
        </w:rPr>
        <w:t>scRNA</w:t>
      </w:r>
      <w:proofErr w:type="spellEnd"/>
      <w:r>
        <w:rPr>
          <w:iCs/>
        </w:rPr>
        <w:t xml:space="preserve">-seq context as well. </w:t>
      </w:r>
      <w:r w:rsidRPr="00413F8B">
        <w:rPr>
          <w:iCs/>
        </w:rPr>
        <w:t>As reported by Ma</w:t>
      </w:r>
      <w:r>
        <w:rPr>
          <w:rFonts w:hint="eastAsia"/>
          <w:iCs/>
        </w:rPr>
        <w:t xml:space="preserve"> </w:t>
      </w:r>
      <w:r>
        <w:rPr>
          <w:iCs/>
        </w:rPr>
        <w:fldChar w:fldCharType="begin"/>
      </w:r>
      <w:r>
        <w:rPr>
          <w:iCs/>
        </w:rPr>
        <w:instrText xml:space="preserve"> ADDIN EN.CITE &lt;EndNote&gt;&lt;Cite&gt;&lt;Author&gt;Ma&lt;/Author&gt;&lt;Year&gt;2021&lt;/Year&gt;&lt;RecNum&gt;15&lt;/RecNum&gt;&lt;DisplayText&gt;[7]&lt;/DisplayText&gt;&lt;record&gt;&lt;rec-number&gt;15&lt;/rec-number&gt;&lt;foreign-keys&gt;&lt;key app="EN" db-id="pdrtdrspu0t5adex5vopfs0b20vtdfzptpwv" timestamp="1715961288"&gt;15&lt;/key&gt;&lt;/foreign-keys&gt;&lt;ref-type name="Journal Article"&gt;17&lt;/ref-type&gt;&lt;contributors&gt;&lt;authors&gt;&lt;author&gt;Ma, Wenjing&lt;/author&gt;&lt;author&gt;Su, Kenong&lt;/author&gt;&lt;author&gt;Wu, Hao&lt;/author&gt;&lt;/authors&gt;&lt;/contributors&gt;&lt;titles&gt;&lt;title&gt;Evaluation of some aspects in supervised cell type identification for single-cell RNA-seq: classifier, feature selection, and reference construction&lt;/title&gt;&lt;secondary-title&gt;Genome biology&lt;/secondary-title&gt;&lt;/titles&gt;&lt;periodical&gt;&lt;full-title&gt;Genome biology&lt;/full-title&gt;&lt;/periodical&gt;&lt;pages&gt;1-23&lt;/pages&gt;&lt;volume&gt;22&lt;/volume&gt;&lt;dates&gt;&lt;year&gt;2021&lt;/year&gt;&lt;/dates&gt;&lt;urls&gt;&lt;/urls&gt;&lt;/record&gt;&lt;/Cite&gt;&lt;/EndNote&gt;</w:instrText>
      </w:r>
      <w:r>
        <w:rPr>
          <w:iCs/>
        </w:rPr>
        <w:fldChar w:fldCharType="separate"/>
      </w:r>
      <w:r>
        <w:rPr>
          <w:iCs/>
          <w:noProof/>
        </w:rPr>
        <w:t>[7]</w:t>
      </w:r>
      <w:r>
        <w:rPr>
          <w:iCs/>
        </w:rPr>
        <w:fldChar w:fldCharType="end"/>
      </w:r>
      <w:r w:rsidRPr="00413F8B">
        <w:rPr>
          <w:iCs/>
        </w:rPr>
        <w:t>, as expected, accuracy increases as the size of the reference grows. However, not all references are equal. The quality of the reference is just as important</w:t>
      </w:r>
      <w:r>
        <w:rPr>
          <w:iCs/>
        </w:rPr>
        <w:t xml:space="preserve"> </w:t>
      </w:r>
      <w:r w:rsidRPr="00413F8B">
        <w:rPr>
          <w:iCs/>
        </w:rPr>
        <w:t>and</w:t>
      </w:r>
      <w:r>
        <w:rPr>
          <w:iCs/>
        </w:rPr>
        <w:t>,</w:t>
      </w:r>
      <w:r w:rsidRPr="00413F8B">
        <w:rPr>
          <w:iCs/>
        </w:rPr>
        <w:t xml:space="preserve"> sometimes, a bigger training (reference) sample is not necessarily better.</w:t>
      </w:r>
    </w:p>
    <w:p w14:paraId="2BEC76AF" w14:textId="77777777" w:rsidR="00FB0DF5" w:rsidRPr="00C87B45" w:rsidRDefault="00FB0DF5" w:rsidP="00FB0DF5">
      <w:pPr>
        <w:spacing w:line="480" w:lineRule="auto"/>
        <w:rPr>
          <w:iCs/>
        </w:rPr>
      </w:pPr>
      <w:r>
        <w:rPr>
          <w:iCs/>
        </w:rPr>
        <w:t xml:space="preserve">One </w:t>
      </w:r>
      <w:r>
        <w:rPr>
          <w:rFonts w:hint="eastAsia"/>
          <w:iCs/>
        </w:rPr>
        <w:t>key</w:t>
      </w:r>
      <w:r w:rsidRPr="00413F8B">
        <w:rPr>
          <w:iCs/>
        </w:rPr>
        <w:t xml:space="preserve"> observation that highlights the importance of quality over quantity is that sometimes using a large training population by combining all reference samples (&gt;400k cells) does not work as well as using reference cells from a single reference sample</w:t>
      </w:r>
      <w:r>
        <w:rPr>
          <w:rFonts w:hint="eastAsia"/>
          <w:iCs/>
        </w:rPr>
        <w:t xml:space="preserve"> (Table S2)</w:t>
      </w:r>
      <w:r w:rsidRPr="00413F8B">
        <w:rPr>
          <w:iCs/>
        </w:rPr>
        <w:t>. The accuracy for target S-S047 is 0.846 when using S-M078 as the reference (8596 cells), and the accuracy reduces to 0.786 when other reference samples are added. Similarly, for target S-S092, the accuracy is 0.96 when S-S047 (11291 cells) is used as its reference, while adding more reference samples hinders the prediction.</w:t>
      </w:r>
      <w:r>
        <w:rPr>
          <w:rFonts w:hint="eastAsia"/>
          <w:iCs/>
        </w:rPr>
        <w:t xml:space="preserve"> </w:t>
      </w:r>
    </w:p>
    <w:p w14:paraId="2991F17C" w14:textId="77777777" w:rsidR="00FB0DF5" w:rsidRDefault="00FB0DF5" w:rsidP="00FB0DF5">
      <w:pPr>
        <w:rPr>
          <w:b/>
          <w:bCs/>
        </w:rPr>
      </w:pPr>
      <w:r>
        <w:rPr>
          <w:b/>
          <w:bCs/>
        </w:rPr>
        <w:t>Table</w:t>
      </w:r>
      <w:r>
        <w:rPr>
          <w:rFonts w:hint="eastAsia"/>
          <w:b/>
          <w:bCs/>
        </w:rPr>
        <w:t xml:space="preserve"> S2</w:t>
      </w:r>
      <w:r>
        <w:rPr>
          <w:b/>
          <w:bCs/>
        </w:rPr>
        <w:t xml:space="preserve">. </w:t>
      </w:r>
      <w:r w:rsidRPr="006A7B51">
        <w:rPr>
          <w:b/>
          <w:bCs/>
        </w:rPr>
        <w:t>Quality over quantity: reference quality effects on accuracy of MLP. The accuracy represents the average from MLP on 50 different random seeds. The corresponding standard deviation is provided in parentheses.</w:t>
      </w:r>
    </w:p>
    <w:p w14:paraId="5EE9F30B" w14:textId="77777777" w:rsidR="00FB0DF5" w:rsidRPr="005517B5" w:rsidRDefault="00FB0DF5" w:rsidP="00FB0DF5">
      <w:pPr>
        <w:rPr>
          <w:b/>
          <w:bCs/>
        </w:rPr>
      </w:pPr>
    </w:p>
    <w:tbl>
      <w:tblPr>
        <w:tblStyle w:val="TableGrid"/>
        <w:tblW w:w="0" w:type="auto"/>
        <w:tblLook w:val="04A0" w:firstRow="1" w:lastRow="0" w:firstColumn="1" w:lastColumn="0" w:noHBand="0" w:noVBand="1"/>
      </w:tblPr>
      <w:tblGrid>
        <w:gridCol w:w="2695"/>
        <w:gridCol w:w="1620"/>
        <w:gridCol w:w="1710"/>
        <w:gridCol w:w="1620"/>
        <w:gridCol w:w="1705"/>
      </w:tblGrid>
      <w:tr w:rsidR="00FB0DF5" w14:paraId="6970027A" w14:textId="77777777" w:rsidTr="004C6ED0">
        <w:tc>
          <w:tcPr>
            <w:tcW w:w="2695" w:type="dxa"/>
          </w:tcPr>
          <w:p w14:paraId="501DD465" w14:textId="77777777" w:rsidR="00FB0DF5" w:rsidRPr="006148DE" w:rsidRDefault="00FB0DF5" w:rsidP="004C6ED0">
            <w:pPr>
              <w:jc w:val="center"/>
              <w:rPr>
                <w:b/>
                <w:bCs/>
                <w:sz w:val="21"/>
                <w:szCs w:val="21"/>
              </w:rPr>
            </w:pPr>
          </w:p>
        </w:tc>
        <w:tc>
          <w:tcPr>
            <w:tcW w:w="3330" w:type="dxa"/>
            <w:gridSpan w:val="2"/>
          </w:tcPr>
          <w:p w14:paraId="236A1A02" w14:textId="77777777" w:rsidR="00FB0DF5" w:rsidRPr="006148DE" w:rsidRDefault="00FB0DF5" w:rsidP="004C6ED0">
            <w:pPr>
              <w:jc w:val="center"/>
              <w:rPr>
                <w:b/>
                <w:bCs/>
                <w:sz w:val="21"/>
                <w:szCs w:val="21"/>
              </w:rPr>
            </w:pPr>
            <w:r w:rsidRPr="006148DE">
              <w:rPr>
                <w:sz w:val="21"/>
                <w:szCs w:val="21"/>
                <w:shd w:val="clear" w:color="auto" w:fill="FFFFFF"/>
              </w:rPr>
              <w:t>Target: S-S047</w:t>
            </w:r>
          </w:p>
        </w:tc>
        <w:tc>
          <w:tcPr>
            <w:tcW w:w="3325" w:type="dxa"/>
            <w:gridSpan w:val="2"/>
          </w:tcPr>
          <w:p w14:paraId="3874871C" w14:textId="77777777" w:rsidR="00FB0DF5" w:rsidRPr="006148DE" w:rsidRDefault="00FB0DF5" w:rsidP="004C6ED0">
            <w:pPr>
              <w:jc w:val="center"/>
              <w:rPr>
                <w:b/>
                <w:bCs/>
                <w:sz w:val="21"/>
                <w:szCs w:val="21"/>
              </w:rPr>
            </w:pPr>
            <w:r w:rsidRPr="006148DE">
              <w:rPr>
                <w:sz w:val="21"/>
                <w:szCs w:val="21"/>
                <w:shd w:val="clear" w:color="auto" w:fill="FFFFFF"/>
              </w:rPr>
              <w:t>Target: S-S092</w:t>
            </w:r>
          </w:p>
        </w:tc>
      </w:tr>
      <w:tr w:rsidR="00FB0DF5" w14:paraId="26D10D38" w14:textId="77777777" w:rsidTr="004C6ED0">
        <w:tc>
          <w:tcPr>
            <w:tcW w:w="2695" w:type="dxa"/>
          </w:tcPr>
          <w:p w14:paraId="091C0333" w14:textId="77777777" w:rsidR="00FB0DF5" w:rsidRPr="006148DE" w:rsidRDefault="00FB0DF5" w:rsidP="004C6ED0">
            <w:pPr>
              <w:jc w:val="center"/>
              <w:rPr>
                <w:b/>
                <w:bCs/>
                <w:sz w:val="21"/>
                <w:szCs w:val="21"/>
              </w:rPr>
            </w:pPr>
            <w:r w:rsidRPr="006148DE">
              <w:rPr>
                <w:sz w:val="21"/>
                <w:szCs w:val="21"/>
                <w:shd w:val="clear" w:color="auto" w:fill="FFFFFF"/>
              </w:rPr>
              <w:t>Reference</w:t>
            </w:r>
          </w:p>
        </w:tc>
        <w:tc>
          <w:tcPr>
            <w:tcW w:w="1620" w:type="dxa"/>
          </w:tcPr>
          <w:p w14:paraId="12B37F31" w14:textId="77777777" w:rsidR="00FB0DF5" w:rsidRPr="006148DE" w:rsidRDefault="00FB0DF5" w:rsidP="004C6ED0">
            <w:pPr>
              <w:jc w:val="center"/>
              <w:rPr>
                <w:sz w:val="21"/>
                <w:szCs w:val="21"/>
              </w:rPr>
            </w:pPr>
            <w:r w:rsidRPr="006148DE">
              <w:rPr>
                <w:sz w:val="21"/>
                <w:szCs w:val="21"/>
              </w:rPr>
              <w:t>S-M078</w:t>
            </w:r>
          </w:p>
        </w:tc>
        <w:tc>
          <w:tcPr>
            <w:tcW w:w="1710" w:type="dxa"/>
          </w:tcPr>
          <w:p w14:paraId="0B232F1B" w14:textId="77777777" w:rsidR="00FB0DF5" w:rsidRPr="006148DE" w:rsidRDefault="00FB0DF5" w:rsidP="004C6ED0">
            <w:pPr>
              <w:jc w:val="center"/>
              <w:rPr>
                <w:sz w:val="21"/>
                <w:szCs w:val="21"/>
              </w:rPr>
            </w:pPr>
            <w:r w:rsidRPr="006148DE">
              <w:rPr>
                <w:sz w:val="21"/>
                <w:szCs w:val="21"/>
              </w:rPr>
              <w:t>All (39 samples)</w:t>
            </w:r>
          </w:p>
        </w:tc>
        <w:tc>
          <w:tcPr>
            <w:tcW w:w="1620" w:type="dxa"/>
          </w:tcPr>
          <w:p w14:paraId="5FD2CA0A" w14:textId="77777777" w:rsidR="00FB0DF5" w:rsidRPr="006148DE" w:rsidRDefault="00FB0DF5" w:rsidP="004C6ED0">
            <w:pPr>
              <w:jc w:val="center"/>
              <w:rPr>
                <w:sz w:val="21"/>
                <w:szCs w:val="21"/>
              </w:rPr>
            </w:pPr>
            <w:r w:rsidRPr="006148DE">
              <w:rPr>
                <w:sz w:val="21"/>
                <w:szCs w:val="21"/>
              </w:rPr>
              <w:t>S-S047</w:t>
            </w:r>
          </w:p>
        </w:tc>
        <w:tc>
          <w:tcPr>
            <w:tcW w:w="1705" w:type="dxa"/>
          </w:tcPr>
          <w:p w14:paraId="349DDA6B" w14:textId="77777777" w:rsidR="00FB0DF5" w:rsidRPr="006148DE" w:rsidRDefault="00FB0DF5" w:rsidP="004C6ED0">
            <w:pPr>
              <w:jc w:val="center"/>
              <w:rPr>
                <w:b/>
                <w:bCs/>
                <w:sz w:val="21"/>
                <w:szCs w:val="21"/>
              </w:rPr>
            </w:pPr>
            <w:r w:rsidRPr="006148DE">
              <w:rPr>
                <w:sz w:val="21"/>
                <w:szCs w:val="21"/>
              </w:rPr>
              <w:t>All (39 samples)</w:t>
            </w:r>
          </w:p>
        </w:tc>
      </w:tr>
      <w:tr w:rsidR="00FB0DF5" w14:paraId="0D84DE94" w14:textId="77777777" w:rsidTr="004C6ED0">
        <w:tc>
          <w:tcPr>
            <w:tcW w:w="2695" w:type="dxa"/>
          </w:tcPr>
          <w:p w14:paraId="3CF4E8B9" w14:textId="77777777" w:rsidR="00FB0DF5" w:rsidRPr="006148DE" w:rsidRDefault="00FB0DF5" w:rsidP="004C6ED0">
            <w:pPr>
              <w:jc w:val="center"/>
              <w:rPr>
                <w:b/>
                <w:bCs/>
                <w:sz w:val="21"/>
                <w:szCs w:val="21"/>
              </w:rPr>
            </w:pPr>
            <w:r w:rsidRPr="006148DE">
              <w:rPr>
                <w:sz w:val="21"/>
                <w:szCs w:val="21"/>
                <w:shd w:val="clear" w:color="auto" w:fill="FFFFFF"/>
              </w:rPr>
              <w:t>Number of cells in reference</w:t>
            </w:r>
          </w:p>
        </w:tc>
        <w:tc>
          <w:tcPr>
            <w:tcW w:w="1620" w:type="dxa"/>
          </w:tcPr>
          <w:p w14:paraId="1A90D0B5" w14:textId="77777777" w:rsidR="00FB0DF5" w:rsidRPr="006148DE" w:rsidRDefault="00FB0DF5" w:rsidP="004C6ED0">
            <w:pPr>
              <w:jc w:val="center"/>
              <w:rPr>
                <w:sz w:val="21"/>
                <w:szCs w:val="21"/>
              </w:rPr>
            </w:pPr>
            <w:r w:rsidRPr="006148DE">
              <w:rPr>
                <w:sz w:val="21"/>
                <w:szCs w:val="21"/>
              </w:rPr>
              <w:t>8596</w:t>
            </w:r>
          </w:p>
        </w:tc>
        <w:tc>
          <w:tcPr>
            <w:tcW w:w="1710" w:type="dxa"/>
          </w:tcPr>
          <w:p w14:paraId="40A37EE1" w14:textId="77777777" w:rsidR="00FB0DF5" w:rsidRPr="006148DE" w:rsidRDefault="00FB0DF5" w:rsidP="004C6ED0">
            <w:pPr>
              <w:jc w:val="center"/>
              <w:rPr>
                <w:sz w:val="21"/>
                <w:szCs w:val="21"/>
              </w:rPr>
            </w:pPr>
            <w:r w:rsidRPr="006148DE">
              <w:rPr>
                <w:sz w:val="21"/>
                <w:szCs w:val="21"/>
              </w:rPr>
              <w:t>404099</w:t>
            </w:r>
          </w:p>
        </w:tc>
        <w:tc>
          <w:tcPr>
            <w:tcW w:w="1620" w:type="dxa"/>
          </w:tcPr>
          <w:p w14:paraId="5B475062" w14:textId="77777777" w:rsidR="00FB0DF5" w:rsidRPr="006148DE" w:rsidRDefault="00FB0DF5" w:rsidP="004C6ED0">
            <w:pPr>
              <w:jc w:val="center"/>
              <w:rPr>
                <w:b/>
                <w:bCs/>
                <w:sz w:val="21"/>
                <w:szCs w:val="21"/>
              </w:rPr>
            </w:pPr>
            <w:r w:rsidRPr="006148DE">
              <w:rPr>
                <w:sz w:val="21"/>
                <w:szCs w:val="21"/>
                <w:shd w:val="clear" w:color="auto" w:fill="FFFFFF"/>
              </w:rPr>
              <w:t>11291</w:t>
            </w:r>
          </w:p>
        </w:tc>
        <w:tc>
          <w:tcPr>
            <w:tcW w:w="1705" w:type="dxa"/>
          </w:tcPr>
          <w:p w14:paraId="59E3A6DA" w14:textId="77777777" w:rsidR="00FB0DF5" w:rsidRPr="006148DE" w:rsidRDefault="00FB0DF5" w:rsidP="004C6ED0">
            <w:pPr>
              <w:jc w:val="center"/>
              <w:rPr>
                <w:b/>
                <w:bCs/>
                <w:sz w:val="21"/>
                <w:szCs w:val="21"/>
              </w:rPr>
            </w:pPr>
            <w:r w:rsidRPr="006148DE">
              <w:rPr>
                <w:sz w:val="21"/>
                <w:szCs w:val="21"/>
                <w:shd w:val="clear" w:color="auto" w:fill="FFFFFF"/>
              </w:rPr>
              <w:t>405736</w:t>
            </w:r>
          </w:p>
        </w:tc>
      </w:tr>
      <w:tr w:rsidR="00FB0DF5" w14:paraId="1FF85FB2" w14:textId="77777777" w:rsidTr="004C6ED0">
        <w:tc>
          <w:tcPr>
            <w:tcW w:w="2695" w:type="dxa"/>
          </w:tcPr>
          <w:p w14:paraId="3D5B7E07" w14:textId="77777777" w:rsidR="00FB0DF5" w:rsidRPr="006148DE" w:rsidRDefault="00FB0DF5" w:rsidP="004C6ED0">
            <w:pPr>
              <w:jc w:val="center"/>
              <w:rPr>
                <w:sz w:val="21"/>
                <w:szCs w:val="21"/>
              </w:rPr>
            </w:pPr>
            <w:r w:rsidRPr="006148DE">
              <w:rPr>
                <w:sz w:val="21"/>
                <w:szCs w:val="21"/>
              </w:rPr>
              <w:t>Accuracy</w:t>
            </w:r>
          </w:p>
        </w:tc>
        <w:tc>
          <w:tcPr>
            <w:tcW w:w="1620" w:type="dxa"/>
          </w:tcPr>
          <w:p w14:paraId="79FE9719" w14:textId="77777777" w:rsidR="00FB0DF5" w:rsidRPr="006148DE" w:rsidRDefault="00FB0DF5" w:rsidP="004C6ED0">
            <w:pPr>
              <w:jc w:val="center"/>
              <w:rPr>
                <w:b/>
                <w:bCs/>
                <w:sz w:val="21"/>
                <w:szCs w:val="21"/>
              </w:rPr>
            </w:pPr>
            <w:r w:rsidRPr="006148DE">
              <w:rPr>
                <w:sz w:val="21"/>
                <w:szCs w:val="21"/>
                <w:shd w:val="clear" w:color="auto" w:fill="FFFFFF"/>
              </w:rPr>
              <w:t>0.846 (0.002)</w:t>
            </w:r>
          </w:p>
        </w:tc>
        <w:tc>
          <w:tcPr>
            <w:tcW w:w="1710" w:type="dxa"/>
          </w:tcPr>
          <w:p w14:paraId="36F7A201" w14:textId="77777777" w:rsidR="00FB0DF5" w:rsidRPr="006148DE" w:rsidRDefault="00FB0DF5" w:rsidP="004C6ED0">
            <w:pPr>
              <w:jc w:val="center"/>
              <w:rPr>
                <w:b/>
                <w:bCs/>
                <w:sz w:val="21"/>
                <w:szCs w:val="21"/>
              </w:rPr>
            </w:pPr>
            <w:r w:rsidRPr="006148DE">
              <w:rPr>
                <w:sz w:val="21"/>
                <w:szCs w:val="21"/>
                <w:shd w:val="clear" w:color="auto" w:fill="FFFFFF"/>
              </w:rPr>
              <w:t>0.786 (0.001)</w:t>
            </w:r>
          </w:p>
        </w:tc>
        <w:tc>
          <w:tcPr>
            <w:tcW w:w="1620" w:type="dxa"/>
          </w:tcPr>
          <w:p w14:paraId="550EC705" w14:textId="77777777" w:rsidR="00FB0DF5" w:rsidRPr="006148DE" w:rsidRDefault="00FB0DF5" w:rsidP="004C6ED0">
            <w:pPr>
              <w:jc w:val="center"/>
              <w:rPr>
                <w:b/>
                <w:bCs/>
                <w:sz w:val="21"/>
                <w:szCs w:val="21"/>
              </w:rPr>
            </w:pPr>
            <w:r w:rsidRPr="006148DE">
              <w:rPr>
                <w:sz w:val="21"/>
                <w:szCs w:val="21"/>
                <w:shd w:val="clear" w:color="auto" w:fill="FFFFFF"/>
              </w:rPr>
              <w:t>0.960 (0.001)</w:t>
            </w:r>
          </w:p>
        </w:tc>
        <w:tc>
          <w:tcPr>
            <w:tcW w:w="1705" w:type="dxa"/>
          </w:tcPr>
          <w:p w14:paraId="32F5EFAC" w14:textId="77777777" w:rsidR="00FB0DF5" w:rsidRPr="006148DE" w:rsidRDefault="00FB0DF5" w:rsidP="004C6ED0">
            <w:pPr>
              <w:jc w:val="center"/>
              <w:rPr>
                <w:b/>
                <w:bCs/>
                <w:sz w:val="21"/>
                <w:szCs w:val="21"/>
              </w:rPr>
            </w:pPr>
            <w:r w:rsidRPr="006148DE">
              <w:rPr>
                <w:sz w:val="21"/>
                <w:szCs w:val="21"/>
                <w:shd w:val="clear" w:color="auto" w:fill="FFFFFF"/>
              </w:rPr>
              <w:t>0.910 (0.002)</w:t>
            </w:r>
          </w:p>
        </w:tc>
      </w:tr>
    </w:tbl>
    <w:p w14:paraId="167BEAB6" w14:textId="77777777" w:rsidR="00FB0DF5" w:rsidRPr="00DE38F9" w:rsidRDefault="00FB0DF5" w:rsidP="00FB0DF5">
      <w:pPr>
        <w:spacing w:line="480" w:lineRule="auto"/>
        <w:rPr>
          <w:iCs/>
        </w:rPr>
      </w:pPr>
    </w:p>
    <w:p w14:paraId="2AE800B1" w14:textId="4FD7758D" w:rsidR="00FB0DF5" w:rsidRDefault="00FB0DF5" w:rsidP="00FB0DF5">
      <w:pPr>
        <w:spacing w:line="480" w:lineRule="auto"/>
        <w:rPr>
          <w:iCs/>
        </w:rPr>
      </w:pPr>
      <w:r w:rsidRPr="00103FDE">
        <w:rPr>
          <w:iCs/>
        </w:rPr>
        <w:t xml:space="preserve">To explore the impact of various reference sources on </w:t>
      </w:r>
      <w:r w:rsidR="005C1EC3">
        <w:rPr>
          <w:iCs/>
        </w:rPr>
        <w:t>cell-typing</w:t>
      </w:r>
      <w:r w:rsidRPr="00103FDE">
        <w:rPr>
          <w:iCs/>
        </w:rPr>
        <w:t xml:space="preserve"> accuracy, we conduct a comparative analysis using a subset of paired predictions from the "Lupus" dataset. The</w:t>
      </w:r>
      <w:r w:rsidR="00D76CA2">
        <w:rPr>
          <w:rFonts w:hint="eastAsia"/>
          <w:iCs/>
        </w:rPr>
        <w:t>se</w:t>
      </w:r>
      <w:r w:rsidRPr="00103FDE">
        <w:rPr>
          <w:iCs/>
        </w:rPr>
        <w:t xml:space="preserve"> findings, illustrated in Figure S1, reveal a nuanced influence of different references on 21 target samples. We observe a dual effect of reference choice. Firstly, certain references generally </w:t>
      </w:r>
      <w:r w:rsidRPr="00103FDE">
        <w:rPr>
          <w:iCs/>
        </w:rPr>
        <w:lastRenderedPageBreak/>
        <w:t xml:space="preserve">exhibit superior accuracy across multiple target samples. However, optimal performance isn't universal; what works well for one target may not for another. For instance, while </w:t>
      </w:r>
      <w:r>
        <w:rPr>
          <w:iCs/>
        </w:rPr>
        <w:t>“</w:t>
      </w:r>
      <w:r w:rsidRPr="00103FDE">
        <w:rPr>
          <w:iCs/>
        </w:rPr>
        <w:t>batch1 1079</w:t>
      </w:r>
      <w:r>
        <w:rPr>
          <w:iCs/>
        </w:rPr>
        <w:t>”</w:t>
      </w:r>
      <w:r w:rsidRPr="00103FDE">
        <w:rPr>
          <w:iCs/>
        </w:rPr>
        <w:t xml:space="preserve"> demonstrates high accuracy overall, its performance notably </w:t>
      </w:r>
      <w:r w:rsidR="00B115B8" w:rsidRPr="00103FDE">
        <w:rPr>
          <w:iCs/>
        </w:rPr>
        <w:t>lags</w:t>
      </w:r>
      <w:r w:rsidRPr="00103FDE">
        <w:rPr>
          <w:iCs/>
        </w:rPr>
        <w:t xml:space="preserve"> </w:t>
      </w:r>
      <w:r>
        <w:rPr>
          <w:iCs/>
        </w:rPr>
        <w:t>“</w:t>
      </w:r>
      <w:r w:rsidRPr="00103FDE">
        <w:rPr>
          <w:iCs/>
        </w:rPr>
        <w:t>control 1039</w:t>
      </w:r>
      <w:r>
        <w:rPr>
          <w:iCs/>
        </w:rPr>
        <w:t>”</w:t>
      </w:r>
      <w:r w:rsidRPr="00103FDE">
        <w:rPr>
          <w:iCs/>
        </w:rPr>
        <w:t xml:space="preserve"> when applied to the target</w:t>
      </w:r>
      <w:r>
        <w:rPr>
          <w:iCs/>
        </w:rPr>
        <w:t>s</w:t>
      </w:r>
      <w:r w:rsidRPr="00103FDE">
        <w:rPr>
          <w:iCs/>
        </w:rPr>
        <w:t xml:space="preserve"> </w:t>
      </w:r>
      <w:r>
        <w:rPr>
          <w:iCs/>
        </w:rPr>
        <w:t>“</w:t>
      </w:r>
      <w:r w:rsidRPr="00103FDE">
        <w:rPr>
          <w:iCs/>
        </w:rPr>
        <w:t>control 1016</w:t>
      </w:r>
      <w:r>
        <w:rPr>
          <w:iCs/>
        </w:rPr>
        <w:t>” and “simulated 1016”</w:t>
      </w:r>
      <w:r w:rsidRPr="00103FDE">
        <w:rPr>
          <w:iCs/>
        </w:rPr>
        <w:t xml:space="preserve">. </w:t>
      </w:r>
      <w:r>
        <w:rPr>
          <w:iCs/>
        </w:rPr>
        <w:t xml:space="preserve">On the other hand, “stimulated 107” often does not work as well as the other two references, but it is the best reference for several targets. </w:t>
      </w:r>
      <w:r w:rsidRPr="00103FDE">
        <w:rPr>
          <w:iCs/>
        </w:rPr>
        <w:t>Thus, there exists a pairing relationship between target and reference data, necessitating careful selection of reference sources based on the specific characteristics of the target sample.</w:t>
      </w:r>
    </w:p>
    <w:p w14:paraId="216F3F19" w14:textId="77777777" w:rsidR="00FB0DF5" w:rsidRDefault="00FB0DF5" w:rsidP="00FB0DF5">
      <w:pPr>
        <w:jc w:val="center"/>
      </w:pPr>
      <w:r>
        <w:rPr>
          <w:noProof/>
          <w14:ligatures w14:val="standardContextual"/>
        </w:rPr>
        <w:drawing>
          <wp:inline distT="0" distB="0" distL="0" distR="0" wp14:anchorId="7D690430" wp14:editId="40D2A018">
            <wp:extent cx="5943600" cy="3962400"/>
            <wp:effectExtent l="0" t="0" r="0" b="0"/>
            <wp:docPr id="1843621704" name="Picture 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21704" name="Picture 9" descr="A graph with different colored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3D46FC8" w14:textId="31B92588" w:rsidR="00FB0DF5" w:rsidRDefault="00FB0DF5" w:rsidP="00FB0DF5">
      <w:r w:rsidRPr="00CE4BC8">
        <w:rPr>
          <w:b/>
          <w:bCs/>
        </w:rPr>
        <w:t>Figure S</w:t>
      </w:r>
      <w:r>
        <w:rPr>
          <w:b/>
          <w:bCs/>
        </w:rPr>
        <w:t>1</w:t>
      </w:r>
      <w:r w:rsidRPr="00CE4BC8">
        <w:rPr>
          <w:b/>
          <w:bCs/>
        </w:rPr>
        <w:t xml:space="preserve">. </w:t>
      </w:r>
      <w:r w:rsidRPr="004C72C7">
        <w:t xml:space="preserve">Effect of different references on </w:t>
      </w:r>
      <w:r w:rsidR="005C1EC3">
        <w:t>cell-typing</w:t>
      </w:r>
      <w:r w:rsidRPr="004C72C7">
        <w:t xml:space="preserve"> accuracy. The optimum accuracy varies across different combinations of reference and target. The reference that performs well overall could be the worst choice for specific target samples.</w:t>
      </w:r>
    </w:p>
    <w:p w14:paraId="47D1335B" w14:textId="77777777" w:rsidR="00FB0DF5" w:rsidRDefault="00FB0DF5" w:rsidP="00FB0DF5"/>
    <w:p w14:paraId="3FAC12E2" w14:textId="77777777" w:rsidR="00FB0DF5" w:rsidRPr="004C72C7" w:rsidRDefault="00FB0DF5" w:rsidP="00FB0DF5">
      <w:pPr>
        <w:rPr>
          <w:b/>
          <w:bCs/>
          <w:iCs/>
        </w:rPr>
      </w:pPr>
      <w:r w:rsidRPr="004C72C7">
        <w:rPr>
          <w:b/>
          <w:bCs/>
          <w:iCs/>
        </w:rPr>
        <w:t>The deviation between reference and target includes both domain shift and composition difference</w:t>
      </w:r>
    </w:p>
    <w:p w14:paraId="475D465C" w14:textId="77777777" w:rsidR="00FB0DF5" w:rsidRDefault="00FB0DF5" w:rsidP="00FB0DF5">
      <w:pPr>
        <w:spacing w:line="480" w:lineRule="auto"/>
        <w:rPr>
          <w:iCs/>
        </w:rPr>
      </w:pPr>
    </w:p>
    <w:p w14:paraId="60612497" w14:textId="7E6DAFC6" w:rsidR="00FB0DF5" w:rsidRPr="00C87B45" w:rsidRDefault="00FB0DF5" w:rsidP="00FB0DF5">
      <w:pPr>
        <w:spacing w:line="480" w:lineRule="auto"/>
        <w:rPr>
          <w:iCs/>
        </w:rPr>
      </w:pPr>
      <w:r w:rsidRPr="00911494">
        <w:rPr>
          <w:iCs/>
        </w:rPr>
        <w:lastRenderedPageBreak/>
        <w:t>In many learning scenarios, there's an underlying assumption that the training (reference) and test (target) data stem from identical</w:t>
      </w:r>
      <w:r>
        <w:rPr>
          <w:iCs/>
        </w:rPr>
        <w:t>, or at least similar,</w:t>
      </w:r>
      <w:r w:rsidRPr="00911494">
        <w:rPr>
          <w:iCs/>
        </w:rPr>
        <w:t xml:space="preserve"> populations.</w:t>
      </w:r>
      <w:r>
        <w:rPr>
          <w:iCs/>
        </w:rPr>
        <w:t xml:space="preserve"> Though </w:t>
      </w:r>
      <w:r w:rsidRPr="00911494">
        <w:rPr>
          <w:iCs/>
        </w:rPr>
        <w:t xml:space="preserve">it's optimal for all cells in the training set </w:t>
      </w:r>
      <w:r>
        <w:rPr>
          <w:iCs/>
        </w:rPr>
        <w:t xml:space="preserve">and </w:t>
      </w:r>
      <w:r w:rsidRPr="00911494">
        <w:rPr>
          <w:iCs/>
        </w:rPr>
        <w:t>the target set to originate from the same biological source</w:t>
      </w:r>
      <w:r>
        <w:rPr>
          <w:iCs/>
        </w:rPr>
        <w:t xml:space="preserve">, </w:t>
      </w:r>
      <w:r w:rsidRPr="00911494">
        <w:rPr>
          <w:iCs/>
        </w:rPr>
        <w:t>deviations between the reference and target populations are inevitable in practice.</w:t>
      </w:r>
      <w:r w:rsidRPr="004C72C7">
        <w:rPr>
          <w:iCs/>
        </w:rPr>
        <w:t xml:space="preserve"> </w:t>
      </w:r>
      <w:r w:rsidRPr="00911494">
        <w:rPr>
          <w:iCs/>
        </w:rPr>
        <w:t xml:space="preserve">Achieving </w:t>
      </w:r>
      <w:r>
        <w:rPr>
          <w:iCs/>
        </w:rPr>
        <w:t xml:space="preserve">a balance </w:t>
      </w:r>
      <w:r w:rsidRPr="00911494">
        <w:rPr>
          <w:iCs/>
        </w:rPr>
        <w:t xml:space="preserve">between quantity and quality becomes crucial in light of this discrepancy. We </w:t>
      </w:r>
      <w:r>
        <w:rPr>
          <w:iCs/>
        </w:rPr>
        <w:t>believe there are</w:t>
      </w:r>
      <w:r w:rsidRPr="00911494">
        <w:rPr>
          <w:iCs/>
        </w:rPr>
        <w:t xml:space="preserve"> two primary factors contributing to the quality of reference samples: the resemblance in expression profile distributions and the similarity in cell-type composition.</w:t>
      </w:r>
      <w:r>
        <w:rPr>
          <w:iCs/>
        </w:rPr>
        <w:t xml:space="preserve"> </w:t>
      </w:r>
      <w:r w:rsidRPr="004C72C7">
        <w:rPr>
          <w:iCs/>
        </w:rPr>
        <w:t>Figure S</w:t>
      </w:r>
      <w:r>
        <w:rPr>
          <w:iCs/>
        </w:rPr>
        <w:t>2</w:t>
      </w:r>
      <w:r w:rsidRPr="004C72C7">
        <w:rPr>
          <w:iCs/>
        </w:rPr>
        <w:t>.A shows an example with obvious of domain shift, evident from the distinct separation between the reference and target</w:t>
      </w:r>
      <w:r>
        <w:rPr>
          <w:iCs/>
        </w:rPr>
        <w:t>, even for the same cell-types</w:t>
      </w:r>
      <w:r w:rsidRPr="004C72C7">
        <w:rPr>
          <w:iCs/>
        </w:rPr>
        <w:t>. It is obvious that domain shift leads to erroneous classification</w:t>
      </w:r>
      <w:r>
        <w:rPr>
          <w:iCs/>
        </w:rPr>
        <w:t>.</w:t>
      </w:r>
      <w:r w:rsidRPr="004C72C7">
        <w:rPr>
          <w:iCs/>
        </w:rPr>
        <w:t xml:space="preserve"> </w:t>
      </w:r>
      <w:r>
        <w:rPr>
          <w:iCs/>
        </w:rPr>
        <w:t>A</w:t>
      </w:r>
      <w:r w:rsidRPr="004C72C7">
        <w:rPr>
          <w:iCs/>
        </w:rPr>
        <w:t xml:space="preserve"> lot of effort has been put into removing or reducing it, which often is referred to as “batch effect” in the </w:t>
      </w:r>
      <w:proofErr w:type="spellStart"/>
      <w:r w:rsidRPr="004C72C7">
        <w:rPr>
          <w:iCs/>
        </w:rPr>
        <w:t>scRNA</w:t>
      </w:r>
      <w:proofErr w:type="spellEnd"/>
      <w:r w:rsidRPr="004C72C7">
        <w:rPr>
          <w:iCs/>
        </w:rPr>
        <w:t>-seq context. Unfortunately, batch effect is also notoriously difficult to completely remove and Ma</w:t>
      </w:r>
      <w:r>
        <w:rPr>
          <w:rFonts w:hint="eastAsia"/>
          <w:iCs/>
        </w:rPr>
        <w:t xml:space="preserve"> </w:t>
      </w:r>
      <w:r>
        <w:rPr>
          <w:iCs/>
        </w:rPr>
        <w:fldChar w:fldCharType="begin"/>
      </w:r>
      <w:r>
        <w:rPr>
          <w:iCs/>
        </w:rPr>
        <w:instrText xml:space="preserve"> ADDIN EN.CITE &lt;EndNote&gt;&lt;Cite&gt;&lt;Author&gt;Ma&lt;/Author&gt;&lt;Year&gt;2021&lt;/Year&gt;&lt;RecNum&gt;15&lt;/RecNum&gt;&lt;DisplayText&gt;[7]&lt;/DisplayText&gt;&lt;record&gt;&lt;rec-number&gt;15&lt;/rec-number&gt;&lt;foreign-keys&gt;&lt;key app="EN" db-id="pdrtdrspu0t5adex5vopfs0b20vtdfzptpwv" timestamp="1715961288"&gt;15&lt;/key&gt;&lt;/foreign-keys&gt;&lt;ref-type name="Journal Article"&gt;17&lt;/ref-type&gt;&lt;contributors&gt;&lt;authors&gt;&lt;author&gt;Ma, Wenjing&lt;/author&gt;&lt;author&gt;Su, Kenong&lt;/author&gt;&lt;author&gt;Wu, Hao&lt;/author&gt;&lt;/authors&gt;&lt;/contributors&gt;&lt;titles&gt;&lt;title&gt;Evaluation of some aspects in supervised cell type identification for single-cell RNA-seq: classifier, feature selection, and reference construction&lt;/title&gt;&lt;secondary-title&gt;Genome biology&lt;/secondary-title&gt;&lt;/titles&gt;&lt;periodical&gt;&lt;full-title&gt;Genome biology&lt;/full-title&gt;&lt;/periodical&gt;&lt;pages&gt;1-23&lt;/pages&gt;&lt;volume&gt;22&lt;/volume&gt;&lt;dates&gt;&lt;year&gt;2021&lt;/year&gt;&lt;/dates&gt;&lt;urls&gt;&lt;/urls&gt;&lt;/record&gt;&lt;/Cite&gt;&lt;/EndNote&gt;</w:instrText>
      </w:r>
      <w:r>
        <w:rPr>
          <w:iCs/>
        </w:rPr>
        <w:fldChar w:fldCharType="separate"/>
      </w:r>
      <w:r>
        <w:rPr>
          <w:iCs/>
          <w:noProof/>
        </w:rPr>
        <w:t>[7]</w:t>
      </w:r>
      <w:r>
        <w:rPr>
          <w:iCs/>
        </w:rPr>
        <w:fldChar w:fldCharType="end"/>
      </w:r>
      <w:r w:rsidRPr="004C72C7">
        <w:rPr>
          <w:iCs/>
        </w:rPr>
        <w:t xml:space="preserve"> found that adding a batch effect removing step</w:t>
      </w:r>
      <w:r>
        <w:rPr>
          <w:iCs/>
        </w:rPr>
        <w:t xml:space="preserve"> </w:t>
      </w:r>
      <w:r w:rsidRPr="004C72C7">
        <w:rPr>
          <w:iCs/>
        </w:rPr>
        <w:t xml:space="preserve">does not make much difference in </w:t>
      </w:r>
      <w:r>
        <w:rPr>
          <w:iCs/>
        </w:rPr>
        <w:t>many datasets they assessed</w:t>
      </w:r>
      <w:r w:rsidRPr="004C72C7">
        <w:rPr>
          <w:iCs/>
        </w:rPr>
        <w:t>.</w:t>
      </w:r>
    </w:p>
    <w:p w14:paraId="09C5A7A6" w14:textId="77777777" w:rsidR="00FB0DF5" w:rsidRPr="006552AA" w:rsidRDefault="00FB0DF5" w:rsidP="00FB0DF5">
      <w:r>
        <w:rPr>
          <w:noProof/>
          <w14:ligatures w14:val="standardContextual"/>
        </w:rPr>
        <w:drawing>
          <wp:inline distT="0" distB="0" distL="0" distR="0" wp14:anchorId="6B549FE5" wp14:editId="2886F29A">
            <wp:extent cx="5943600" cy="3425190"/>
            <wp:effectExtent l="0" t="0" r="0" b="3810"/>
            <wp:docPr id="1854015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15710" name="Picture 1854015710"/>
                    <pic:cNvPicPr/>
                  </pic:nvPicPr>
                  <pic:blipFill>
                    <a:blip r:embed="rId17">
                      <a:extLst>
                        <a:ext uri="{28A0092B-C50C-407E-A947-70E740481C1C}">
                          <a14:useLocalDpi xmlns:a14="http://schemas.microsoft.com/office/drawing/2010/main" val="0"/>
                        </a:ext>
                      </a:extLst>
                    </a:blip>
                    <a:stretch>
                      <a:fillRect/>
                    </a:stretch>
                  </pic:blipFill>
                  <pic:spPr>
                    <a:xfrm>
                      <a:off x="0" y="0"/>
                      <a:ext cx="5943600" cy="3425190"/>
                    </a:xfrm>
                    <a:prstGeom prst="rect">
                      <a:avLst/>
                    </a:prstGeom>
                  </pic:spPr>
                </pic:pic>
              </a:graphicData>
            </a:graphic>
          </wp:inline>
        </w:drawing>
      </w:r>
    </w:p>
    <w:p w14:paraId="7EBD4944" w14:textId="77777777" w:rsidR="00FB0DF5" w:rsidRDefault="00FB0DF5" w:rsidP="00FB0DF5">
      <w:pPr>
        <w:jc w:val="center"/>
      </w:pPr>
    </w:p>
    <w:p w14:paraId="3EB0BE39" w14:textId="77777777" w:rsidR="00FB0DF5" w:rsidRDefault="00FB0DF5" w:rsidP="00FB0DF5">
      <w:r w:rsidRPr="00CE4BC8">
        <w:rPr>
          <w:b/>
          <w:bCs/>
        </w:rPr>
        <w:lastRenderedPageBreak/>
        <w:t>Figure S</w:t>
      </w:r>
      <w:r>
        <w:rPr>
          <w:b/>
          <w:bCs/>
        </w:rPr>
        <w:t>2</w:t>
      </w:r>
      <w:r w:rsidRPr="00CE4BC8">
        <w:rPr>
          <w:b/>
          <w:bCs/>
        </w:rPr>
        <w:t xml:space="preserve">. </w:t>
      </w:r>
      <w:r>
        <w:rPr>
          <w:rFonts w:hint="eastAsia"/>
        </w:rPr>
        <w:t>The</w:t>
      </w:r>
      <w:r w:rsidRPr="00A67C59">
        <w:t xml:space="preserve"> </w:t>
      </w:r>
      <w:proofErr w:type="spellStart"/>
      <w:r w:rsidRPr="00A67C59">
        <w:t>tSNE</w:t>
      </w:r>
      <w:proofErr w:type="spellEnd"/>
      <w:r w:rsidRPr="00A67C59">
        <w:t xml:space="preserve"> dimension reduction plot</w:t>
      </w:r>
      <w:r>
        <w:rPr>
          <w:rFonts w:hint="eastAsia"/>
        </w:rPr>
        <w:t xml:space="preserve">s. (A) Presence of domain shift. Reference and target share similar cell-type composition, but </w:t>
      </w:r>
      <w:r w:rsidRPr="00AB358B">
        <w:t xml:space="preserve">distinct separation </w:t>
      </w:r>
      <w:r>
        <w:rPr>
          <w:rFonts w:hint="eastAsia"/>
        </w:rPr>
        <w:t xml:space="preserve">between reference and target is observed. (B) Presence of cell-type composition difference. </w:t>
      </w:r>
      <w:r>
        <w:t>The reference and target contain a good mixture of the same cell-type, but there is a disparity in the proportion of cell-types.</w:t>
      </w:r>
      <w:r>
        <w:rPr>
          <w:rFonts w:hint="eastAsia"/>
        </w:rPr>
        <w:t xml:space="preserve"> For instance, CD8 T cells are rarely observed in reference but are </w:t>
      </w:r>
      <w:r w:rsidRPr="00AB358B">
        <w:t>prominently present in the target.</w:t>
      </w:r>
    </w:p>
    <w:p w14:paraId="1D7E68C0" w14:textId="77777777" w:rsidR="00FB0DF5" w:rsidRPr="004C72C7" w:rsidRDefault="00FB0DF5" w:rsidP="00FB0DF5">
      <w:pPr>
        <w:spacing w:line="480" w:lineRule="auto"/>
        <w:rPr>
          <w:iCs/>
        </w:rPr>
      </w:pPr>
    </w:p>
    <w:p w14:paraId="158551A3" w14:textId="5B4FB1FE" w:rsidR="00FB0DF5" w:rsidRDefault="00FB0DF5" w:rsidP="00FB0DF5">
      <w:pPr>
        <w:spacing w:line="480" w:lineRule="auto"/>
        <w:rPr>
          <w:iCs/>
        </w:rPr>
      </w:pPr>
      <w:r w:rsidRPr="004C72C7">
        <w:rPr>
          <w:iCs/>
        </w:rPr>
        <w:t>On the other hand, even when there is little domain shift, the reference and target population may have</w:t>
      </w:r>
      <w:r>
        <w:rPr>
          <w:iCs/>
        </w:rPr>
        <w:t xml:space="preserve"> </w:t>
      </w:r>
      <w:r w:rsidRPr="004C72C7">
        <w:rPr>
          <w:iCs/>
        </w:rPr>
        <w:t xml:space="preserve">very different </w:t>
      </w:r>
      <w:r>
        <w:rPr>
          <w:iCs/>
        </w:rPr>
        <w:t>cell-type</w:t>
      </w:r>
      <w:r w:rsidRPr="004C72C7">
        <w:rPr>
          <w:iCs/>
        </w:rPr>
        <w:t xml:space="preserve"> compositions. Figure S1.B shows an example with little domain shift (supported by a good mixture between the reference and target cells of the same type), but with large differences in cell-type composition. One common phenomenon in </w:t>
      </w:r>
      <w:r w:rsidR="005C1EC3">
        <w:rPr>
          <w:iCs/>
        </w:rPr>
        <w:t>cell-typing</w:t>
      </w:r>
      <w:r w:rsidRPr="004C72C7">
        <w:rPr>
          <w:iCs/>
        </w:rPr>
        <w:t xml:space="preserve"> is that some </w:t>
      </w:r>
      <w:r>
        <w:rPr>
          <w:iCs/>
        </w:rPr>
        <w:t>cell-type</w:t>
      </w:r>
      <w:r w:rsidRPr="004C72C7">
        <w:rPr>
          <w:iCs/>
        </w:rPr>
        <w:t xml:space="preserve">s are easier to </w:t>
      </w:r>
      <w:r w:rsidR="00CC62BC" w:rsidRPr="004C72C7">
        <w:rPr>
          <w:iCs/>
        </w:rPr>
        <w:t>identify,</w:t>
      </w:r>
      <w:r w:rsidRPr="004C72C7">
        <w:rPr>
          <w:iCs/>
        </w:rPr>
        <w:t xml:space="preserve"> and some are more challenging to distinguish. </w:t>
      </w:r>
      <w:r>
        <w:rPr>
          <w:iCs/>
        </w:rPr>
        <w:t xml:space="preserve">A </w:t>
      </w:r>
      <w:r w:rsidRPr="004C72C7">
        <w:rPr>
          <w:iCs/>
        </w:rPr>
        <w:t>classifier is trained on the reference by minimizing a loss integrated over the reference population, balancing the error</w:t>
      </w:r>
      <w:r>
        <w:rPr>
          <w:iCs/>
        </w:rPr>
        <w:t xml:space="preserve"> rates</w:t>
      </w:r>
      <w:r w:rsidRPr="004C72C7">
        <w:rPr>
          <w:iCs/>
        </w:rPr>
        <w:t xml:space="preserve"> in all </w:t>
      </w:r>
      <w:r>
        <w:rPr>
          <w:iCs/>
        </w:rPr>
        <w:t>cell-type</w:t>
      </w:r>
      <w:r w:rsidRPr="004C72C7">
        <w:rPr>
          <w:iCs/>
        </w:rPr>
        <w:t xml:space="preserve">s. </w:t>
      </w:r>
      <w:r>
        <w:rPr>
          <w:iCs/>
        </w:rPr>
        <w:t xml:space="preserve">Naturally, reducing the error rate for the more abundant cell-types is more beneficial even at the cost of a higher error rate for less abundant cell-types. </w:t>
      </w:r>
      <w:r w:rsidRPr="004C72C7">
        <w:rPr>
          <w:iCs/>
        </w:rPr>
        <w:t xml:space="preserve">When the target population has a very different </w:t>
      </w:r>
      <w:r>
        <w:rPr>
          <w:iCs/>
        </w:rPr>
        <w:t>cell-type</w:t>
      </w:r>
      <w:r w:rsidRPr="004C72C7">
        <w:rPr>
          <w:iCs/>
        </w:rPr>
        <w:t xml:space="preserve"> composition, the classifier optimized on the reference population may have a much higher testing error than the training error.</w:t>
      </w:r>
      <w:r>
        <w:rPr>
          <w:rFonts w:hint="eastAsia"/>
          <w:iCs/>
        </w:rPr>
        <w:t xml:space="preserve"> </w:t>
      </w:r>
    </w:p>
    <w:p w14:paraId="3699A36C" w14:textId="77777777" w:rsidR="00FB0DF5" w:rsidRDefault="00FB0DF5" w:rsidP="00FB0DF5">
      <w:pPr>
        <w:spacing w:line="480" w:lineRule="auto"/>
        <w:rPr>
          <w:iCs/>
        </w:rPr>
      </w:pPr>
      <w:r w:rsidRPr="001B0EA1">
        <w:rPr>
          <w:iCs/>
        </w:rPr>
        <w:t xml:space="preserve">These findings prompt us to design the TORC algorithm </w:t>
      </w:r>
      <w:r>
        <w:rPr>
          <w:rFonts w:hint="eastAsia"/>
          <w:iCs/>
        </w:rPr>
        <w:t>which is aimed</w:t>
      </w:r>
      <w:r w:rsidRPr="001B0EA1">
        <w:rPr>
          <w:iCs/>
        </w:rPr>
        <w:t xml:space="preserve"> to mitigate these two types of deviations between the target and the reference populations.</w:t>
      </w:r>
    </w:p>
    <w:p w14:paraId="3F1F2B78" w14:textId="77777777" w:rsidR="00FB0DF5" w:rsidRDefault="00FB0DF5" w:rsidP="00FB0DF5">
      <w:pPr>
        <w:spacing w:line="480" w:lineRule="auto"/>
        <w:rPr>
          <w:iCs/>
        </w:rPr>
      </w:pPr>
    </w:p>
    <w:p w14:paraId="29D36E24" w14:textId="77777777" w:rsidR="00FB0DF5" w:rsidRDefault="00FB0DF5" w:rsidP="00FB0DF5">
      <w:pPr>
        <w:spacing w:line="480" w:lineRule="auto"/>
        <w:rPr>
          <w:b/>
          <w:bCs/>
          <w:iCs/>
          <w:sz w:val="28"/>
          <w:szCs w:val="28"/>
        </w:rPr>
      </w:pPr>
      <w:r w:rsidRPr="00BD0C30">
        <w:rPr>
          <w:b/>
          <w:bCs/>
          <w:iCs/>
          <w:sz w:val="28"/>
          <w:szCs w:val="28"/>
        </w:rPr>
        <w:t>S</w:t>
      </w:r>
      <w:r>
        <w:rPr>
          <w:b/>
          <w:bCs/>
          <w:iCs/>
          <w:sz w:val="28"/>
          <w:szCs w:val="28"/>
        </w:rPr>
        <w:t>4</w:t>
      </w:r>
      <w:r w:rsidRPr="00BD0C30">
        <w:rPr>
          <w:b/>
          <w:bCs/>
          <w:iCs/>
          <w:sz w:val="28"/>
          <w:szCs w:val="28"/>
        </w:rPr>
        <w:t xml:space="preserve">. </w:t>
      </w:r>
      <w:r w:rsidRPr="00BD0C30">
        <w:rPr>
          <w:rFonts w:hint="eastAsia"/>
          <w:b/>
          <w:bCs/>
          <w:iCs/>
          <w:sz w:val="28"/>
          <w:szCs w:val="28"/>
        </w:rPr>
        <w:t>Methods</w:t>
      </w:r>
    </w:p>
    <w:p w14:paraId="2F3522DC" w14:textId="77777777" w:rsidR="00FB0DF5" w:rsidRPr="00977A63" w:rsidRDefault="00FB0DF5" w:rsidP="00FB0DF5">
      <w:pPr>
        <w:spacing w:line="480" w:lineRule="auto"/>
        <w:rPr>
          <w:b/>
          <w:bCs/>
          <w:iCs/>
          <w:sz w:val="28"/>
          <w:szCs w:val="28"/>
        </w:rPr>
      </w:pPr>
    </w:p>
    <w:p w14:paraId="24872C36" w14:textId="77777777" w:rsidR="00FB0DF5" w:rsidRPr="00BE5314" w:rsidRDefault="00FB0DF5" w:rsidP="00FB0DF5">
      <w:pPr>
        <w:spacing w:line="480" w:lineRule="auto"/>
        <w:rPr>
          <w:iCs/>
        </w:rPr>
      </w:pPr>
      <w:r w:rsidRPr="00BE5314">
        <w:rPr>
          <w:iCs/>
        </w:rPr>
        <w:t xml:space="preserve">Consider the reference and target populations share </w:t>
      </w:r>
      <w:r>
        <w:rPr>
          <w:rFonts w:hint="eastAsia"/>
          <w:iCs/>
        </w:rPr>
        <w:t>K</w:t>
      </w:r>
      <w:r w:rsidRPr="00BE5314">
        <w:rPr>
          <w:iCs/>
        </w:rPr>
        <w:t xml:space="preserve"> common </w:t>
      </w:r>
      <w:r>
        <w:rPr>
          <w:iCs/>
        </w:rPr>
        <w:t>cell-type</w:t>
      </w:r>
      <w:r w:rsidRPr="00BE5314">
        <w:rPr>
          <w:iCs/>
        </w:rPr>
        <w:t xml:space="preserve">s. Supervised cell-typing methods train a classifier on the labeled reference cells. The distribution of reference profile may be viewed as the mixture of K </w:t>
      </w:r>
      <w:r>
        <w:rPr>
          <w:iCs/>
        </w:rPr>
        <w:t>cell-type</w:t>
      </w:r>
      <w:r w:rsidRPr="00BE5314">
        <w:rPr>
          <w:iCs/>
        </w:rPr>
        <w:t>-specific distributions, denoted by</w:t>
      </w:r>
      <w:r>
        <w:rPr>
          <w:rFonts w:hint="eastAsia"/>
          <w:iCs/>
        </w:rPr>
        <w:t xml:space="preserve"> </w:t>
      </w:r>
      <m:oMath>
        <m:sSup>
          <m:sSupPr>
            <m:ctrlPr>
              <w:rPr>
                <w:rFonts w:ascii="Cambria Math" w:hAnsi="Cambria Math"/>
                <w:i/>
                <w:iCs/>
              </w:rPr>
            </m:ctrlPr>
          </m:sSupPr>
          <m:e>
            <m:r>
              <w:rPr>
                <w:rFonts w:ascii="Cambria Math" w:hAnsi="Cambria Math"/>
              </w:rPr>
              <m:t>f</m:t>
            </m:r>
          </m:e>
          <m:sup>
            <m:r>
              <w:rPr>
                <w:rFonts w:ascii="Cambria Math" w:hAnsi="Cambria Math"/>
              </w:rPr>
              <m:t>R</m:t>
            </m:r>
          </m:sup>
        </m:sSup>
        <m:d>
          <m:dPr>
            <m:ctrlPr>
              <w:rPr>
                <w:rFonts w:ascii="Cambria Math" w:hAnsi="Cambria Math"/>
                <w:i/>
                <w:iCs/>
              </w:rPr>
            </m:ctrlPr>
          </m:dPr>
          <m:e>
            <m:r>
              <w:rPr>
                <w:rFonts w:ascii="Cambria Math" w:hAnsi="Cambria Math"/>
              </w:rPr>
              <m:t>x</m:t>
            </m:r>
          </m:e>
        </m:d>
        <m:r>
          <w:rPr>
            <w:rFonts w:ascii="Cambria Math" w:hAnsi="Cambria Math"/>
          </w:rPr>
          <m:t xml:space="preserve">= </m:t>
        </m:r>
        <m:nary>
          <m:naryPr>
            <m:chr m:val="∑"/>
            <m:limLoc m:val="subSup"/>
            <m:supHide m:val="1"/>
            <m:ctrlPr>
              <w:rPr>
                <w:rFonts w:ascii="Cambria Math" w:hAnsi="Cambria Math"/>
                <w:i/>
                <w:iCs/>
              </w:rPr>
            </m:ctrlPr>
          </m:naryPr>
          <m:sub>
            <m:r>
              <w:rPr>
                <w:rFonts w:ascii="Cambria Math" w:hAnsi="Cambria Math"/>
              </w:rPr>
              <m:t>k</m:t>
            </m:r>
          </m:sub>
          <m:sup/>
          <m:e>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R</m:t>
                </m:r>
              </m:sup>
            </m:sSubSup>
          </m:e>
        </m:nary>
        <m:sSubSup>
          <m:sSubSupPr>
            <m:ctrlPr>
              <w:rPr>
                <w:rFonts w:ascii="Cambria Math" w:hAnsi="Cambria Math"/>
                <w:i/>
                <w:iCs/>
              </w:rPr>
            </m:ctrlPr>
          </m:sSubSupPr>
          <m:e>
            <m:r>
              <w:rPr>
                <w:rFonts w:ascii="Cambria Math" w:hAnsi="Cambria Math"/>
              </w:rPr>
              <m:t>f</m:t>
            </m:r>
          </m:e>
          <m:sub>
            <m:r>
              <w:rPr>
                <w:rFonts w:ascii="Cambria Math" w:hAnsi="Cambria Math"/>
              </w:rPr>
              <m:t>k</m:t>
            </m:r>
          </m:sub>
          <m:sup>
            <m:r>
              <w:rPr>
                <w:rFonts w:ascii="Cambria Math" w:hAnsi="Cambria Math"/>
              </w:rPr>
              <m:t>R</m:t>
            </m:r>
          </m:sup>
        </m:sSubSup>
        <m:r>
          <w:rPr>
            <w:rFonts w:ascii="Cambria Math" w:hAnsi="Cambria Math"/>
          </w:rPr>
          <m:t>(x)</m:t>
        </m:r>
      </m:oMath>
      <w:r w:rsidRPr="00BE5314">
        <w:rPr>
          <w:iCs/>
        </w:rPr>
        <w:t xml:space="preserve">, where </w:t>
      </w:r>
      <m:oMath>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R</m:t>
            </m:r>
          </m:sup>
        </m:sSubSup>
      </m:oMath>
      <w:r>
        <w:rPr>
          <w:rFonts w:hint="eastAsia"/>
          <w:iCs/>
        </w:rPr>
        <w:t xml:space="preserve"> </w:t>
      </w:r>
      <w:r w:rsidRPr="00BE5314">
        <w:rPr>
          <w:iCs/>
        </w:rPr>
        <w:t xml:space="preserve">is the proportion of </w:t>
      </w:r>
      <w:r>
        <w:rPr>
          <w:iCs/>
        </w:rPr>
        <w:t>cell-type</w:t>
      </w:r>
      <w:r w:rsidRPr="00BE5314">
        <w:rPr>
          <w:iCs/>
        </w:rPr>
        <w:t xml:space="preserve"> </w:t>
      </w:r>
      <w:r>
        <w:rPr>
          <w:rFonts w:hint="eastAsia"/>
          <w:iCs/>
        </w:rPr>
        <w:t>k</w:t>
      </w:r>
      <w:r w:rsidRPr="00BE5314">
        <w:rPr>
          <w:iCs/>
        </w:rPr>
        <w:t xml:space="preserve"> and </w:t>
      </w:r>
      <m:oMath>
        <m:sSubSup>
          <m:sSubSupPr>
            <m:ctrlPr>
              <w:rPr>
                <w:rFonts w:ascii="Cambria Math" w:hAnsi="Cambria Math"/>
                <w:i/>
                <w:iCs/>
              </w:rPr>
            </m:ctrlPr>
          </m:sSubSupPr>
          <m:e>
            <m:r>
              <w:rPr>
                <w:rFonts w:ascii="Cambria Math" w:hAnsi="Cambria Math"/>
              </w:rPr>
              <m:t>f</m:t>
            </m:r>
          </m:e>
          <m:sub>
            <m:r>
              <w:rPr>
                <w:rFonts w:ascii="Cambria Math" w:hAnsi="Cambria Math"/>
              </w:rPr>
              <m:t>k</m:t>
            </m:r>
          </m:sub>
          <m:sup>
            <m:r>
              <w:rPr>
                <w:rFonts w:ascii="Cambria Math" w:hAnsi="Cambria Math"/>
              </w:rPr>
              <m:t>R</m:t>
            </m:r>
          </m:sup>
        </m:sSubSup>
        <m:r>
          <w:rPr>
            <w:rFonts w:ascii="Cambria Math" w:hAnsi="Cambria Math"/>
          </w:rPr>
          <m:t>(x)</m:t>
        </m:r>
      </m:oMath>
      <w:r>
        <w:rPr>
          <w:rFonts w:hint="eastAsia"/>
          <w:iCs/>
        </w:rPr>
        <w:t xml:space="preserve"> </w:t>
      </w:r>
      <w:r w:rsidRPr="00BE5314">
        <w:rPr>
          <w:iCs/>
        </w:rPr>
        <w:t xml:space="preserve">is the corresponding conditional distribution. From the labeled cells in the training data, we learn </w:t>
      </w:r>
      <m:oMath>
        <m:sSub>
          <m:sSubPr>
            <m:ctrlPr>
              <w:rPr>
                <w:rFonts w:ascii="Cambria Math" w:hAnsi="Cambria Math"/>
                <w:i/>
                <w:iCs/>
              </w:rPr>
            </m:ctrlPr>
          </m:sSubPr>
          <m:e>
            <m:r>
              <w:rPr>
                <w:rFonts w:ascii="Cambria Math" w:hAnsi="Cambria Math"/>
              </w:rPr>
              <m:t>f</m:t>
            </m:r>
          </m:e>
          <m:sub>
            <m:r>
              <w:rPr>
                <w:rFonts w:ascii="Cambria Math" w:hAnsi="Cambria Math"/>
              </w:rPr>
              <m:t>k</m:t>
            </m:r>
          </m:sub>
        </m:sSub>
        <m:d>
          <m:dPr>
            <m:ctrlPr>
              <w:rPr>
                <w:rFonts w:ascii="Cambria Math" w:hAnsi="Cambria Math"/>
                <w:i/>
                <w:iCs/>
              </w:rPr>
            </m:ctrlPr>
          </m:dPr>
          <m:e>
            <m:r>
              <w:rPr>
                <w:rFonts w:ascii="Cambria Math" w:hAnsi="Cambria Math"/>
              </w:rPr>
              <m:t>x</m:t>
            </m:r>
          </m:e>
        </m:d>
      </m:oMath>
      <w:r>
        <w:rPr>
          <w:rFonts w:hint="eastAsia"/>
          <w:iCs/>
        </w:rPr>
        <w:t xml:space="preserve"> </w:t>
      </w:r>
      <w:r w:rsidRPr="00BE5314">
        <w:rPr>
          <w:iCs/>
        </w:rPr>
        <w:t xml:space="preserve">for each </w:t>
      </w:r>
      <w:r>
        <w:rPr>
          <w:iCs/>
        </w:rPr>
        <w:t>cell-</w:t>
      </w:r>
      <w:r>
        <w:rPr>
          <w:iCs/>
        </w:rPr>
        <w:lastRenderedPageBreak/>
        <w:t>type</w:t>
      </w:r>
      <w:r w:rsidRPr="00BE5314">
        <w:rPr>
          <w:iCs/>
        </w:rPr>
        <w:t xml:space="preserve"> and minimize a marginal loss </w:t>
      </w:r>
      <m:oMath>
        <m:nary>
          <m:naryPr>
            <m:chr m:val="∑"/>
            <m:limLoc m:val="subSup"/>
            <m:supHide m:val="1"/>
            <m:ctrlPr>
              <w:rPr>
                <w:rFonts w:ascii="Cambria Math" w:hAnsi="Cambria Math"/>
                <w:i/>
                <w:iCs/>
              </w:rPr>
            </m:ctrlPr>
          </m:naryPr>
          <m:sub>
            <m:r>
              <w:rPr>
                <w:rFonts w:ascii="Cambria Math" w:hAnsi="Cambria Math"/>
              </w:rPr>
              <m:t>k</m:t>
            </m:r>
          </m:sub>
          <m:sup/>
          <m:e>
            <m:sSub>
              <m:sSubPr>
                <m:ctrlPr>
                  <w:rPr>
                    <w:rFonts w:ascii="Cambria Math" w:hAnsi="Cambria Math"/>
                    <w:i/>
                    <w:iCs/>
                  </w:rPr>
                </m:ctrlPr>
              </m:sSubPr>
              <m:e>
                <m:r>
                  <w:rPr>
                    <w:rFonts w:ascii="Cambria Math" w:hAnsi="Cambria Math"/>
                  </w:rPr>
                  <m:t>l</m:t>
                </m:r>
              </m:e>
              <m:sub>
                <m:r>
                  <w:rPr>
                    <w:rFonts w:ascii="Cambria Math" w:hAnsi="Cambria Math"/>
                  </w:rPr>
                  <m:t>k</m:t>
                </m:r>
              </m:sub>
            </m:sSub>
          </m:e>
        </m:nary>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R</m:t>
            </m:r>
          </m:sup>
        </m:sSubSup>
        <m:r>
          <w:rPr>
            <w:rFonts w:ascii="Cambria Math" w:hAnsi="Cambria Math"/>
          </w:rPr>
          <m:t>(x)</m:t>
        </m:r>
      </m:oMath>
      <w:r>
        <w:rPr>
          <w:rFonts w:hint="eastAsia"/>
          <w:iCs/>
        </w:rPr>
        <w:t xml:space="preserve"> </w:t>
      </w:r>
      <w:r w:rsidRPr="00BE5314">
        <w:rPr>
          <w:iCs/>
        </w:rPr>
        <w:t xml:space="preserve">using the training data, where </w:t>
      </w:r>
      <m:oMath>
        <m:sSub>
          <m:sSubPr>
            <m:ctrlPr>
              <w:rPr>
                <w:rFonts w:ascii="Cambria Math" w:hAnsi="Cambria Math"/>
                <w:i/>
                <w:iCs/>
              </w:rPr>
            </m:ctrlPr>
          </m:sSubPr>
          <m:e>
            <m:r>
              <w:rPr>
                <w:rFonts w:ascii="Cambria Math" w:hAnsi="Cambria Math"/>
              </w:rPr>
              <m:t>l</m:t>
            </m:r>
          </m:e>
          <m:sub>
            <m:r>
              <w:rPr>
                <w:rFonts w:ascii="Cambria Math" w:hAnsi="Cambria Math"/>
              </w:rPr>
              <m:t>k</m:t>
            </m:r>
          </m:sub>
        </m:sSub>
      </m:oMath>
      <w:r w:rsidRPr="00BE5314">
        <w:rPr>
          <w:iCs/>
        </w:rPr>
        <w:t xml:space="preserve"> represents the mean loss specific to </w:t>
      </w:r>
      <w:r>
        <w:rPr>
          <w:iCs/>
        </w:rPr>
        <w:t>cell-type</w:t>
      </w:r>
      <w:r w:rsidRPr="00BE5314">
        <w:rPr>
          <w:iCs/>
        </w:rPr>
        <w:t xml:space="preserve"> </w:t>
      </w:r>
      <w:r w:rsidRPr="00FB0DF5">
        <w:rPr>
          <w:i/>
          <w:iCs/>
        </w:rPr>
        <w:t>k</w:t>
      </w:r>
      <w:r w:rsidRPr="00BE5314">
        <w:rPr>
          <w:iCs/>
        </w:rPr>
        <w:t xml:space="preserve">, since the difficulty for identifying different </w:t>
      </w:r>
      <w:r>
        <w:rPr>
          <w:iCs/>
        </w:rPr>
        <w:t>cell-type</w:t>
      </w:r>
      <w:r w:rsidRPr="00BE5314">
        <w:rPr>
          <w:iCs/>
        </w:rPr>
        <w:t xml:space="preserve">s varies. </w:t>
      </w:r>
    </w:p>
    <w:p w14:paraId="70B7E8BC" w14:textId="77777777" w:rsidR="00FB0DF5" w:rsidRPr="00BE5314" w:rsidRDefault="00FB0DF5" w:rsidP="00FB0DF5">
      <w:pPr>
        <w:spacing w:line="480" w:lineRule="auto"/>
        <w:rPr>
          <w:iCs/>
        </w:rPr>
      </w:pPr>
    </w:p>
    <w:p w14:paraId="5A685B52" w14:textId="2E3AC7A8" w:rsidR="00FB0DF5" w:rsidRPr="00BE5314" w:rsidRDefault="00FB0DF5" w:rsidP="00FB0DF5">
      <w:pPr>
        <w:spacing w:line="480" w:lineRule="auto"/>
        <w:rPr>
          <w:iCs/>
        </w:rPr>
      </w:pPr>
      <w:r w:rsidRPr="00BE5314">
        <w:rPr>
          <w:iCs/>
        </w:rPr>
        <w:t xml:space="preserve">Ideally, the reference and target originate from identical or similar populations, meaning that there is minimal disparity between the reference and target sets for both </w:t>
      </w:r>
      <m:oMath>
        <m:sSub>
          <m:sSubPr>
            <m:ctrlPr>
              <w:rPr>
                <w:rFonts w:ascii="Cambria Math" w:hAnsi="Cambria Math"/>
                <w:i/>
                <w:iCs/>
              </w:rPr>
            </m:ctrlPr>
          </m:sSubPr>
          <m:e>
            <m:r>
              <w:rPr>
                <w:rFonts w:ascii="Cambria Math" w:hAnsi="Cambria Math"/>
              </w:rPr>
              <m:t>f</m:t>
            </m:r>
          </m:e>
          <m:sub>
            <m:r>
              <w:rPr>
                <w:rFonts w:ascii="Cambria Math" w:hAnsi="Cambria Math"/>
              </w:rPr>
              <m:t>k</m:t>
            </m:r>
          </m:sub>
        </m:sSub>
        <m:d>
          <m:dPr>
            <m:ctrlPr>
              <w:rPr>
                <w:rFonts w:ascii="Cambria Math" w:hAnsi="Cambria Math"/>
                <w:i/>
                <w:iCs/>
              </w:rPr>
            </m:ctrlPr>
          </m:dPr>
          <m:e>
            <m:r>
              <w:rPr>
                <w:rFonts w:ascii="Cambria Math" w:hAnsi="Cambria Math"/>
              </w:rPr>
              <m:t>x</m:t>
            </m:r>
          </m:e>
        </m:d>
      </m:oMath>
      <w:r>
        <w:rPr>
          <w:rFonts w:hint="eastAsia"/>
          <w:iCs/>
        </w:rPr>
        <w:t xml:space="preserve"> </w:t>
      </w:r>
      <w:r w:rsidRPr="00BE5314">
        <w:rPr>
          <w:iCs/>
        </w:rPr>
        <w:t>and</w:t>
      </w:r>
      <m:oMath>
        <m: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k</m:t>
            </m:r>
          </m:sub>
        </m:sSub>
      </m:oMath>
      <w:r w:rsidRPr="00BE5314">
        <w:rPr>
          <w:iCs/>
        </w:rPr>
        <w:t xml:space="preserve">. In that case, we expect the </w:t>
      </w:r>
      <m:oMath>
        <m:sSub>
          <m:sSubPr>
            <m:ctrlPr>
              <w:rPr>
                <w:rFonts w:ascii="Cambria Math" w:hAnsi="Cambria Math"/>
                <w:i/>
                <w:iCs/>
              </w:rPr>
            </m:ctrlPr>
          </m:sSubPr>
          <m:e>
            <m:r>
              <w:rPr>
                <w:rFonts w:ascii="Cambria Math" w:hAnsi="Cambria Math"/>
              </w:rPr>
              <m:t>l</m:t>
            </m:r>
          </m:e>
          <m:sub>
            <m:r>
              <w:rPr>
                <w:rFonts w:ascii="Cambria Math" w:hAnsi="Cambria Math"/>
              </w:rPr>
              <m:t>k</m:t>
            </m:r>
          </m:sub>
        </m:sSub>
      </m:oMath>
      <w:r>
        <w:rPr>
          <w:rFonts w:hint="eastAsia"/>
          <w:iCs/>
        </w:rPr>
        <w:t xml:space="preserve"> </w:t>
      </w:r>
      <w:r w:rsidRPr="00BE5314">
        <w:rPr>
          <w:iCs/>
        </w:rPr>
        <w:t xml:space="preserve">in the testing remains </w:t>
      </w:r>
      <w:proofErr w:type="gramStart"/>
      <w:r w:rsidRPr="00BE5314">
        <w:rPr>
          <w:iCs/>
        </w:rPr>
        <w:t>similar to</w:t>
      </w:r>
      <w:proofErr w:type="gramEnd"/>
      <w:r w:rsidRPr="00BE5314">
        <w:rPr>
          <w:iCs/>
        </w:rPr>
        <w:t xml:space="preserve"> that in the training, and the weighting </w:t>
      </w:r>
      <m:oMath>
        <m:sSub>
          <m:sSubPr>
            <m:ctrlPr>
              <w:rPr>
                <w:rFonts w:ascii="Cambria Math" w:hAnsi="Cambria Math"/>
                <w:i/>
                <w:iCs/>
              </w:rPr>
            </m:ctrlPr>
          </m:sSubPr>
          <m:e>
            <m:r>
              <w:rPr>
                <w:rFonts w:ascii="Cambria Math" w:hAnsi="Cambria Math"/>
              </w:rPr>
              <m:t>p</m:t>
            </m:r>
          </m:e>
          <m:sub>
            <m:r>
              <w:rPr>
                <w:rFonts w:ascii="Cambria Math" w:hAnsi="Cambria Math"/>
              </w:rPr>
              <m:t>k</m:t>
            </m:r>
          </m:sub>
        </m:sSub>
      </m:oMath>
      <w:r w:rsidRPr="00BE5314">
        <w:rPr>
          <w:iCs/>
        </w:rPr>
        <w:t xml:space="preserve"> also remains the same. However, this scenario is </w:t>
      </w:r>
      <w:proofErr w:type="gramStart"/>
      <w:r w:rsidRPr="00BE5314">
        <w:rPr>
          <w:iCs/>
        </w:rPr>
        <w:t>rare in reality</w:t>
      </w:r>
      <w:proofErr w:type="gramEnd"/>
      <w:r w:rsidRPr="00BE5314">
        <w:rPr>
          <w:iCs/>
        </w:rPr>
        <w:t>. A shift</w:t>
      </w:r>
      <w:r>
        <w:rPr>
          <w:iCs/>
        </w:rPr>
        <w:t xml:space="preserve"> between </w:t>
      </w:r>
      <m:oMath>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R</m:t>
            </m:r>
          </m:sup>
        </m:sSubSup>
        <m:d>
          <m:dPr>
            <m:ctrlPr>
              <w:rPr>
                <w:rFonts w:ascii="Cambria Math" w:hAnsi="Cambria Math"/>
                <w:i/>
                <w:iCs/>
              </w:rPr>
            </m:ctrlPr>
          </m:dPr>
          <m:e>
            <m:r>
              <w:rPr>
                <w:rFonts w:ascii="Cambria Math" w:hAnsi="Cambria Math"/>
              </w:rPr>
              <m:t>x</m:t>
            </m:r>
          </m:e>
        </m:d>
      </m:oMath>
      <w:r>
        <w:rPr>
          <w:iCs/>
        </w:rPr>
        <w:t xml:space="preserve"> and</w:t>
      </w:r>
      <w:r w:rsidRPr="00BE5314">
        <w:rPr>
          <w:iCs/>
        </w:rPr>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T</m:t>
            </m:r>
          </m:sup>
        </m:sSubSup>
        <m:d>
          <m:dPr>
            <m:ctrlPr>
              <w:rPr>
                <w:rFonts w:ascii="Cambria Math" w:hAnsi="Cambria Math"/>
                <w:i/>
                <w:iCs/>
              </w:rPr>
            </m:ctrlPr>
          </m:dPr>
          <m:e>
            <m:r>
              <w:rPr>
                <w:rFonts w:ascii="Cambria Math" w:hAnsi="Cambria Math"/>
              </w:rPr>
              <m:t>x</m:t>
            </m:r>
          </m:e>
        </m:d>
      </m:oMath>
      <w:r>
        <w:rPr>
          <w:iCs/>
        </w:rPr>
        <w:t xml:space="preserve"> usually increases </w:t>
      </w:r>
      <m:oMath>
        <m:sSub>
          <m:sSubPr>
            <m:ctrlPr>
              <w:rPr>
                <w:rFonts w:ascii="Cambria Math" w:hAnsi="Cambria Math"/>
                <w:i/>
                <w:iCs/>
              </w:rPr>
            </m:ctrlPr>
          </m:sSubPr>
          <m:e>
            <m:r>
              <w:rPr>
                <w:rFonts w:ascii="Cambria Math" w:hAnsi="Cambria Math"/>
              </w:rPr>
              <m:t>l</m:t>
            </m:r>
          </m:e>
          <m:sub>
            <m:r>
              <w:rPr>
                <w:rFonts w:ascii="Cambria Math" w:hAnsi="Cambria Math"/>
              </w:rPr>
              <m:t>k</m:t>
            </m:r>
          </m:sub>
        </m:sSub>
      </m:oMath>
      <w:r>
        <w:rPr>
          <w:iCs/>
        </w:rPr>
        <w:t xml:space="preserve">, a shift in </w:t>
      </w:r>
      <m:oMath>
        <m:sSub>
          <m:sSubPr>
            <m:ctrlPr>
              <w:rPr>
                <w:rFonts w:ascii="Cambria Math" w:hAnsi="Cambria Math"/>
                <w:i/>
                <w:iCs/>
              </w:rPr>
            </m:ctrlPr>
          </m:sSubPr>
          <m:e>
            <m:r>
              <w:rPr>
                <w:rFonts w:ascii="Cambria Math" w:hAnsi="Cambria Math"/>
              </w:rPr>
              <m:t>p</m:t>
            </m:r>
            <m:ctrlPr>
              <w:rPr>
                <w:rFonts w:ascii="Cambria Math" w:hAnsi="Cambria Math" w:hint="eastAsia"/>
                <w:i/>
                <w:iCs/>
              </w:rPr>
            </m:ctrlPr>
          </m:e>
          <m:sub>
            <m:r>
              <w:rPr>
                <w:rFonts w:ascii="Cambria Math" w:hAnsi="Cambria Math"/>
              </w:rPr>
              <m:t>k</m:t>
            </m:r>
          </m:sub>
        </m:sSub>
      </m:oMath>
      <w:r>
        <w:rPr>
          <w:iCs/>
        </w:rPr>
        <w:t xml:space="preserve"> means the loss is not weighted ideally for the target. The combination of the two effects leads to compromised </w:t>
      </w:r>
      <w:r w:rsidRPr="00BE5314">
        <w:rPr>
          <w:iCs/>
        </w:rPr>
        <w:t xml:space="preserve">predictions. </w:t>
      </w:r>
      <w:r>
        <w:rPr>
          <w:iCs/>
        </w:rPr>
        <w:t>Since an ideal reference lacking either shift is usually unavailable</w:t>
      </w:r>
      <w:r w:rsidRPr="00BE5314">
        <w:rPr>
          <w:iCs/>
        </w:rPr>
        <w:t xml:space="preserve">, artificially constructing a suitable reference set is a more practical approach. </w:t>
      </w:r>
    </w:p>
    <w:p w14:paraId="70844FB3" w14:textId="77777777" w:rsidR="00FB0DF5" w:rsidRPr="00BE5314" w:rsidRDefault="00FB0DF5" w:rsidP="00FB0DF5">
      <w:pPr>
        <w:spacing w:line="480" w:lineRule="auto"/>
        <w:rPr>
          <w:iCs/>
        </w:rPr>
      </w:pPr>
    </w:p>
    <w:p w14:paraId="1EF269FC" w14:textId="281F26D3" w:rsidR="00FB0DF5" w:rsidRPr="000C3EBF" w:rsidRDefault="00FB0DF5" w:rsidP="00FB0DF5">
      <w:pPr>
        <w:spacing w:line="480" w:lineRule="auto"/>
        <w:rPr>
          <w:iCs/>
        </w:rPr>
      </w:pPr>
      <w:r w:rsidRPr="00BE5314">
        <w:rPr>
          <w:iCs/>
        </w:rPr>
        <w:t xml:space="preserve">Though it is not always reported as a posterior probability </w:t>
      </w:r>
      <w:r>
        <w:rPr>
          <w:iCs/>
        </w:rPr>
        <w:t xml:space="preserve">as </w:t>
      </w:r>
      <w:r w:rsidRPr="00BE5314">
        <w:rPr>
          <w:iCs/>
        </w:rPr>
        <w:t xml:space="preserve">in a Bayesian framework, many classification methods produce a score with a similar interpretation as a posterior probability. For example, deep learning methods often take the </w:t>
      </w:r>
      <w:proofErr w:type="spellStart"/>
      <w:r w:rsidRPr="00BE5314">
        <w:rPr>
          <w:iCs/>
        </w:rPr>
        <w:t>softmax</w:t>
      </w:r>
      <w:proofErr w:type="spellEnd"/>
      <w:r w:rsidRPr="00BE5314">
        <w:rPr>
          <w:iCs/>
        </w:rPr>
        <w:t xml:space="preserve"> activation function to obtain a probability score at the last step. It is easy to see the impact of the domain shift and population composition in classification from the Bayesian perspective: we want the posterior probability </w:t>
      </w:r>
      <m:oMath>
        <m:r>
          <w:rPr>
            <w:rFonts w:ascii="Cambria Math" w:hAnsi="Cambria Math"/>
          </w:rPr>
          <m:t>P</m:t>
        </m:r>
        <m:d>
          <m:dPr>
            <m:ctrlPr>
              <w:rPr>
                <w:rFonts w:ascii="Cambria Math" w:hAnsi="Cambria Math"/>
                <w:i/>
                <w:iCs/>
              </w:rPr>
            </m:ctrlPr>
          </m:dPr>
          <m:e>
            <m:r>
              <w:rPr>
                <w:rFonts w:ascii="Cambria Math" w:hAnsi="Cambria Math"/>
              </w:rPr>
              <m:t>Y=k</m:t>
            </m:r>
          </m:e>
          <m:e>
            <m:r>
              <w:rPr>
                <w:rFonts w:ascii="Cambria Math" w:hAnsi="Cambria Math"/>
              </w:rPr>
              <m:t>x</m:t>
            </m:r>
          </m:e>
        </m:d>
        <m:r>
          <w:rPr>
            <w:rFonts w:ascii="Cambria Math" w:hAnsi="Cambria Math"/>
          </w:rPr>
          <m:t>∝</m:t>
        </m:r>
        <m:nary>
          <m:naryPr>
            <m:chr m:val="∑"/>
            <m:limLoc m:val="subSup"/>
            <m:supHide m:val="1"/>
            <m:ctrlPr>
              <w:rPr>
                <w:rFonts w:ascii="Cambria Math" w:hAnsi="Cambria Math"/>
                <w:i/>
                <w:iCs/>
              </w:rPr>
            </m:ctrlPr>
          </m:naryPr>
          <m:sub>
            <m:r>
              <w:rPr>
                <w:rFonts w:ascii="Cambria Math" w:hAnsi="Cambria Math"/>
              </w:rPr>
              <m:t>k</m:t>
            </m:r>
          </m:sub>
          <m:sup/>
          <m:e>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T</m:t>
                </m:r>
              </m:sup>
            </m:sSubSup>
          </m:e>
        </m:nary>
        <m:sSubSup>
          <m:sSubSupPr>
            <m:ctrlPr>
              <w:rPr>
                <w:rFonts w:ascii="Cambria Math" w:hAnsi="Cambria Math"/>
                <w:i/>
                <w:iCs/>
              </w:rPr>
            </m:ctrlPr>
          </m:sSubSupPr>
          <m:e>
            <m:r>
              <w:rPr>
                <w:rFonts w:ascii="Cambria Math" w:hAnsi="Cambria Math"/>
              </w:rPr>
              <m:t>f</m:t>
            </m:r>
          </m:e>
          <m:sub>
            <m:r>
              <w:rPr>
                <w:rFonts w:ascii="Cambria Math" w:hAnsi="Cambria Math"/>
              </w:rPr>
              <m:t>k</m:t>
            </m:r>
          </m:sub>
          <m:sup>
            <m:r>
              <w:rPr>
                <w:rFonts w:ascii="Cambria Math" w:hAnsi="Cambria Math"/>
              </w:rPr>
              <m:t>T</m:t>
            </m:r>
          </m:sup>
        </m:sSubSup>
        <m:r>
          <w:rPr>
            <w:rFonts w:ascii="Cambria Math" w:hAnsi="Cambria Math"/>
          </w:rPr>
          <m:t>(x)</m:t>
        </m:r>
      </m:oMath>
      <w:r>
        <w:rPr>
          <w:rFonts w:hint="eastAsia"/>
          <w:iCs/>
        </w:rPr>
        <w:t xml:space="preserve">, </w:t>
      </w:r>
      <w:r w:rsidRPr="00BE5314">
        <w:rPr>
          <w:iCs/>
        </w:rPr>
        <w:t>but the quantity we use from a classifier optimized on the training data is</w:t>
      </w:r>
      <w:r>
        <w:rPr>
          <w:rFonts w:hint="eastAsia"/>
          <w:iCs/>
        </w:rPr>
        <w:t xml:space="preserve"> </w:t>
      </w:r>
      <m:oMath>
        <m:nary>
          <m:naryPr>
            <m:chr m:val="∑"/>
            <m:limLoc m:val="subSup"/>
            <m:supHide m:val="1"/>
            <m:ctrlPr>
              <w:rPr>
                <w:rFonts w:ascii="Cambria Math" w:hAnsi="Cambria Math"/>
                <w:i/>
                <w:iCs/>
              </w:rPr>
            </m:ctrlPr>
          </m:naryPr>
          <m:sub>
            <m:r>
              <w:rPr>
                <w:rFonts w:ascii="Cambria Math" w:hAnsi="Cambria Math"/>
              </w:rPr>
              <m:t>k</m:t>
            </m:r>
          </m:sub>
          <m:sup/>
          <m:e>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R</m:t>
                </m:r>
              </m:sup>
            </m:sSubSup>
            <m:sSubSup>
              <m:sSubSupPr>
                <m:ctrlPr>
                  <w:rPr>
                    <w:rFonts w:ascii="Cambria Math" w:hAnsi="Cambria Math"/>
                    <w:i/>
                    <w:iCs/>
                  </w:rPr>
                </m:ctrlPr>
              </m:sSubSupPr>
              <m:e>
                <m:r>
                  <w:rPr>
                    <w:rFonts w:ascii="Cambria Math" w:hAnsi="Cambria Math"/>
                  </w:rPr>
                  <m:t>f</m:t>
                </m:r>
              </m:e>
              <m:sub>
                <m:r>
                  <w:rPr>
                    <w:rFonts w:ascii="Cambria Math" w:hAnsi="Cambria Math"/>
                  </w:rPr>
                  <m:t>k</m:t>
                </m:r>
              </m:sub>
              <m:sup>
                <m:r>
                  <w:rPr>
                    <w:rFonts w:ascii="Cambria Math" w:hAnsi="Cambria Math"/>
                  </w:rPr>
                  <m:t>R</m:t>
                </m:r>
              </m:sup>
            </m:sSubSup>
            <m:r>
              <w:rPr>
                <w:rFonts w:ascii="Cambria Math" w:hAnsi="Cambria Math"/>
              </w:rPr>
              <m:t>(x)</m:t>
            </m:r>
          </m:e>
        </m:nary>
      </m:oMath>
      <w:r w:rsidRPr="00BE5314">
        <w:rPr>
          <w:iCs/>
        </w:rPr>
        <w:t xml:space="preserve">,  because the classifier is optimized on the training data, thus designed to perform well in populations with the same expression distributions </w:t>
      </w:r>
      <m:oMath>
        <m:sSubSup>
          <m:sSubSupPr>
            <m:ctrlPr>
              <w:rPr>
                <w:rFonts w:ascii="Cambria Math" w:hAnsi="Cambria Math"/>
                <w:i/>
                <w:iCs/>
              </w:rPr>
            </m:ctrlPr>
          </m:sSubSupPr>
          <m:e>
            <m:r>
              <w:rPr>
                <w:rFonts w:ascii="Cambria Math" w:hAnsi="Cambria Math"/>
              </w:rPr>
              <m:t>f</m:t>
            </m:r>
          </m:e>
          <m:sub>
            <m:r>
              <w:rPr>
                <w:rFonts w:ascii="Cambria Math" w:hAnsi="Cambria Math"/>
              </w:rPr>
              <m:t>k</m:t>
            </m:r>
          </m:sub>
          <m:sup>
            <m:r>
              <w:rPr>
                <w:rFonts w:ascii="Cambria Math" w:hAnsi="Cambria Math"/>
              </w:rPr>
              <m:t>R</m:t>
            </m:r>
          </m:sup>
        </m:sSubSup>
        <m:r>
          <w:rPr>
            <w:rFonts w:ascii="Cambria Math" w:hAnsi="Cambria Math"/>
          </w:rPr>
          <m:t>(x)</m:t>
        </m:r>
      </m:oMath>
      <w:r>
        <w:rPr>
          <w:rFonts w:hint="eastAsia"/>
          <w:iCs/>
        </w:rPr>
        <w:t xml:space="preserve"> </w:t>
      </w:r>
      <w:r w:rsidRPr="00BE5314">
        <w:rPr>
          <w:iCs/>
        </w:rPr>
        <w:t xml:space="preserve">and </w:t>
      </w:r>
      <w:r>
        <w:rPr>
          <w:iCs/>
        </w:rPr>
        <w:t>cell-type</w:t>
      </w:r>
      <w:r w:rsidRPr="00BE5314">
        <w:rPr>
          <w:iCs/>
        </w:rPr>
        <w:t xml:space="preserve"> composition </w:t>
      </w:r>
      <m:oMath>
        <m:sSup>
          <m:sSupPr>
            <m:ctrlPr>
              <w:rPr>
                <w:rFonts w:ascii="Cambria Math" w:hAnsi="Cambria Math"/>
                <w:i/>
                <w:iCs/>
              </w:rPr>
            </m:ctrlPr>
          </m:sSupPr>
          <m:e>
            <m:r>
              <w:rPr>
                <w:rFonts w:ascii="Cambria Math" w:hAnsi="Cambria Math" w:hint="eastAsia"/>
              </w:rPr>
              <m:t>P</m:t>
            </m:r>
          </m:e>
          <m:sup>
            <m:r>
              <w:rPr>
                <w:rFonts w:ascii="Cambria Math" w:hAnsi="Cambria Math"/>
              </w:rPr>
              <m:t>R</m:t>
            </m:r>
          </m:sup>
        </m:sSup>
      </m:oMath>
      <w:r>
        <w:rPr>
          <w:rFonts w:hint="eastAsia"/>
          <w:iCs/>
        </w:rPr>
        <w:t xml:space="preserve">. </w:t>
      </w:r>
      <w:r w:rsidRPr="00BE5314">
        <w:rPr>
          <w:iCs/>
        </w:rPr>
        <w:t xml:space="preserve">If the target population differs from the reference in either </w:t>
      </w:r>
      <m:oMath>
        <m:sSup>
          <m:sSupPr>
            <m:ctrlPr>
              <w:rPr>
                <w:rFonts w:ascii="Cambria Math" w:hAnsi="Cambria Math"/>
                <w:i/>
                <w:iCs/>
              </w:rPr>
            </m:ctrlPr>
          </m:sSupPr>
          <m:e>
            <m:sSup>
              <m:sSupPr>
                <m:ctrlPr>
                  <w:rPr>
                    <w:rFonts w:ascii="Cambria Math" w:hAnsi="Cambria Math"/>
                    <w:i/>
                    <w:iCs/>
                  </w:rPr>
                </m:ctrlPr>
              </m:sSupPr>
              <m:e>
                <m:r>
                  <w:rPr>
                    <w:rFonts w:ascii="Cambria Math" w:hAnsi="Cambria Math"/>
                  </w:rPr>
                  <m:t>P</m:t>
                </m:r>
              </m:e>
              <m:sup>
                <m:r>
                  <w:rPr>
                    <w:rFonts w:ascii="Cambria Math" w:hAnsi="Cambria Math"/>
                  </w:rPr>
                  <m:t>T</m:t>
                </m:r>
              </m:sup>
            </m:sSup>
            <m:r>
              <w:rPr>
                <w:rFonts w:ascii="Cambria Math" w:hAnsi="Cambria Math"/>
              </w:rPr>
              <m:t>≠P</m:t>
            </m:r>
          </m:e>
          <m:sup>
            <m:r>
              <w:rPr>
                <w:rFonts w:ascii="Cambria Math" w:hAnsi="Cambria Math"/>
              </w:rPr>
              <m:t>R</m:t>
            </m:r>
          </m:sup>
        </m:sSup>
      </m:oMath>
      <w:r w:rsidRPr="00BE5314">
        <w:rPr>
          <w:iCs/>
        </w:rPr>
        <w:t xml:space="preserve"> or</w:t>
      </w:r>
      <w:r>
        <w:rPr>
          <w:rFonts w:hint="eastAsia"/>
          <w:iCs/>
        </w:rPr>
        <w:t xml:space="preserve"> </w:t>
      </w:r>
      <m:oMath>
        <m:sSubSup>
          <m:sSubSupPr>
            <m:ctrlPr>
              <w:rPr>
                <w:rFonts w:ascii="Cambria Math" w:hAnsi="Cambria Math"/>
                <w:i/>
                <w:iCs/>
              </w:rPr>
            </m:ctrlPr>
          </m:sSubSupPr>
          <m:e>
            <m:r>
              <w:rPr>
                <w:rFonts w:ascii="Cambria Math" w:hAnsi="Cambria Math"/>
              </w:rPr>
              <m:t>f</m:t>
            </m:r>
          </m:e>
          <m:sub>
            <m:r>
              <w:rPr>
                <w:rFonts w:ascii="Cambria Math" w:hAnsi="Cambria Math"/>
              </w:rPr>
              <m:t>k</m:t>
            </m:r>
          </m:sub>
          <m:sup>
            <m:r>
              <w:rPr>
                <w:rFonts w:ascii="Cambria Math" w:hAnsi="Cambria Math"/>
              </w:rPr>
              <m:t>T</m:t>
            </m:r>
          </m:sup>
        </m:sSubSup>
        <m:r>
          <w:rPr>
            <w:rFonts w:ascii="Cambria Math" w:hAnsi="Cambria Math"/>
          </w:rPr>
          <m:t>(x)</m:t>
        </m:r>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k</m:t>
            </m:r>
          </m:sub>
          <m:sup>
            <m:r>
              <w:rPr>
                <w:rFonts w:ascii="Cambria Math" w:hAnsi="Cambria Math"/>
              </w:rPr>
              <m:t>R</m:t>
            </m:r>
          </m:sup>
        </m:sSubSup>
        <m:r>
          <w:rPr>
            <w:rFonts w:ascii="Cambria Math" w:hAnsi="Cambria Math"/>
          </w:rPr>
          <m:t>(x)</m:t>
        </m:r>
      </m:oMath>
      <w:r>
        <w:rPr>
          <w:rFonts w:hint="eastAsia"/>
          <w:iCs/>
        </w:rPr>
        <w:t xml:space="preserve">, </w:t>
      </w:r>
      <w:r w:rsidRPr="00BE5314">
        <w:rPr>
          <w:iCs/>
        </w:rPr>
        <w:t>the classification is not optimal.</w:t>
      </w:r>
    </w:p>
    <w:p w14:paraId="54D8A803" w14:textId="77777777" w:rsidR="00FB0DF5" w:rsidRDefault="00FB0DF5" w:rsidP="00FB0DF5">
      <w:pPr>
        <w:spacing w:line="480" w:lineRule="auto"/>
        <w:rPr>
          <w:iCs/>
        </w:rPr>
      </w:pPr>
      <w:r w:rsidRPr="00BE5314">
        <w:rPr>
          <w:iCs/>
        </w:rPr>
        <w:lastRenderedPageBreak/>
        <w:t>The goal of TORC is to construct a reference that resembles the target as much as possible.</w:t>
      </w:r>
      <w:r>
        <w:rPr>
          <w:rFonts w:hint="eastAsia"/>
          <w:iCs/>
        </w:rPr>
        <w:t xml:space="preserve"> </w:t>
      </w:r>
      <w:r w:rsidRPr="00BE5314">
        <w:rPr>
          <w:iCs/>
        </w:rPr>
        <w:t>The TORC algorithm</w:t>
      </w:r>
      <w:r>
        <w:rPr>
          <w:rFonts w:hint="eastAsia"/>
          <w:iCs/>
        </w:rPr>
        <w:t xml:space="preserve"> (</w:t>
      </w:r>
      <w:r>
        <w:rPr>
          <w:iCs/>
        </w:rPr>
        <w:t>Figure S3</w:t>
      </w:r>
      <w:r>
        <w:rPr>
          <w:rFonts w:hint="eastAsia"/>
          <w:iCs/>
        </w:rPr>
        <w:t>)</w:t>
      </w:r>
      <w:r w:rsidRPr="00BE5314">
        <w:rPr>
          <w:iCs/>
        </w:rPr>
        <w:t xml:space="preserve"> has the following components:</w:t>
      </w:r>
    </w:p>
    <w:p w14:paraId="16B24F2A" w14:textId="10F9682C" w:rsidR="00FB0DF5" w:rsidRDefault="00C76FD5" w:rsidP="00FB0DF5">
      <w:pPr>
        <w:spacing w:line="480" w:lineRule="auto"/>
        <w:rPr>
          <w:iCs/>
          <w:noProof/>
        </w:rPr>
      </w:pPr>
      <w:r w:rsidRPr="00C76FD5">
        <w:rPr>
          <w:iCs/>
          <w:noProof/>
        </w:rPr>
        <w:drawing>
          <wp:inline distT="0" distB="0" distL="0" distR="0" wp14:anchorId="1F2CD3D1" wp14:editId="68CCB99B">
            <wp:extent cx="5943600" cy="5196205"/>
            <wp:effectExtent l="0" t="0" r="0" b="0"/>
            <wp:docPr id="1769683576"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83576" name="Picture 1" descr="A screenshot of a test&#10;&#10;Description automatically generated"/>
                    <pic:cNvPicPr/>
                  </pic:nvPicPr>
                  <pic:blipFill>
                    <a:blip r:embed="rId18"/>
                    <a:stretch>
                      <a:fillRect/>
                    </a:stretch>
                  </pic:blipFill>
                  <pic:spPr>
                    <a:xfrm>
                      <a:off x="0" y="0"/>
                      <a:ext cx="5943600" cy="5196205"/>
                    </a:xfrm>
                    <a:prstGeom prst="rect">
                      <a:avLst/>
                    </a:prstGeom>
                  </pic:spPr>
                </pic:pic>
              </a:graphicData>
            </a:graphic>
          </wp:inline>
        </w:drawing>
      </w:r>
    </w:p>
    <w:p w14:paraId="5193AA17" w14:textId="77777777" w:rsidR="00FB0DF5" w:rsidRPr="00CE4BC8" w:rsidRDefault="00FB0DF5" w:rsidP="00FB0DF5">
      <w:r w:rsidRPr="00CE4BC8">
        <w:rPr>
          <w:b/>
          <w:bCs/>
        </w:rPr>
        <w:t xml:space="preserve">Figure S3. </w:t>
      </w:r>
      <w:r w:rsidRPr="00CE4BC8">
        <w:t xml:space="preserve">In-depth overview of the workflow employed by the TORC algorithm which involves the rough estimate, reference construction and prediction update. </w:t>
      </w:r>
    </w:p>
    <w:p w14:paraId="28F11829" w14:textId="77777777" w:rsidR="00FB0DF5" w:rsidRDefault="00FB0DF5" w:rsidP="00FB0DF5">
      <w:pPr>
        <w:spacing w:line="480" w:lineRule="auto"/>
        <w:rPr>
          <w:iCs/>
        </w:rPr>
      </w:pPr>
    </w:p>
    <w:p w14:paraId="4438B4A3" w14:textId="77777777" w:rsidR="00FB0DF5" w:rsidRPr="00BD0C30" w:rsidRDefault="00FB0DF5" w:rsidP="00FB0DF5">
      <w:pPr>
        <w:spacing w:line="480" w:lineRule="auto"/>
        <w:rPr>
          <w:b/>
          <w:bCs/>
          <w:iCs/>
        </w:rPr>
      </w:pPr>
      <w:r w:rsidRPr="00BD0C30">
        <w:rPr>
          <w:b/>
          <w:bCs/>
          <w:iCs/>
        </w:rPr>
        <w:t>Resampling from a reference pool of labeled cells</w:t>
      </w:r>
    </w:p>
    <w:p w14:paraId="4E769F97" w14:textId="656489EC" w:rsidR="00FB0DF5" w:rsidRPr="00BD0C30" w:rsidRDefault="00FB0DF5" w:rsidP="00FB0DF5">
      <w:pPr>
        <w:spacing w:line="480" w:lineRule="auto"/>
        <w:rPr>
          <w:iCs/>
        </w:rPr>
      </w:pPr>
      <w:r w:rsidRPr="00BD0C30">
        <w:rPr>
          <w:iCs/>
        </w:rPr>
        <w:t>When we are confident that the reference and target come from the same sample or a population with a similar distribution, the only obstacle we need to address is the difference in cell</w:t>
      </w:r>
      <w:r>
        <w:rPr>
          <w:rFonts w:hint="eastAsia"/>
          <w:iCs/>
        </w:rPr>
        <w:t>-type</w:t>
      </w:r>
      <w:r w:rsidRPr="00BD0C30">
        <w:rPr>
          <w:iCs/>
        </w:rPr>
        <w:t xml:space="preserve"> compositions, i.e. </w:t>
      </w:r>
      <m:oMath>
        <m:sSup>
          <m:sSupPr>
            <m:ctrlPr>
              <w:rPr>
                <w:rFonts w:ascii="Cambria Math" w:hAnsi="Cambria Math"/>
                <w:i/>
                <w:iCs/>
              </w:rPr>
            </m:ctrlPr>
          </m:sSupPr>
          <m:e>
            <m:sSup>
              <m:sSupPr>
                <m:ctrlPr>
                  <w:rPr>
                    <w:rFonts w:ascii="Cambria Math" w:hAnsi="Cambria Math"/>
                    <w:i/>
                    <w:iCs/>
                  </w:rPr>
                </m:ctrlPr>
              </m:sSupPr>
              <m:e>
                <m:r>
                  <w:rPr>
                    <w:rFonts w:ascii="Cambria Math" w:hAnsi="Cambria Math"/>
                  </w:rPr>
                  <m:t>P</m:t>
                </m:r>
              </m:e>
              <m:sup>
                <m:r>
                  <w:rPr>
                    <w:rFonts w:ascii="Cambria Math" w:hAnsi="Cambria Math"/>
                  </w:rPr>
                  <m:t>T</m:t>
                </m:r>
              </m:sup>
            </m:sSup>
            <m:r>
              <w:rPr>
                <w:rFonts w:ascii="Cambria Math" w:hAnsi="Cambria Math"/>
              </w:rPr>
              <m:t>≠P</m:t>
            </m:r>
          </m:e>
          <m:sup>
            <m:r>
              <w:rPr>
                <w:rFonts w:ascii="Cambria Math" w:hAnsi="Cambria Math"/>
              </w:rPr>
              <m:t>R</m:t>
            </m:r>
          </m:sup>
        </m:sSup>
      </m:oMath>
      <w:r w:rsidRPr="00BD0C30">
        <w:rPr>
          <w:iCs/>
        </w:rPr>
        <w:t xml:space="preserve">. If the true cell-type proportions of the target set are accessible (for </w:t>
      </w:r>
      <w:r w:rsidRPr="00BD0C30">
        <w:rPr>
          <w:iCs/>
        </w:rPr>
        <w:lastRenderedPageBreak/>
        <w:t xml:space="preserve">example, from simple cell sorting without RNA-seq), we sample from the original reference set according to </w:t>
      </w:r>
      <m:oMath>
        <m:sSup>
          <m:sSupPr>
            <m:ctrlPr>
              <w:rPr>
                <w:rFonts w:ascii="Cambria Math" w:hAnsi="Cambria Math"/>
                <w:i/>
                <w:iCs/>
              </w:rPr>
            </m:ctrlPr>
          </m:sSupPr>
          <m:e>
            <m:r>
              <w:rPr>
                <w:rFonts w:ascii="Cambria Math" w:hAnsi="Cambria Math"/>
              </w:rPr>
              <m:t>P</m:t>
            </m:r>
          </m:e>
          <m:sup>
            <m:r>
              <w:rPr>
                <w:rFonts w:ascii="Cambria Math" w:hAnsi="Cambria Math"/>
              </w:rPr>
              <m:t>T</m:t>
            </m:r>
          </m:sup>
        </m:sSup>
      </m:oMath>
      <w:r w:rsidRPr="00BD0C30">
        <w:rPr>
          <w:iCs/>
        </w:rPr>
        <w:t xml:space="preserve">. </w:t>
      </w:r>
    </w:p>
    <w:p w14:paraId="37D53D8C" w14:textId="77777777" w:rsidR="00FB0DF5" w:rsidRDefault="00FB0DF5" w:rsidP="00FB0DF5">
      <w:pPr>
        <w:spacing w:line="480" w:lineRule="auto"/>
        <w:rPr>
          <w:iCs/>
        </w:rPr>
      </w:pPr>
      <w:r w:rsidRPr="00BD0C30">
        <w:rPr>
          <w:iCs/>
        </w:rPr>
        <w:t>In our analysis, we find that the benefit of increasing the training sample size often plateaus at around</w:t>
      </w:r>
      <w:r>
        <w:rPr>
          <w:rFonts w:hint="eastAsia"/>
          <w:iCs/>
        </w:rPr>
        <w:t xml:space="preserve"> </w:t>
      </w:r>
      <w:r w:rsidRPr="00BD0C30">
        <w:rPr>
          <w:iCs/>
        </w:rPr>
        <w:t>1000</w:t>
      </w:r>
      <w:r w:rsidRPr="00FB0DF5">
        <w:rPr>
          <w:i/>
          <w:iCs/>
        </w:rPr>
        <w:t>K</w:t>
      </w:r>
      <w:r w:rsidRPr="00BD0C30">
        <w:rPr>
          <w:iCs/>
        </w:rPr>
        <w:t xml:space="preserve"> (where </w:t>
      </w:r>
      <w:r w:rsidRPr="00FB0DF5">
        <w:rPr>
          <w:i/>
          <w:iCs/>
        </w:rPr>
        <w:t>K</w:t>
      </w:r>
      <w:r w:rsidRPr="00BD0C30">
        <w:rPr>
          <w:iCs/>
        </w:rPr>
        <w:t xml:space="preserve"> is the number of </w:t>
      </w:r>
      <w:r>
        <w:rPr>
          <w:iCs/>
        </w:rPr>
        <w:t>cell-type</w:t>
      </w:r>
      <w:r w:rsidRPr="00BD0C30">
        <w:rPr>
          <w:iCs/>
        </w:rPr>
        <w:t>s), thus we set the reconstruction sample size at</w:t>
      </w:r>
      <w:r>
        <w:rPr>
          <w:rFonts w:hint="eastAsia"/>
          <w:iCs/>
        </w:rPr>
        <w:t xml:space="preserve"> </w:t>
      </w:r>
      <w:r w:rsidRPr="00BD0C30">
        <w:rPr>
          <w:iCs/>
        </w:rPr>
        <w:t>1000</w:t>
      </w:r>
      <w:r w:rsidRPr="00FB0DF5">
        <w:rPr>
          <w:i/>
          <w:iCs/>
        </w:rPr>
        <w:t>K</w:t>
      </w:r>
      <w:r w:rsidRPr="00BD0C30">
        <w:rPr>
          <w:iCs/>
        </w:rPr>
        <w:t>.</w:t>
      </w:r>
      <w:r>
        <w:rPr>
          <w:rFonts w:hint="eastAsia"/>
          <w:iCs/>
        </w:rPr>
        <w:t xml:space="preserve"> </w:t>
      </w:r>
      <w:r w:rsidRPr="00BD0C30">
        <w:rPr>
          <w:iCs/>
        </w:rPr>
        <w:t xml:space="preserve">To make sure that even rare </w:t>
      </w:r>
      <w:r>
        <w:rPr>
          <w:iCs/>
        </w:rPr>
        <w:t>cell-type</w:t>
      </w:r>
      <w:r w:rsidRPr="00BD0C30">
        <w:rPr>
          <w:iCs/>
        </w:rPr>
        <w:t xml:space="preserve">s in the target have enough training examples, we set the minimal representation for any </w:t>
      </w:r>
      <w:r>
        <w:rPr>
          <w:iCs/>
        </w:rPr>
        <w:t>cell-type</w:t>
      </w:r>
      <w:r w:rsidRPr="00BD0C30">
        <w:rPr>
          <w:iCs/>
        </w:rPr>
        <w:t xml:space="preserve"> to be 50.</w:t>
      </w:r>
    </w:p>
    <w:p w14:paraId="0AA6E799" w14:textId="77777777" w:rsidR="00FB0DF5" w:rsidRDefault="00FB0DF5" w:rsidP="00FB0DF5">
      <w:pPr>
        <w:spacing w:line="480" w:lineRule="auto"/>
        <w:rPr>
          <w:iCs/>
        </w:rPr>
      </w:pPr>
    </w:p>
    <w:p w14:paraId="400F93DA" w14:textId="77777777" w:rsidR="00FB0DF5" w:rsidRDefault="00FB0DF5" w:rsidP="00FB0DF5">
      <w:pPr>
        <w:spacing w:line="480" w:lineRule="auto"/>
        <w:rPr>
          <w:b/>
          <w:bCs/>
          <w:iCs/>
        </w:rPr>
      </w:pPr>
      <w:r w:rsidRPr="00BD0C30">
        <w:rPr>
          <w:b/>
          <w:bCs/>
          <w:iCs/>
        </w:rPr>
        <w:t xml:space="preserve">Estimating the </w:t>
      </w:r>
      <w:r>
        <w:rPr>
          <w:b/>
          <w:bCs/>
          <w:iCs/>
        </w:rPr>
        <w:t>cell-type</w:t>
      </w:r>
      <w:r w:rsidRPr="00BD0C30">
        <w:rPr>
          <w:b/>
          <w:bCs/>
          <w:iCs/>
        </w:rPr>
        <w:t xml:space="preserve"> composition in the target sample</w:t>
      </w:r>
    </w:p>
    <w:p w14:paraId="30A7DFAC" w14:textId="2D236AEB" w:rsidR="00FB0DF5" w:rsidRDefault="00FB0DF5" w:rsidP="00FB0DF5">
      <w:pPr>
        <w:spacing w:line="480" w:lineRule="auto"/>
        <w:rPr>
          <w:iCs/>
        </w:rPr>
      </w:pPr>
      <w:r w:rsidRPr="00BD0C30">
        <w:rPr>
          <w:iCs/>
        </w:rPr>
        <w:t>In m</w:t>
      </w:r>
      <w:r>
        <w:rPr>
          <w:iCs/>
        </w:rPr>
        <w:t>any</w:t>
      </w:r>
      <w:r w:rsidRPr="00BD0C30">
        <w:rPr>
          <w:iCs/>
        </w:rPr>
        <w:t xml:space="preserve"> practical situations, the </w:t>
      </w:r>
      <m:oMath>
        <m:sSup>
          <m:sSupPr>
            <m:ctrlPr>
              <w:rPr>
                <w:rFonts w:ascii="Cambria Math" w:hAnsi="Cambria Math"/>
                <w:i/>
                <w:iCs/>
              </w:rPr>
            </m:ctrlPr>
          </m:sSupPr>
          <m:e>
            <m:r>
              <w:rPr>
                <w:rFonts w:ascii="Cambria Math" w:hAnsi="Cambria Math"/>
              </w:rPr>
              <m:t>P</m:t>
            </m:r>
          </m:e>
          <m:sup>
            <m:r>
              <w:rPr>
                <w:rFonts w:ascii="Cambria Math" w:hAnsi="Cambria Math"/>
              </w:rPr>
              <m:t>T</m:t>
            </m:r>
          </m:sup>
        </m:sSup>
      </m:oMath>
      <w:r w:rsidRPr="00BD0C30">
        <w:rPr>
          <w:iCs/>
        </w:rPr>
        <w:t xml:space="preserve"> is unknown in advance. In these cases, we adopt a two-step algorithm: (1) perform </w:t>
      </w:r>
      <w:r w:rsidR="005C1EC3">
        <w:rPr>
          <w:iCs/>
        </w:rPr>
        <w:t>cell-typing</w:t>
      </w:r>
      <w:r w:rsidRPr="00BD0C30">
        <w:rPr>
          <w:iCs/>
        </w:rPr>
        <w:t xml:space="preserve"> using the naive reference sample, and for each cell </w:t>
      </w:r>
      <w:r w:rsidRPr="00FB0DF5">
        <w:rPr>
          <w:i/>
          <w:iCs/>
        </w:rPr>
        <w:t>j</w:t>
      </w:r>
      <w:r w:rsidRPr="00BD0C30">
        <w:rPr>
          <w:iCs/>
        </w:rPr>
        <w:t xml:space="preserve"> in the target sample, obtain</w:t>
      </w:r>
      <w:r>
        <w:rPr>
          <w:rFonts w:hint="eastAsia"/>
          <w:iCs/>
        </w:rPr>
        <w:t xml:space="preserve"> </w:t>
      </w:r>
      <m:oMath>
        <m:acc>
          <m:accPr>
            <m:ctrlPr>
              <w:rPr>
                <w:rFonts w:ascii="Cambria Math" w:hAnsi="Cambria Math"/>
                <w:i/>
                <w:iCs/>
              </w:rPr>
            </m:ctrlPr>
          </m:accPr>
          <m:e>
            <m:sSub>
              <m:sSubPr>
                <m:ctrlPr>
                  <w:rPr>
                    <w:rFonts w:ascii="Cambria Math" w:hAnsi="Cambria Math"/>
                    <w:i/>
                    <w:iCs/>
                  </w:rPr>
                </m:ctrlPr>
              </m:sSubPr>
              <m:e>
                <m:r>
                  <w:rPr>
                    <w:rFonts w:ascii="Cambria Math" w:hAnsi="Cambria Math"/>
                  </w:rPr>
                  <m:t>p</m:t>
                </m:r>
              </m:e>
              <m:sub>
                <m:r>
                  <w:rPr>
                    <w:rFonts w:ascii="Cambria Math" w:hAnsi="Cambria Math"/>
                  </w:rPr>
                  <m:t>j</m:t>
                </m:r>
              </m:sub>
            </m:sSub>
          </m:e>
        </m:acc>
      </m:oMath>
      <w:r w:rsidRPr="00BD0C30">
        <w:rPr>
          <w:iCs/>
        </w:rPr>
        <w:t xml:space="preserve">. This has a similar interpretation to a posterior probability of cell </w:t>
      </w:r>
      <w:r w:rsidRPr="00FB0DF5">
        <w:rPr>
          <w:i/>
          <w:iCs/>
        </w:rPr>
        <w:t>j</w:t>
      </w:r>
      <w:r w:rsidRPr="00BD0C30">
        <w:rPr>
          <w:iCs/>
        </w:rPr>
        <w:t xml:space="preserve"> in each </w:t>
      </w:r>
      <w:r>
        <w:rPr>
          <w:iCs/>
        </w:rPr>
        <w:t>cell-type</w:t>
      </w:r>
      <w:r w:rsidRPr="00BD0C30">
        <w:rPr>
          <w:iCs/>
        </w:rPr>
        <w:t xml:space="preserve">. We may first assign each cell to a </w:t>
      </w:r>
      <w:r>
        <w:rPr>
          <w:iCs/>
        </w:rPr>
        <w:t>cell-type</w:t>
      </w:r>
      <w:r w:rsidRPr="00BD0C30">
        <w:rPr>
          <w:iCs/>
        </w:rPr>
        <w:t xml:space="preserve"> by the maximum probability and use the proportion in each </w:t>
      </w:r>
      <w:r>
        <w:rPr>
          <w:iCs/>
        </w:rPr>
        <w:t>cell-type</w:t>
      </w:r>
      <w:r w:rsidRPr="00BD0C30">
        <w:rPr>
          <w:iCs/>
        </w:rPr>
        <w:t>, or directly average of the p</w:t>
      </w:r>
      <w:r>
        <w:rPr>
          <w:iCs/>
        </w:rPr>
        <w:t>redicted</w:t>
      </w:r>
      <w:r w:rsidRPr="00BD0C30">
        <w:rPr>
          <w:iCs/>
        </w:rPr>
        <w:t xml:space="preserve"> probabilities as </w:t>
      </w:r>
      <w:r>
        <w:rPr>
          <w:iCs/>
        </w:rPr>
        <w:t xml:space="preserve">the </w:t>
      </w:r>
      <w:r w:rsidRPr="00BD0C30">
        <w:rPr>
          <w:iCs/>
        </w:rPr>
        <w:t>estimate of</w:t>
      </w:r>
      <w:r>
        <w:rPr>
          <w:rFonts w:hint="eastAsia"/>
          <w:iCs/>
        </w:rPr>
        <w:t xml:space="preserve"> </w:t>
      </w:r>
      <m:oMath>
        <m:sSup>
          <m:sSupPr>
            <m:ctrlPr>
              <w:rPr>
                <w:rFonts w:ascii="Cambria Math" w:hAnsi="Cambria Math"/>
                <w:i/>
                <w:iCs/>
              </w:rPr>
            </m:ctrlPr>
          </m:sSupPr>
          <m:e>
            <m:r>
              <w:rPr>
                <w:rFonts w:ascii="Cambria Math" w:hAnsi="Cambria Math"/>
              </w:rPr>
              <m:t>P</m:t>
            </m:r>
          </m:e>
          <m:sup>
            <m:r>
              <w:rPr>
                <w:rFonts w:ascii="Cambria Math" w:hAnsi="Cambria Math"/>
              </w:rPr>
              <m:t>T</m:t>
            </m:r>
          </m:sup>
        </m:sSup>
      </m:oMath>
      <w:r>
        <w:rPr>
          <w:rFonts w:hint="eastAsia"/>
          <w:iCs/>
        </w:rPr>
        <w:t xml:space="preserve">. </w:t>
      </w:r>
      <w:r w:rsidRPr="00BD0C30">
        <w:rPr>
          <w:iCs/>
        </w:rPr>
        <w:t xml:space="preserve">(2) construct the reference by resampling the original reference pool of labeled cells based on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P</m:t>
                </m:r>
              </m:e>
              <m:sup>
                <m:r>
                  <w:rPr>
                    <w:rFonts w:ascii="Cambria Math" w:hAnsi="Cambria Math"/>
                  </w:rPr>
                  <m:t>T</m:t>
                </m:r>
              </m:sup>
            </m:sSup>
          </m:e>
        </m:acc>
      </m:oMath>
      <w:r>
        <w:rPr>
          <w:rFonts w:hint="eastAsia"/>
          <w:iCs/>
        </w:rPr>
        <w:t>.</w:t>
      </w:r>
    </w:p>
    <w:p w14:paraId="333C9C48" w14:textId="1C93FAF0" w:rsidR="00FB0DF5" w:rsidRDefault="00FB0DF5" w:rsidP="00FB0DF5">
      <w:pPr>
        <w:spacing w:line="480" w:lineRule="auto"/>
      </w:pPr>
      <w:r w:rsidRPr="00BD0C30">
        <w:t xml:space="preserve">The first round of </w:t>
      </w:r>
      <w:r w:rsidR="005C1EC3">
        <w:t>cell-typing</w:t>
      </w:r>
      <w:r w:rsidRPr="00BD0C30">
        <w:t xml:space="preserve"> can be viewed as a process of using </w:t>
      </w:r>
      <m:oMath>
        <m:sSup>
          <m:sSupPr>
            <m:ctrlPr>
              <w:rPr>
                <w:rFonts w:ascii="Cambria Math" w:hAnsi="Cambria Math"/>
                <w:i/>
                <w:iCs/>
              </w:rPr>
            </m:ctrlPr>
          </m:sSupPr>
          <m:e>
            <m:r>
              <w:rPr>
                <w:rFonts w:ascii="Cambria Math" w:hAnsi="Cambria Math"/>
              </w:rPr>
              <m:t>P</m:t>
            </m:r>
          </m:e>
          <m:sup>
            <m:r>
              <w:rPr>
                <w:rFonts w:ascii="Cambria Math" w:hAnsi="Cambria Math"/>
              </w:rPr>
              <m:t>R</m:t>
            </m:r>
          </m:sup>
        </m:sSup>
      </m:oMath>
      <w:r w:rsidRPr="00BD0C30">
        <w:t xml:space="preserve"> as prior, training on the data specified by reference</w:t>
      </w:r>
      <w:r>
        <w:rPr>
          <w:rFonts w:hint="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R</m:t>
            </m:r>
          </m:sub>
        </m:sSub>
      </m:oMath>
      <w:r w:rsidRPr="00BD0C30">
        <w:t xml:space="preserve">, and obtaining the posterior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P</m:t>
                </m:r>
              </m:e>
              <m:sup>
                <m:r>
                  <w:rPr>
                    <w:rFonts w:ascii="Cambria Math" w:hAnsi="Cambria Math"/>
                  </w:rPr>
                  <m:t>T</m:t>
                </m:r>
              </m:sup>
            </m:sSup>
          </m:e>
        </m:acc>
      </m:oMath>
      <w:r>
        <w:rPr>
          <w:rFonts w:hint="eastAsia"/>
          <w:iCs/>
        </w:rPr>
        <w:t xml:space="preserve">. </w:t>
      </w:r>
      <w:r w:rsidRPr="00BD0C30">
        <w:t>Supervised algorithms typically output predicted label information</w:t>
      </w:r>
      <w:r>
        <w:t xml:space="preserve">, a one-hot vector of length </w:t>
      </w:r>
      <w:r w:rsidRPr="00FB0DF5">
        <w:rPr>
          <w:i/>
        </w:rPr>
        <w:t>K</w:t>
      </w:r>
      <w:r>
        <w:t xml:space="preserve"> for each cell</w:t>
      </w:r>
      <w:r w:rsidRPr="00BD0C30">
        <w:t xml:space="preserve">. </w:t>
      </w:r>
      <w:r>
        <w:t>We can use the average of these, which are</w:t>
      </w:r>
      <w:r w:rsidRPr="00BD0C30">
        <w:t xml:space="preserve"> the proportion of predicted labels</w:t>
      </w:r>
      <w:r>
        <w:t>,</w:t>
      </w:r>
      <w:r w:rsidRPr="00BD0C30">
        <w:t xml:space="preserve"> as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P</m:t>
                </m:r>
              </m:e>
              <m:sup>
                <m:r>
                  <w:rPr>
                    <w:rFonts w:ascii="Cambria Math" w:hAnsi="Cambria Math"/>
                  </w:rPr>
                  <m:t>T</m:t>
                </m:r>
              </m:sup>
            </m:sSup>
          </m:e>
        </m:acc>
      </m:oMath>
      <w:r w:rsidRPr="00BD0C30">
        <w:t>. For classifiers that can provide the</w:t>
      </w:r>
      <w:r>
        <w:t xml:space="preserve"> predicted</w:t>
      </w:r>
      <w:r w:rsidRPr="00BD0C30">
        <w:t xml:space="preserve"> probability of each cell label assignment</w:t>
      </w:r>
      <w:r>
        <w:t xml:space="preserve"> (a probability simplex)</w:t>
      </w:r>
      <w:r w:rsidRPr="00BD0C30">
        <w:t xml:space="preserve">, we can compute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P</m:t>
                </m:r>
              </m:e>
              <m:sup>
                <m:r>
                  <w:rPr>
                    <w:rFonts w:ascii="Cambria Math" w:hAnsi="Cambria Math"/>
                  </w:rPr>
                  <m:t>T</m:t>
                </m:r>
              </m:sup>
            </m:sSup>
          </m:e>
        </m:acc>
      </m:oMath>
      <w:r>
        <w:rPr>
          <w:rFonts w:hint="eastAsia"/>
          <w:iCs/>
        </w:rPr>
        <w:t xml:space="preserve"> </w:t>
      </w:r>
      <w:r w:rsidRPr="00BD0C30">
        <w:t xml:space="preserve">as average classification probability for each </w:t>
      </w:r>
      <w:r>
        <w:t>cell-type</w:t>
      </w:r>
      <w:r w:rsidRPr="00BD0C30">
        <w:t>.</w:t>
      </w:r>
    </w:p>
    <w:p w14:paraId="374444FB" w14:textId="77777777" w:rsidR="00FB0DF5" w:rsidRDefault="00FB0DF5" w:rsidP="00FB0DF5">
      <w:pPr>
        <w:spacing w:line="480" w:lineRule="auto"/>
      </w:pPr>
    </w:p>
    <w:p w14:paraId="51172E52" w14:textId="77777777" w:rsidR="00FB0DF5" w:rsidRDefault="00FB0DF5" w:rsidP="00FB0DF5">
      <w:pPr>
        <w:spacing w:line="480" w:lineRule="auto"/>
        <w:rPr>
          <w:b/>
          <w:bCs/>
        </w:rPr>
      </w:pPr>
      <w:r w:rsidRPr="00BD0C30">
        <w:rPr>
          <w:b/>
          <w:bCs/>
        </w:rPr>
        <w:t>Expanding the pool of labeled cells</w:t>
      </w:r>
    </w:p>
    <w:p w14:paraId="0158D12A" w14:textId="6763966F" w:rsidR="00FB0DF5" w:rsidRPr="00FB0DF5" w:rsidRDefault="00FB0DF5" w:rsidP="00FB0DF5">
      <w:pPr>
        <w:spacing w:line="480" w:lineRule="auto"/>
        <w:rPr>
          <w:rFonts w:eastAsiaTheme="minorEastAsia"/>
        </w:rPr>
      </w:pPr>
      <w:r w:rsidRPr="00BD0C30">
        <w:lastRenderedPageBreak/>
        <w:t xml:space="preserve">Constructing the training sample by resampling the reference cells according to </w:t>
      </w:r>
      <m:oMath>
        <m:sSup>
          <m:sSupPr>
            <m:ctrlPr>
              <w:rPr>
                <w:rFonts w:ascii="Cambria Math" w:hAnsi="Cambria Math"/>
                <w:i/>
                <w:iCs/>
              </w:rPr>
            </m:ctrlPr>
          </m:sSupPr>
          <m:e>
            <m:r>
              <w:rPr>
                <w:rFonts w:ascii="Cambria Math" w:hAnsi="Cambria Math"/>
              </w:rPr>
              <m:t>P</m:t>
            </m:r>
          </m:e>
          <m:sup>
            <m:r>
              <w:rPr>
                <w:rFonts w:ascii="Cambria Math" w:hAnsi="Cambria Math"/>
              </w:rPr>
              <m:t>T</m:t>
            </m:r>
          </m:sup>
        </m:sSup>
      </m:oMath>
      <w:r>
        <w:rPr>
          <w:rFonts w:hint="eastAsia"/>
          <w:iCs/>
        </w:rPr>
        <w:t xml:space="preserve"> </w:t>
      </w:r>
      <w:r w:rsidRPr="00BD0C30">
        <w:t xml:space="preserve">addresses the difference in </w:t>
      </w:r>
      <w:r>
        <w:t>cell-type</w:t>
      </w:r>
      <w:r w:rsidRPr="00BD0C30">
        <w:t xml:space="preserve"> composition between the target and the reference sample. However, it does not address the possible domain shift between the two populations. One strategy is to use self-reference</w:t>
      </w:r>
      <w:r>
        <w:t>:</w:t>
      </w:r>
      <w:r w:rsidRPr="00BD0C30">
        <w:t xml:space="preserve"> consider the target cells that are predicted with high confidence as if these are reliably </w:t>
      </w:r>
      <w:r w:rsidR="00C539FB" w:rsidRPr="00BD0C30">
        <w:t>labeled and</w:t>
      </w:r>
      <w:r w:rsidRPr="00BD0C30">
        <w:t xml:space="preserve"> use these as training cells. Our analysis showed that although this strategy can improve the accuracy in many examples, it is not a robust solution</w:t>
      </w:r>
      <w:r>
        <w:t>.</w:t>
      </w:r>
      <w:r w:rsidRPr="00BD0C30">
        <w:t xml:space="preserve"> </w:t>
      </w:r>
      <w:r>
        <w:t>S</w:t>
      </w:r>
      <w:r w:rsidRPr="00BD0C30">
        <w:t xml:space="preserve">ometimes </w:t>
      </w:r>
      <w:r>
        <w:t xml:space="preserve">self-reference </w:t>
      </w:r>
      <w:r w:rsidR="00AE37F8" w:rsidRPr="00BD0C30">
        <w:t>deteriorates</w:t>
      </w:r>
      <w:r w:rsidRPr="00BD0C30">
        <w:t xml:space="preserve"> the accuracy</w:t>
      </w:r>
      <w:r>
        <w:t xml:space="preserve"> because if there are errors in the initial classification, it can be reinforced and amplified in the following rounds</w:t>
      </w:r>
      <w:r w:rsidRPr="00BD0C30">
        <w:t>. As a more robust alternative, we propose the expanded pool strategy by adding the high confidence target cells into the reference pool</w:t>
      </w:r>
      <w:r>
        <w:t>, instead of replacing the original reference completely</w:t>
      </w:r>
      <w:r w:rsidRPr="00BD0C30">
        <w:t xml:space="preserve">. </w:t>
      </w:r>
    </w:p>
    <w:p w14:paraId="475CF5C6" w14:textId="75D7641F" w:rsidR="00FB0DF5" w:rsidRDefault="00FB0DF5" w:rsidP="00FB0DF5">
      <w:pPr>
        <w:spacing w:line="480" w:lineRule="auto"/>
      </w:pPr>
      <w:r w:rsidRPr="00BD0C30">
        <w:t xml:space="preserve">Specifically, after we obtain </w:t>
      </w:r>
      <m:oMath>
        <m:acc>
          <m:accPr>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kj</m:t>
                </m:r>
              </m:sub>
            </m:sSub>
          </m:e>
        </m:acc>
      </m:oMath>
      <w:r>
        <w:t xml:space="preserve"> </w:t>
      </w:r>
      <w:r w:rsidRPr="00BD0C30">
        <w:t xml:space="preserve">from MLP in the first round of prediction, we compute the entropy for each cell defined as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acc>
              <m:accPr>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kj</m:t>
                    </m:r>
                  </m:sub>
                </m:sSub>
              </m:e>
            </m:acc>
            <m:r>
              <m:rPr>
                <m:sty m:val="p"/>
              </m:rPr>
              <w:rPr>
                <w:rFonts w:ascii="Cambria Math" w:hAnsi="Cambria Math"/>
              </w:rPr>
              <m:t>(x)log⁡</m:t>
            </m:r>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kj</m:t>
                    </m:r>
                  </m:sub>
                </m:sSub>
              </m:e>
            </m:acc>
            <m:d>
              <m:dPr>
                <m:ctrlPr>
                  <w:rPr>
                    <w:rFonts w:ascii="Cambria Math" w:hAnsi="Cambria Math"/>
                    <w:i/>
                  </w:rPr>
                </m:ctrlPr>
              </m:dPr>
              <m:e>
                <m:r>
                  <w:rPr>
                    <w:rFonts w:ascii="Cambria Math" w:hAnsi="Cambria Math"/>
                  </w:rPr>
                  <m:t>x</m:t>
                </m:r>
              </m:e>
            </m:d>
            <m:r>
              <w:rPr>
                <w:rFonts w:ascii="Cambria Math" w:hAnsi="Cambria Math"/>
              </w:rPr>
              <m:t>]</m:t>
            </m:r>
          </m:e>
        </m:nary>
      </m:oMath>
      <w:r>
        <w:t xml:space="preserve">. </w:t>
      </w:r>
      <w:r w:rsidRPr="00BD0C30">
        <w:t xml:space="preserve">This measure indicates the confidence level in the predicted labels for each cell. We select a fixed proportion of low-entropy cells from the target for each given </w:t>
      </w:r>
      <w:r>
        <w:t>cell-type</w:t>
      </w:r>
      <w:r w:rsidRPr="00BD0C30">
        <w:t xml:space="preserve"> and add them into the reference pool. Notably, the low-entropy cells sourced from the target should not exceed 50% of the reference pool, because their </w:t>
      </w:r>
      <w:r>
        <w:t>“</w:t>
      </w:r>
      <w:r w:rsidRPr="00BD0C30">
        <w:t>labels" are predicted and not considered as reliable as the true reference cells.</w:t>
      </w:r>
      <w:r>
        <w:rPr>
          <w:rFonts w:hint="eastAsia"/>
        </w:rPr>
        <w:t xml:space="preserve"> </w:t>
      </w:r>
      <w:r w:rsidRPr="00BD0C30">
        <w:t xml:space="preserve">This extension keeps the original labeled cells from the </w:t>
      </w:r>
      <w:r w:rsidR="00C539FB" w:rsidRPr="00BD0C30">
        <w:t>reference but</w:t>
      </w:r>
      <w:r w:rsidRPr="00BD0C30">
        <w:t xml:space="preserve"> includes low entropy target cells with predicted labels. The training sample will be constructed by sampling cells from this pool according to </w:t>
      </w:r>
      <m:oMath>
        <m:sSup>
          <m:sSupPr>
            <m:ctrlPr>
              <w:rPr>
                <w:rFonts w:ascii="Cambria Math" w:hAnsi="Cambria Math"/>
                <w:i/>
                <w:iCs/>
              </w:rPr>
            </m:ctrlPr>
          </m:sSupPr>
          <m:e>
            <m:r>
              <w:rPr>
                <w:rFonts w:ascii="Cambria Math" w:hAnsi="Cambria Math"/>
              </w:rPr>
              <m:t>P</m:t>
            </m:r>
          </m:e>
          <m:sup>
            <m:r>
              <w:rPr>
                <w:rFonts w:ascii="Cambria Math" w:hAnsi="Cambria Math"/>
              </w:rPr>
              <m:t>T</m:t>
            </m:r>
          </m:sup>
        </m:sSup>
      </m:oMath>
      <w:r>
        <w:rPr>
          <w:iCs/>
        </w:rPr>
        <w:t xml:space="preserve"> </w:t>
      </w:r>
      <w:r w:rsidRPr="00BD0C30">
        <w:t xml:space="preserve">or the estimated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P</m:t>
                </m:r>
              </m:e>
              <m:sup>
                <m:r>
                  <w:rPr>
                    <w:rFonts w:ascii="Cambria Math" w:hAnsi="Cambria Math"/>
                  </w:rPr>
                  <m:t>T</m:t>
                </m:r>
              </m:sup>
            </m:sSup>
          </m:e>
        </m:acc>
        <m:r>
          <m:rPr>
            <m:sty m:val="p"/>
          </m:rPr>
          <w:rPr>
            <w:rFonts w:ascii="Cambria Math" w:hAnsi="Cambria Math" w:hint="eastAsia"/>
          </w:rPr>
          <m:t xml:space="preserve"> </m:t>
        </m:r>
      </m:oMath>
      <w:r>
        <w:t>.</w:t>
      </w:r>
    </w:p>
    <w:p w14:paraId="544D8BA4" w14:textId="77777777" w:rsidR="00FB0DF5" w:rsidRPr="00977A63" w:rsidRDefault="00FB0DF5" w:rsidP="00FB0DF5">
      <w:pPr>
        <w:spacing w:line="480" w:lineRule="auto"/>
      </w:pPr>
    </w:p>
    <w:p w14:paraId="3DF2E84C" w14:textId="77777777" w:rsidR="00FB0DF5" w:rsidRPr="00BD0C30" w:rsidRDefault="00FB0DF5" w:rsidP="00FB0DF5">
      <w:pPr>
        <w:spacing w:line="480" w:lineRule="auto"/>
        <w:rPr>
          <w:b/>
          <w:bCs/>
          <w:iCs/>
          <w:sz w:val="28"/>
          <w:szCs w:val="28"/>
        </w:rPr>
      </w:pPr>
      <w:bookmarkStart w:id="4" w:name="OLE_LINK7"/>
      <w:r w:rsidRPr="00BD0C30">
        <w:rPr>
          <w:b/>
          <w:bCs/>
          <w:iCs/>
          <w:sz w:val="28"/>
          <w:szCs w:val="28"/>
        </w:rPr>
        <w:t>S</w:t>
      </w:r>
      <w:r>
        <w:rPr>
          <w:b/>
          <w:bCs/>
          <w:iCs/>
          <w:sz w:val="28"/>
          <w:szCs w:val="28"/>
        </w:rPr>
        <w:t>5</w:t>
      </w:r>
      <w:r w:rsidRPr="00BD0C30">
        <w:rPr>
          <w:b/>
          <w:bCs/>
          <w:iCs/>
          <w:sz w:val="28"/>
          <w:szCs w:val="28"/>
        </w:rPr>
        <w:t xml:space="preserve">. </w:t>
      </w:r>
      <w:r>
        <w:rPr>
          <w:b/>
          <w:bCs/>
          <w:iCs/>
          <w:sz w:val="28"/>
          <w:szCs w:val="28"/>
        </w:rPr>
        <w:t>W</w:t>
      </w:r>
      <w:r w:rsidRPr="00BD0C30">
        <w:rPr>
          <w:rFonts w:hint="eastAsia"/>
          <w:b/>
          <w:bCs/>
          <w:iCs/>
          <w:sz w:val="28"/>
          <w:szCs w:val="28"/>
        </w:rPr>
        <w:t>ithin study predictions</w:t>
      </w:r>
      <w:bookmarkStart w:id="5" w:name="OLE_LINK4"/>
    </w:p>
    <w:bookmarkEnd w:id="4"/>
    <w:p w14:paraId="2AC67DA8" w14:textId="77777777" w:rsidR="00FB0DF5" w:rsidRDefault="00FB0DF5" w:rsidP="00FB0DF5">
      <w:pPr>
        <w:spacing w:line="480" w:lineRule="auto"/>
        <w:rPr>
          <w:b/>
          <w:bCs/>
          <w:iCs/>
        </w:rPr>
      </w:pPr>
    </w:p>
    <w:p w14:paraId="1BCF6BE7" w14:textId="3F529BD8" w:rsidR="00FB0DF5" w:rsidRPr="00B713E7" w:rsidRDefault="00FB0DF5" w:rsidP="00FB0DF5">
      <w:pPr>
        <w:spacing w:line="480" w:lineRule="auto"/>
        <w:rPr>
          <w:iCs/>
        </w:rPr>
      </w:pPr>
      <w:r w:rsidRPr="00B713E7">
        <w:rPr>
          <w:iCs/>
        </w:rPr>
        <w:lastRenderedPageBreak/>
        <w:t xml:space="preserve">For </w:t>
      </w:r>
      <w:r>
        <w:rPr>
          <w:iCs/>
        </w:rPr>
        <w:t>cells</w:t>
      </w:r>
      <w:r w:rsidRPr="00B713E7">
        <w:rPr>
          <w:iCs/>
        </w:rPr>
        <w:t xml:space="preserve"> from the same study, we expect </w:t>
      </w:r>
      <w:r>
        <w:rPr>
          <w:iCs/>
        </w:rPr>
        <w:t>no domain shift</w:t>
      </w:r>
      <w:r w:rsidRPr="00B713E7">
        <w:rPr>
          <w:iCs/>
        </w:rPr>
        <w:t xml:space="preserve">, </w:t>
      </w:r>
      <w:r w:rsidRPr="00B713E7">
        <w:rPr>
          <w:rFonts w:hint="eastAsia"/>
          <w:iCs/>
        </w:rPr>
        <w:t xml:space="preserve">and thus we could solely </w:t>
      </w:r>
      <w:r w:rsidRPr="00B713E7">
        <w:rPr>
          <w:iCs/>
        </w:rPr>
        <w:t>adjust the</w:t>
      </w:r>
      <w:r w:rsidRPr="00B713E7">
        <w:rPr>
          <w:rFonts w:hint="eastAsia"/>
          <w:iCs/>
        </w:rPr>
        <w:t xml:space="preserve"> </w:t>
      </w:r>
      <w:r>
        <w:rPr>
          <w:rFonts w:hint="eastAsia"/>
          <w:iCs/>
        </w:rPr>
        <w:t xml:space="preserve">cell-type </w:t>
      </w:r>
      <w:r w:rsidRPr="00B713E7">
        <w:rPr>
          <w:rFonts w:hint="eastAsia"/>
          <w:iCs/>
        </w:rPr>
        <w:t>composition of</w:t>
      </w:r>
      <w:r w:rsidRPr="00B713E7">
        <w:rPr>
          <w:iCs/>
        </w:rPr>
        <w:t xml:space="preserve"> reference </w:t>
      </w:r>
      <w:r w:rsidRPr="00B713E7">
        <w:rPr>
          <w:rFonts w:hint="eastAsia"/>
          <w:iCs/>
        </w:rPr>
        <w:t xml:space="preserve">to make it resemble </w:t>
      </w:r>
      <w:r w:rsidRPr="00B713E7">
        <w:rPr>
          <w:iCs/>
        </w:rPr>
        <w:t>the target. To validate this idea, we first explore the scenario of within-study prediction</w:t>
      </w:r>
      <w:r>
        <w:rPr>
          <w:rFonts w:hint="eastAsia"/>
          <w:iCs/>
        </w:rPr>
        <w:t>. T</w:t>
      </w:r>
      <w:r w:rsidRPr="00B713E7">
        <w:rPr>
          <w:iCs/>
        </w:rPr>
        <w:t xml:space="preserve">he </w:t>
      </w:r>
      <w:r>
        <w:rPr>
          <w:iCs/>
        </w:rPr>
        <w:t>cell-type</w:t>
      </w:r>
      <w:r w:rsidRPr="00B713E7">
        <w:rPr>
          <w:iCs/>
        </w:rPr>
        <w:t xml:space="preserve"> information from the </w:t>
      </w:r>
      <w:r>
        <w:rPr>
          <w:iCs/>
        </w:rPr>
        <w:t>“</w:t>
      </w:r>
      <w:r w:rsidRPr="00B713E7">
        <w:rPr>
          <w:iCs/>
        </w:rPr>
        <w:t>FACS</w:t>
      </w:r>
      <w:r>
        <w:rPr>
          <w:iCs/>
        </w:rPr>
        <w:t>”</w:t>
      </w:r>
      <w:r w:rsidRPr="00B713E7">
        <w:rPr>
          <w:iCs/>
        </w:rPr>
        <w:t xml:space="preserve"> dataset is considered the gold standard. Therefore, we initially generate the reference and target from this dataset.</w:t>
      </w:r>
    </w:p>
    <w:p w14:paraId="7F6B3689" w14:textId="198F3428" w:rsidR="00FB0DF5" w:rsidRPr="001B0EA1" w:rsidRDefault="00FB0DF5" w:rsidP="00FB0DF5">
      <w:pPr>
        <w:spacing w:line="480" w:lineRule="auto"/>
        <w:rPr>
          <w:iCs/>
        </w:rPr>
      </w:pPr>
      <w:r w:rsidRPr="00B713E7">
        <w:rPr>
          <w:iCs/>
        </w:rPr>
        <w:t xml:space="preserve">Due to the </w:t>
      </w:r>
      <w:r>
        <w:rPr>
          <w:iCs/>
        </w:rPr>
        <w:t>high misclassification rate</w:t>
      </w:r>
      <w:r w:rsidRPr="00B713E7">
        <w:rPr>
          <w:iCs/>
        </w:rPr>
        <w:t xml:space="preserve"> between </w:t>
      </w:r>
      <w:r>
        <w:rPr>
          <w:rFonts w:hint="eastAsia"/>
          <w:iCs/>
        </w:rPr>
        <w:t>c</w:t>
      </w:r>
      <w:r w:rsidRPr="00B713E7">
        <w:rPr>
          <w:iCs/>
        </w:rPr>
        <w:t xml:space="preserve">ytotoxic T cells and </w:t>
      </w:r>
      <w:r>
        <w:rPr>
          <w:rFonts w:hint="eastAsia"/>
          <w:iCs/>
        </w:rPr>
        <w:t>n</w:t>
      </w:r>
      <w:r w:rsidRPr="00B713E7">
        <w:rPr>
          <w:iCs/>
        </w:rPr>
        <w:t xml:space="preserve">aive </w:t>
      </w:r>
      <w:r>
        <w:rPr>
          <w:rFonts w:hint="eastAsia"/>
          <w:iCs/>
        </w:rPr>
        <w:t>c</w:t>
      </w:r>
      <w:r w:rsidRPr="00B713E7">
        <w:rPr>
          <w:iCs/>
        </w:rPr>
        <w:t xml:space="preserve">ytotoxic T cells, we create an extreme scenario where the </w:t>
      </w:r>
      <w:r>
        <w:rPr>
          <w:rFonts w:hint="eastAsia"/>
          <w:iCs/>
        </w:rPr>
        <w:t>odds</w:t>
      </w:r>
      <w:r w:rsidRPr="00B713E7">
        <w:rPr>
          <w:iCs/>
        </w:rPr>
        <w:t xml:space="preserve"> of these </w:t>
      </w:r>
      <w:r>
        <w:rPr>
          <w:rFonts w:hint="eastAsia"/>
          <w:iCs/>
        </w:rPr>
        <w:t xml:space="preserve">specific </w:t>
      </w:r>
      <w:r w:rsidRPr="00B713E7">
        <w:rPr>
          <w:iCs/>
        </w:rPr>
        <w:t xml:space="preserve">two </w:t>
      </w:r>
      <w:r>
        <w:rPr>
          <w:iCs/>
        </w:rPr>
        <w:t>cell-type</w:t>
      </w:r>
      <w:r w:rsidRPr="00B713E7">
        <w:rPr>
          <w:iCs/>
        </w:rPr>
        <w:t xml:space="preserve">s are reversed between the reference and target. Cytotoxic T cells are the primary </w:t>
      </w:r>
      <w:r>
        <w:rPr>
          <w:iCs/>
        </w:rPr>
        <w:t>cell-type</w:t>
      </w:r>
      <w:r w:rsidRPr="00B713E7">
        <w:rPr>
          <w:iCs/>
        </w:rPr>
        <w:t xml:space="preserve"> in the reference, while </w:t>
      </w:r>
      <w:r>
        <w:rPr>
          <w:rFonts w:hint="eastAsia"/>
          <w:iCs/>
        </w:rPr>
        <w:t>n</w:t>
      </w:r>
      <w:r w:rsidRPr="00B713E7">
        <w:rPr>
          <w:iCs/>
        </w:rPr>
        <w:t xml:space="preserve">aive </w:t>
      </w:r>
      <w:r>
        <w:rPr>
          <w:rFonts w:hint="eastAsia"/>
          <w:iCs/>
        </w:rPr>
        <w:t>c</w:t>
      </w:r>
      <w:r w:rsidRPr="00B713E7">
        <w:rPr>
          <w:iCs/>
        </w:rPr>
        <w:t xml:space="preserve">ytotoxic T cells are the </w:t>
      </w:r>
      <w:r>
        <w:rPr>
          <w:rFonts w:hint="eastAsia"/>
          <w:iCs/>
        </w:rPr>
        <w:t>dominate</w:t>
      </w:r>
      <w:r w:rsidRPr="00B713E7">
        <w:rPr>
          <w:iCs/>
        </w:rPr>
        <w:t xml:space="preserve"> </w:t>
      </w:r>
      <w:r>
        <w:rPr>
          <w:iCs/>
        </w:rPr>
        <w:t>cell-type</w:t>
      </w:r>
      <w:r w:rsidRPr="00B713E7">
        <w:rPr>
          <w:iCs/>
        </w:rPr>
        <w:t xml:space="preserve"> in the target. To minimize confounding effects from other </w:t>
      </w:r>
      <w:r>
        <w:rPr>
          <w:iCs/>
        </w:rPr>
        <w:t>cell-type</w:t>
      </w:r>
      <w:r w:rsidRPr="00B713E7">
        <w:rPr>
          <w:iCs/>
        </w:rPr>
        <w:t xml:space="preserve">s, we ensure that the proportions of the other seven </w:t>
      </w:r>
      <w:r>
        <w:rPr>
          <w:iCs/>
        </w:rPr>
        <w:t>cell-type</w:t>
      </w:r>
      <w:r w:rsidRPr="00B713E7">
        <w:rPr>
          <w:iCs/>
        </w:rPr>
        <w:t>s are consistent between the reference and target.</w:t>
      </w:r>
      <w:r>
        <w:rPr>
          <w:rFonts w:hint="eastAsia"/>
          <w:iCs/>
        </w:rPr>
        <w:t xml:space="preserve"> As shown in the Table S</w:t>
      </w:r>
      <w:r>
        <w:rPr>
          <w:iCs/>
        </w:rPr>
        <w:t>3</w:t>
      </w:r>
      <w:r>
        <w:rPr>
          <w:rFonts w:hint="eastAsia"/>
          <w:iCs/>
        </w:rPr>
        <w:t xml:space="preserve">, </w:t>
      </w:r>
      <w:r>
        <w:rPr>
          <w:iCs/>
        </w:rPr>
        <w:t>“</w:t>
      </w:r>
      <w:r w:rsidRPr="00B713E7">
        <w:rPr>
          <w:rFonts w:hint="eastAsia"/>
          <w:iCs/>
        </w:rPr>
        <w:t>FACS1</w:t>
      </w:r>
      <w:r>
        <w:rPr>
          <w:iCs/>
        </w:rPr>
        <w:t>”</w:t>
      </w:r>
      <w:r w:rsidRPr="00B713E7">
        <w:rPr>
          <w:rFonts w:hint="eastAsia"/>
          <w:iCs/>
        </w:rPr>
        <w:t xml:space="preserve"> represents the reference with </w:t>
      </w:r>
      <w:r w:rsidRPr="00B713E7">
        <w:rPr>
          <w:iCs/>
        </w:rPr>
        <w:t xml:space="preserve">30000 </w:t>
      </w:r>
      <w:r w:rsidRPr="00B713E7">
        <w:rPr>
          <w:rFonts w:hint="eastAsia"/>
          <w:iCs/>
        </w:rPr>
        <w:t>cells</w:t>
      </w:r>
      <w:r>
        <w:rPr>
          <w:rFonts w:hint="eastAsia"/>
          <w:iCs/>
        </w:rPr>
        <w:t>,</w:t>
      </w:r>
      <w:r w:rsidRPr="00B713E7">
        <w:rPr>
          <w:rFonts w:hint="eastAsia"/>
          <w:iCs/>
        </w:rPr>
        <w:t xml:space="preserve"> and </w:t>
      </w:r>
      <w:r>
        <w:rPr>
          <w:iCs/>
        </w:rPr>
        <w:t>“</w:t>
      </w:r>
      <w:r w:rsidRPr="00B713E7">
        <w:rPr>
          <w:rFonts w:hint="eastAsia"/>
          <w:iCs/>
        </w:rPr>
        <w:t>FACS2</w:t>
      </w:r>
      <w:r>
        <w:rPr>
          <w:iCs/>
        </w:rPr>
        <w:t>”</w:t>
      </w:r>
      <w:r w:rsidRPr="00B713E7">
        <w:rPr>
          <w:rFonts w:hint="eastAsia"/>
          <w:iCs/>
        </w:rPr>
        <w:t xml:space="preserve"> represents the target with </w:t>
      </w:r>
      <w:r w:rsidRPr="00B713E7">
        <w:rPr>
          <w:iCs/>
        </w:rPr>
        <w:t>4000</w:t>
      </w:r>
      <w:r w:rsidRPr="00B713E7">
        <w:rPr>
          <w:rFonts w:hint="eastAsia"/>
          <w:iCs/>
        </w:rPr>
        <w:t xml:space="preserve"> cells. </w:t>
      </w:r>
      <w:bookmarkEnd w:id="5"/>
      <w:r w:rsidRPr="00B713E7">
        <w:rPr>
          <w:iCs/>
        </w:rPr>
        <w:t xml:space="preserve">They are sampled from the </w:t>
      </w:r>
      <w:r>
        <w:rPr>
          <w:rFonts w:hint="eastAsia"/>
          <w:iCs/>
        </w:rPr>
        <w:t>“</w:t>
      </w:r>
      <w:r w:rsidRPr="00B713E7">
        <w:rPr>
          <w:iCs/>
        </w:rPr>
        <w:t>FACS</w:t>
      </w:r>
      <w:r>
        <w:rPr>
          <w:rFonts w:hint="eastAsia"/>
          <w:iCs/>
        </w:rPr>
        <w:t>”</w:t>
      </w:r>
      <w:r w:rsidRPr="00B713E7">
        <w:rPr>
          <w:iCs/>
        </w:rPr>
        <w:t xml:space="preserve"> dataset based on cell IDs, and the</w:t>
      </w:r>
      <w:r>
        <w:rPr>
          <w:rFonts w:hint="eastAsia"/>
          <w:iCs/>
        </w:rPr>
        <w:t>se</w:t>
      </w:r>
      <w:r w:rsidRPr="00B713E7">
        <w:rPr>
          <w:iCs/>
        </w:rPr>
        <w:t xml:space="preserve"> two sets are mutually exclusive.</w:t>
      </w:r>
    </w:p>
    <w:p w14:paraId="4F1819C2" w14:textId="77777777" w:rsidR="00FB0DF5" w:rsidRDefault="00FB0DF5" w:rsidP="00FB0DF5">
      <w:pPr>
        <w:rPr>
          <w:b/>
          <w:bCs/>
        </w:rPr>
      </w:pPr>
      <w:r>
        <w:rPr>
          <w:b/>
          <w:bCs/>
        </w:rPr>
        <w:t>Table</w:t>
      </w:r>
      <w:r>
        <w:rPr>
          <w:rFonts w:hint="eastAsia"/>
          <w:b/>
          <w:bCs/>
        </w:rPr>
        <w:t xml:space="preserve"> S3</w:t>
      </w:r>
      <w:r>
        <w:rPr>
          <w:b/>
          <w:bCs/>
        </w:rPr>
        <w:t xml:space="preserve">: </w:t>
      </w:r>
      <w:bookmarkStart w:id="6" w:name="OLE_LINK1"/>
      <w:r>
        <w:rPr>
          <w:rFonts w:hint="eastAsia"/>
          <w:b/>
          <w:bCs/>
        </w:rPr>
        <w:t xml:space="preserve">Cell-type proportion for reference and target generated from </w:t>
      </w:r>
      <w:r w:rsidRPr="00C536DB">
        <w:rPr>
          <w:b/>
          <w:bCs/>
        </w:rPr>
        <w:t>“</w:t>
      </w:r>
      <w:r w:rsidRPr="00C536DB">
        <w:rPr>
          <w:rFonts w:hint="eastAsia"/>
          <w:b/>
          <w:bCs/>
        </w:rPr>
        <w:t>FACS</w:t>
      </w:r>
      <w:r w:rsidRPr="00C536DB">
        <w:rPr>
          <w:b/>
          <w:bCs/>
        </w:rPr>
        <w:t>”</w:t>
      </w:r>
      <w:r w:rsidRPr="00C536DB">
        <w:rPr>
          <w:rFonts w:hint="eastAsia"/>
          <w:b/>
          <w:bCs/>
        </w:rPr>
        <w:t xml:space="preserve"> </w:t>
      </w:r>
      <w:r w:rsidRPr="00C536DB">
        <w:rPr>
          <w:b/>
          <w:bCs/>
        </w:rPr>
        <w:t>dataset</w:t>
      </w:r>
      <w:bookmarkEnd w:id="6"/>
    </w:p>
    <w:p w14:paraId="6AA10835" w14:textId="77777777" w:rsidR="00FB0DF5" w:rsidRPr="00DE1338" w:rsidRDefault="00FB0DF5" w:rsidP="00FB0DF5">
      <w:pPr>
        <w:rPr>
          <w:b/>
          <w:bCs/>
        </w:rPr>
      </w:pPr>
    </w:p>
    <w:tbl>
      <w:tblPr>
        <w:tblStyle w:val="TableGrid"/>
        <w:tblW w:w="0" w:type="auto"/>
        <w:tblLook w:val="04A0" w:firstRow="1" w:lastRow="0" w:firstColumn="1" w:lastColumn="0" w:noHBand="0" w:noVBand="1"/>
      </w:tblPr>
      <w:tblGrid>
        <w:gridCol w:w="898"/>
        <w:gridCol w:w="1088"/>
        <w:gridCol w:w="1088"/>
        <w:gridCol w:w="819"/>
        <w:gridCol w:w="940"/>
        <w:gridCol w:w="747"/>
        <w:gridCol w:w="1199"/>
        <w:gridCol w:w="747"/>
        <w:gridCol w:w="1199"/>
        <w:gridCol w:w="625"/>
      </w:tblGrid>
      <w:tr w:rsidR="00FB0DF5" w14:paraId="7765BDB8" w14:textId="77777777" w:rsidTr="004C6ED0">
        <w:tc>
          <w:tcPr>
            <w:tcW w:w="986" w:type="dxa"/>
          </w:tcPr>
          <w:p w14:paraId="3EC4C633" w14:textId="77777777" w:rsidR="00FB0DF5" w:rsidRPr="00466657" w:rsidRDefault="00FB0DF5" w:rsidP="004C6ED0">
            <w:pPr>
              <w:rPr>
                <w:b/>
                <w:bCs/>
                <w:sz w:val="21"/>
                <w:szCs w:val="21"/>
              </w:rPr>
            </w:pPr>
          </w:p>
        </w:tc>
        <w:tc>
          <w:tcPr>
            <w:tcW w:w="1163" w:type="dxa"/>
          </w:tcPr>
          <w:p w14:paraId="1DF4706A" w14:textId="77777777" w:rsidR="00FB0DF5" w:rsidRPr="00466657" w:rsidRDefault="00FB0DF5" w:rsidP="004C6ED0">
            <w:pPr>
              <w:jc w:val="center"/>
              <w:rPr>
                <w:b/>
                <w:bCs/>
                <w:sz w:val="21"/>
                <w:szCs w:val="21"/>
              </w:rPr>
            </w:pPr>
            <w:r w:rsidRPr="00466657">
              <w:rPr>
                <w:sz w:val="21"/>
                <w:szCs w:val="21"/>
              </w:rPr>
              <w:t>Cytotoxic T cells</w:t>
            </w:r>
          </w:p>
        </w:tc>
        <w:tc>
          <w:tcPr>
            <w:tcW w:w="1163" w:type="dxa"/>
          </w:tcPr>
          <w:p w14:paraId="45895CD6" w14:textId="77777777" w:rsidR="00FB0DF5" w:rsidRPr="00466657" w:rsidRDefault="00FB0DF5" w:rsidP="004C6ED0">
            <w:pPr>
              <w:jc w:val="center"/>
              <w:rPr>
                <w:sz w:val="21"/>
                <w:szCs w:val="21"/>
              </w:rPr>
            </w:pPr>
            <w:r w:rsidRPr="00466657">
              <w:rPr>
                <w:sz w:val="21"/>
                <w:szCs w:val="21"/>
              </w:rPr>
              <w:t>Naive</w:t>
            </w:r>
          </w:p>
          <w:p w14:paraId="41BB5EC6" w14:textId="77777777" w:rsidR="00FB0DF5" w:rsidRPr="00466657" w:rsidRDefault="00FB0DF5" w:rsidP="004C6ED0">
            <w:pPr>
              <w:jc w:val="center"/>
              <w:rPr>
                <w:b/>
                <w:bCs/>
                <w:sz w:val="21"/>
                <w:szCs w:val="21"/>
              </w:rPr>
            </w:pPr>
            <w:r w:rsidRPr="00466657">
              <w:rPr>
                <w:sz w:val="21"/>
                <w:szCs w:val="21"/>
              </w:rPr>
              <w:t>Cytotoxic T cells</w:t>
            </w:r>
          </w:p>
        </w:tc>
        <w:tc>
          <w:tcPr>
            <w:tcW w:w="874" w:type="dxa"/>
          </w:tcPr>
          <w:p w14:paraId="4C2FB463" w14:textId="77777777" w:rsidR="00FB0DF5" w:rsidRPr="00466657" w:rsidRDefault="00FB0DF5" w:rsidP="004C6ED0">
            <w:pPr>
              <w:jc w:val="center"/>
              <w:rPr>
                <w:b/>
                <w:bCs/>
                <w:sz w:val="21"/>
                <w:szCs w:val="21"/>
              </w:rPr>
            </w:pPr>
            <w:r w:rsidRPr="00466657">
              <w:rPr>
                <w:sz w:val="21"/>
                <w:szCs w:val="21"/>
              </w:rPr>
              <w:t>Helper T cells</w:t>
            </w:r>
          </w:p>
        </w:tc>
        <w:tc>
          <w:tcPr>
            <w:tcW w:w="337" w:type="dxa"/>
          </w:tcPr>
          <w:p w14:paraId="5D28075D" w14:textId="77777777" w:rsidR="00FB0DF5" w:rsidRPr="00466657" w:rsidRDefault="00FB0DF5" w:rsidP="004C6ED0">
            <w:pPr>
              <w:jc w:val="center"/>
              <w:rPr>
                <w:sz w:val="21"/>
                <w:szCs w:val="21"/>
              </w:rPr>
            </w:pPr>
            <w:r w:rsidRPr="00466657">
              <w:rPr>
                <w:sz w:val="21"/>
                <w:szCs w:val="21"/>
              </w:rPr>
              <w:t>Memory T cells</w:t>
            </w:r>
          </w:p>
        </w:tc>
        <w:tc>
          <w:tcPr>
            <w:tcW w:w="797" w:type="dxa"/>
          </w:tcPr>
          <w:p w14:paraId="63AF6CF9" w14:textId="77777777" w:rsidR="00FB0DF5" w:rsidRPr="00466657" w:rsidRDefault="00FB0DF5" w:rsidP="004C6ED0">
            <w:pPr>
              <w:jc w:val="center"/>
              <w:rPr>
                <w:b/>
                <w:bCs/>
                <w:sz w:val="21"/>
                <w:szCs w:val="21"/>
              </w:rPr>
            </w:pPr>
            <w:r w:rsidRPr="00466657">
              <w:rPr>
                <w:sz w:val="21"/>
                <w:szCs w:val="21"/>
              </w:rPr>
              <w:t>Naive T cells</w:t>
            </w:r>
          </w:p>
        </w:tc>
        <w:tc>
          <w:tcPr>
            <w:tcW w:w="1283" w:type="dxa"/>
          </w:tcPr>
          <w:p w14:paraId="5BF485C4" w14:textId="77777777" w:rsidR="00FB0DF5" w:rsidRPr="00466657" w:rsidRDefault="00FB0DF5" w:rsidP="004C6ED0">
            <w:pPr>
              <w:jc w:val="center"/>
              <w:rPr>
                <w:b/>
                <w:bCs/>
                <w:sz w:val="21"/>
                <w:szCs w:val="21"/>
              </w:rPr>
            </w:pPr>
            <w:r w:rsidRPr="00466657">
              <w:rPr>
                <w:sz w:val="21"/>
                <w:szCs w:val="21"/>
              </w:rPr>
              <w:t>Regulatory T cells</w:t>
            </w:r>
          </w:p>
        </w:tc>
        <w:tc>
          <w:tcPr>
            <w:tcW w:w="797" w:type="dxa"/>
          </w:tcPr>
          <w:p w14:paraId="4EBC8CF7" w14:textId="77777777" w:rsidR="00FB0DF5" w:rsidRPr="00466657" w:rsidRDefault="00FB0DF5" w:rsidP="004C6ED0">
            <w:pPr>
              <w:jc w:val="center"/>
              <w:rPr>
                <w:b/>
                <w:bCs/>
                <w:sz w:val="21"/>
                <w:szCs w:val="21"/>
              </w:rPr>
            </w:pPr>
            <w:r w:rsidRPr="00466657">
              <w:rPr>
                <w:sz w:val="21"/>
                <w:szCs w:val="21"/>
              </w:rPr>
              <w:t>CD56 NK cells</w:t>
            </w:r>
          </w:p>
        </w:tc>
        <w:tc>
          <w:tcPr>
            <w:tcW w:w="1283" w:type="dxa"/>
          </w:tcPr>
          <w:p w14:paraId="3278B4A0" w14:textId="77777777" w:rsidR="00FB0DF5" w:rsidRPr="00466657" w:rsidRDefault="00FB0DF5" w:rsidP="004C6ED0">
            <w:pPr>
              <w:jc w:val="center"/>
              <w:rPr>
                <w:b/>
                <w:bCs/>
                <w:sz w:val="21"/>
                <w:szCs w:val="21"/>
              </w:rPr>
            </w:pPr>
            <w:r w:rsidRPr="00466657">
              <w:rPr>
                <w:sz w:val="21"/>
                <w:szCs w:val="21"/>
              </w:rPr>
              <w:t>CD14+ Monocytes</w:t>
            </w:r>
          </w:p>
        </w:tc>
        <w:tc>
          <w:tcPr>
            <w:tcW w:w="667" w:type="dxa"/>
          </w:tcPr>
          <w:p w14:paraId="5BB6303F" w14:textId="77777777" w:rsidR="00FB0DF5" w:rsidRPr="00466657" w:rsidRDefault="00FB0DF5" w:rsidP="004C6ED0">
            <w:pPr>
              <w:jc w:val="center"/>
              <w:rPr>
                <w:b/>
                <w:bCs/>
                <w:sz w:val="21"/>
                <w:szCs w:val="21"/>
              </w:rPr>
            </w:pPr>
            <w:r w:rsidRPr="00466657">
              <w:rPr>
                <w:sz w:val="21"/>
                <w:szCs w:val="21"/>
              </w:rPr>
              <w:t>B cells</w:t>
            </w:r>
          </w:p>
        </w:tc>
      </w:tr>
      <w:tr w:rsidR="00FB0DF5" w14:paraId="22E8562C" w14:textId="77777777" w:rsidTr="004C6ED0">
        <w:tc>
          <w:tcPr>
            <w:tcW w:w="986" w:type="dxa"/>
          </w:tcPr>
          <w:p w14:paraId="152C3E12" w14:textId="77777777" w:rsidR="00FB0DF5" w:rsidRPr="00466657" w:rsidRDefault="00FB0DF5" w:rsidP="004C6ED0">
            <w:pPr>
              <w:rPr>
                <w:sz w:val="21"/>
                <w:szCs w:val="21"/>
              </w:rPr>
            </w:pPr>
            <w:r w:rsidRPr="00466657">
              <w:rPr>
                <w:rFonts w:hint="eastAsia"/>
                <w:sz w:val="21"/>
                <w:szCs w:val="21"/>
              </w:rPr>
              <w:t>FACS1</w:t>
            </w:r>
          </w:p>
        </w:tc>
        <w:tc>
          <w:tcPr>
            <w:tcW w:w="1163" w:type="dxa"/>
          </w:tcPr>
          <w:p w14:paraId="5D5606B0" w14:textId="77777777" w:rsidR="00FB0DF5" w:rsidRPr="00466657" w:rsidRDefault="00FB0DF5" w:rsidP="004C6ED0">
            <w:pPr>
              <w:jc w:val="center"/>
              <w:rPr>
                <w:sz w:val="21"/>
                <w:szCs w:val="21"/>
              </w:rPr>
            </w:pPr>
            <w:r w:rsidRPr="00466657">
              <w:rPr>
                <w:rFonts w:hint="eastAsia"/>
                <w:sz w:val="21"/>
                <w:szCs w:val="21"/>
              </w:rPr>
              <w:t>0.1</w:t>
            </w:r>
          </w:p>
        </w:tc>
        <w:tc>
          <w:tcPr>
            <w:tcW w:w="1163" w:type="dxa"/>
          </w:tcPr>
          <w:p w14:paraId="484B7916" w14:textId="77777777" w:rsidR="00FB0DF5" w:rsidRPr="00466657" w:rsidRDefault="00FB0DF5" w:rsidP="004C6ED0">
            <w:pPr>
              <w:jc w:val="center"/>
              <w:rPr>
                <w:sz w:val="21"/>
                <w:szCs w:val="21"/>
              </w:rPr>
            </w:pPr>
            <w:r w:rsidRPr="00466657">
              <w:rPr>
                <w:rFonts w:hint="eastAsia"/>
                <w:sz w:val="21"/>
                <w:szCs w:val="21"/>
              </w:rPr>
              <w:t>0.4</w:t>
            </w:r>
          </w:p>
        </w:tc>
        <w:tc>
          <w:tcPr>
            <w:tcW w:w="874" w:type="dxa"/>
          </w:tcPr>
          <w:p w14:paraId="12711118" w14:textId="77777777" w:rsidR="00FB0DF5" w:rsidRPr="00466657" w:rsidRDefault="00FB0DF5" w:rsidP="004C6ED0">
            <w:pPr>
              <w:jc w:val="center"/>
              <w:rPr>
                <w:sz w:val="21"/>
                <w:szCs w:val="21"/>
              </w:rPr>
            </w:pPr>
            <w:r w:rsidRPr="00466657">
              <w:rPr>
                <w:rFonts w:hint="eastAsia"/>
                <w:sz w:val="21"/>
                <w:szCs w:val="21"/>
              </w:rPr>
              <w:t>0.02</w:t>
            </w:r>
          </w:p>
        </w:tc>
        <w:tc>
          <w:tcPr>
            <w:tcW w:w="337" w:type="dxa"/>
          </w:tcPr>
          <w:p w14:paraId="16A97FDE" w14:textId="77777777" w:rsidR="00FB0DF5" w:rsidRPr="00466657" w:rsidRDefault="00FB0DF5" w:rsidP="004C6ED0">
            <w:pPr>
              <w:jc w:val="center"/>
              <w:rPr>
                <w:sz w:val="21"/>
                <w:szCs w:val="21"/>
              </w:rPr>
            </w:pPr>
            <w:r w:rsidRPr="00466657">
              <w:rPr>
                <w:sz w:val="21"/>
                <w:szCs w:val="21"/>
              </w:rPr>
              <w:t>0.02</w:t>
            </w:r>
          </w:p>
        </w:tc>
        <w:tc>
          <w:tcPr>
            <w:tcW w:w="797" w:type="dxa"/>
          </w:tcPr>
          <w:p w14:paraId="7F9B1953" w14:textId="77777777" w:rsidR="00FB0DF5" w:rsidRPr="00466657" w:rsidRDefault="00FB0DF5" w:rsidP="004C6ED0">
            <w:pPr>
              <w:jc w:val="center"/>
              <w:rPr>
                <w:sz w:val="21"/>
                <w:szCs w:val="21"/>
              </w:rPr>
            </w:pPr>
            <w:r w:rsidRPr="00466657">
              <w:rPr>
                <w:rFonts w:hint="eastAsia"/>
                <w:sz w:val="21"/>
                <w:szCs w:val="21"/>
              </w:rPr>
              <w:t>0.02</w:t>
            </w:r>
          </w:p>
        </w:tc>
        <w:tc>
          <w:tcPr>
            <w:tcW w:w="1283" w:type="dxa"/>
          </w:tcPr>
          <w:p w14:paraId="7C276F66" w14:textId="77777777" w:rsidR="00FB0DF5" w:rsidRPr="00466657" w:rsidRDefault="00FB0DF5" w:rsidP="004C6ED0">
            <w:pPr>
              <w:jc w:val="center"/>
              <w:rPr>
                <w:sz w:val="21"/>
                <w:szCs w:val="21"/>
              </w:rPr>
            </w:pPr>
            <w:r w:rsidRPr="00466657">
              <w:rPr>
                <w:rFonts w:hint="eastAsia"/>
                <w:sz w:val="21"/>
                <w:szCs w:val="21"/>
              </w:rPr>
              <w:t>0.02</w:t>
            </w:r>
          </w:p>
        </w:tc>
        <w:tc>
          <w:tcPr>
            <w:tcW w:w="797" w:type="dxa"/>
          </w:tcPr>
          <w:p w14:paraId="0FE98BC7" w14:textId="77777777" w:rsidR="00FB0DF5" w:rsidRPr="00466657" w:rsidRDefault="00FB0DF5" w:rsidP="004C6ED0">
            <w:pPr>
              <w:jc w:val="center"/>
              <w:rPr>
                <w:sz w:val="21"/>
                <w:szCs w:val="21"/>
              </w:rPr>
            </w:pPr>
            <w:r w:rsidRPr="00466657">
              <w:rPr>
                <w:rFonts w:hint="eastAsia"/>
                <w:sz w:val="21"/>
                <w:szCs w:val="21"/>
              </w:rPr>
              <w:t>0.02</w:t>
            </w:r>
          </w:p>
        </w:tc>
        <w:tc>
          <w:tcPr>
            <w:tcW w:w="1283" w:type="dxa"/>
          </w:tcPr>
          <w:p w14:paraId="0DA3FE2E" w14:textId="77777777" w:rsidR="00FB0DF5" w:rsidRPr="00466657" w:rsidRDefault="00FB0DF5" w:rsidP="004C6ED0">
            <w:pPr>
              <w:jc w:val="center"/>
              <w:rPr>
                <w:sz w:val="21"/>
                <w:szCs w:val="21"/>
              </w:rPr>
            </w:pPr>
            <w:r w:rsidRPr="00466657">
              <w:rPr>
                <w:rFonts w:hint="eastAsia"/>
                <w:sz w:val="21"/>
                <w:szCs w:val="21"/>
              </w:rPr>
              <w:t>0.1</w:t>
            </w:r>
          </w:p>
        </w:tc>
        <w:tc>
          <w:tcPr>
            <w:tcW w:w="667" w:type="dxa"/>
          </w:tcPr>
          <w:p w14:paraId="675AD69E" w14:textId="77777777" w:rsidR="00FB0DF5" w:rsidRPr="00466657" w:rsidRDefault="00FB0DF5" w:rsidP="004C6ED0">
            <w:pPr>
              <w:jc w:val="center"/>
              <w:rPr>
                <w:sz w:val="21"/>
                <w:szCs w:val="21"/>
              </w:rPr>
            </w:pPr>
            <w:r w:rsidRPr="00466657">
              <w:rPr>
                <w:rFonts w:hint="eastAsia"/>
                <w:sz w:val="21"/>
                <w:szCs w:val="21"/>
              </w:rPr>
              <w:t>0.3</w:t>
            </w:r>
          </w:p>
        </w:tc>
      </w:tr>
      <w:tr w:rsidR="00FB0DF5" w14:paraId="58CCB587" w14:textId="77777777" w:rsidTr="004C6ED0">
        <w:tc>
          <w:tcPr>
            <w:tcW w:w="986" w:type="dxa"/>
          </w:tcPr>
          <w:p w14:paraId="463EA99B" w14:textId="77777777" w:rsidR="00FB0DF5" w:rsidRPr="00466657" w:rsidRDefault="00FB0DF5" w:rsidP="004C6ED0">
            <w:pPr>
              <w:rPr>
                <w:sz w:val="21"/>
                <w:szCs w:val="21"/>
              </w:rPr>
            </w:pPr>
            <w:r w:rsidRPr="00466657">
              <w:rPr>
                <w:rFonts w:hint="eastAsia"/>
                <w:sz w:val="21"/>
                <w:szCs w:val="21"/>
              </w:rPr>
              <w:t>FACS2</w:t>
            </w:r>
          </w:p>
        </w:tc>
        <w:tc>
          <w:tcPr>
            <w:tcW w:w="1163" w:type="dxa"/>
          </w:tcPr>
          <w:p w14:paraId="6CFD6E0E" w14:textId="77777777" w:rsidR="00FB0DF5" w:rsidRPr="00466657" w:rsidRDefault="00FB0DF5" w:rsidP="004C6ED0">
            <w:pPr>
              <w:jc w:val="center"/>
              <w:rPr>
                <w:sz w:val="21"/>
                <w:szCs w:val="21"/>
              </w:rPr>
            </w:pPr>
            <w:r w:rsidRPr="00466657">
              <w:rPr>
                <w:rFonts w:hint="eastAsia"/>
                <w:sz w:val="21"/>
                <w:szCs w:val="21"/>
              </w:rPr>
              <w:t>0.4</w:t>
            </w:r>
          </w:p>
        </w:tc>
        <w:tc>
          <w:tcPr>
            <w:tcW w:w="1163" w:type="dxa"/>
          </w:tcPr>
          <w:p w14:paraId="51740B9E" w14:textId="77777777" w:rsidR="00FB0DF5" w:rsidRPr="00466657" w:rsidRDefault="00FB0DF5" w:rsidP="004C6ED0">
            <w:pPr>
              <w:jc w:val="center"/>
              <w:rPr>
                <w:sz w:val="21"/>
                <w:szCs w:val="21"/>
              </w:rPr>
            </w:pPr>
            <w:r w:rsidRPr="00466657">
              <w:rPr>
                <w:rFonts w:hint="eastAsia"/>
                <w:sz w:val="21"/>
                <w:szCs w:val="21"/>
              </w:rPr>
              <w:t>0.1</w:t>
            </w:r>
          </w:p>
        </w:tc>
        <w:tc>
          <w:tcPr>
            <w:tcW w:w="874" w:type="dxa"/>
          </w:tcPr>
          <w:p w14:paraId="6BEE820A" w14:textId="77777777" w:rsidR="00FB0DF5" w:rsidRPr="00466657" w:rsidRDefault="00FB0DF5" w:rsidP="004C6ED0">
            <w:pPr>
              <w:jc w:val="center"/>
              <w:rPr>
                <w:sz w:val="21"/>
                <w:szCs w:val="21"/>
              </w:rPr>
            </w:pPr>
            <w:r w:rsidRPr="00466657">
              <w:rPr>
                <w:rFonts w:hint="eastAsia"/>
                <w:sz w:val="21"/>
                <w:szCs w:val="21"/>
              </w:rPr>
              <w:t>0.02</w:t>
            </w:r>
          </w:p>
        </w:tc>
        <w:tc>
          <w:tcPr>
            <w:tcW w:w="337" w:type="dxa"/>
          </w:tcPr>
          <w:p w14:paraId="37FFAB13" w14:textId="77777777" w:rsidR="00FB0DF5" w:rsidRPr="00466657" w:rsidRDefault="00FB0DF5" w:rsidP="004C6ED0">
            <w:pPr>
              <w:jc w:val="center"/>
              <w:rPr>
                <w:sz w:val="21"/>
                <w:szCs w:val="21"/>
              </w:rPr>
            </w:pPr>
            <w:r w:rsidRPr="00466657">
              <w:rPr>
                <w:sz w:val="21"/>
                <w:szCs w:val="21"/>
              </w:rPr>
              <w:t>0.02</w:t>
            </w:r>
          </w:p>
        </w:tc>
        <w:tc>
          <w:tcPr>
            <w:tcW w:w="797" w:type="dxa"/>
          </w:tcPr>
          <w:p w14:paraId="6652D20A" w14:textId="77777777" w:rsidR="00FB0DF5" w:rsidRPr="00466657" w:rsidRDefault="00FB0DF5" w:rsidP="004C6ED0">
            <w:pPr>
              <w:jc w:val="center"/>
              <w:rPr>
                <w:sz w:val="21"/>
                <w:szCs w:val="21"/>
              </w:rPr>
            </w:pPr>
            <w:r w:rsidRPr="00466657">
              <w:rPr>
                <w:rFonts w:hint="eastAsia"/>
                <w:sz w:val="21"/>
                <w:szCs w:val="21"/>
              </w:rPr>
              <w:t>0.02</w:t>
            </w:r>
          </w:p>
        </w:tc>
        <w:tc>
          <w:tcPr>
            <w:tcW w:w="1283" w:type="dxa"/>
          </w:tcPr>
          <w:p w14:paraId="1250B72E" w14:textId="77777777" w:rsidR="00FB0DF5" w:rsidRPr="00466657" w:rsidRDefault="00FB0DF5" w:rsidP="004C6ED0">
            <w:pPr>
              <w:jc w:val="center"/>
              <w:rPr>
                <w:sz w:val="21"/>
                <w:szCs w:val="21"/>
              </w:rPr>
            </w:pPr>
            <w:r w:rsidRPr="00466657">
              <w:rPr>
                <w:rFonts w:hint="eastAsia"/>
                <w:sz w:val="21"/>
                <w:szCs w:val="21"/>
              </w:rPr>
              <w:t>0.02</w:t>
            </w:r>
          </w:p>
        </w:tc>
        <w:tc>
          <w:tcPr>
            <w:tcW w:w="797" w:type="dxa"/>
          </w:tcPr>
          <w:p w14:paraId="3D90289E" w14:textId="77777777" w:rsidR="00FB0DF5" w:rsidRPr="00466657" w:rsidRDefault="00FB0DF5" w:rsidP="004C6ED0">
            <w:pPr>
              <w:jc w:val="center"/>
              <w:rPr>
                <w:sz w:val="21"/>
                <w:szCs w:val="21"/>
              </w:rPr>
            </w:pPr>
            <w:r w:rsidRPr="00466657">
              <w:rPr>
                <w:rFonts w:hint="eastAsia"/>
                <w:sz w:val="21"/>
                <w:szCs w:val="21"/>
              </w:rPr>
              <w:t>0.02</w:t>
            </w:r>
          </w:p>
        </w:tc>
        <w:tc>
          <w:tcPr>
            <w:tcW w:w="1283" w:type="dxa"/>
          </w:tcPr>
          <w:p w14:paraId="5E73051F" w14:textId="77777777" w:rsidR="00FB0DF5" w:rsidRPr="00466657" w:rsidRDefault="00FB0DF5" w:rsidP="004C6ED0">
            <w:pPr>
              <w:jc w:val="center"/>
              <w:rPr>
                <w:sz w:val="21"/>
                <w:szCs w:val="21"/>
              </w:rPr>
            </w:pPr>
            <w:r w:rsidRPr="00466657">
              <w:rPr>
                <w:rFonts w:hint="eastAsia"/>
                <w:sz w:val="21"/>
                <w:szCs w:val="21"/>
              </w:rPr>
              <w:t>0.1</w:t>
            </w:r>
          </w:p>
        </w:tc>
        <w:tc>
          <w:tcPr>
            <w:tcW w:w="667" w:type="dxa"/>
          </w:tcPr>
          <w:p w14:paraId="7D985A4A" w14:textId="77777777" w:rsidR="00FB0DF5" w:rsidRPr="00466657" w:rsidRDefault="00FB0DF5" w:rsidP="004C6ED0">
            <w:pPr>
              <w:jc w:val="center"/>
              <w:rPr>
                <w:sz w:val="21"/>
                <w:szCs w:val="21"/>
              </w:rPr>
            </w:pPr>
            <w:r w:rsidRPr="00466657">
              <w:rPr>
                <w:rFonts w:hint="eastAsia"/>
                <w:sz w:val="21"/>
                <w:szCs w:val="21"/>
              </w:rPr>
              <w:t>0.3</w:t>
            </w:r>
          </w:p>
        </w:tc>
      </w:tr>
    </w:tbl>
    <w:p w14:paraId="405CE491" w14:textId="77777777" w:rsidR="00FB0DF5" w:rsidRPr="00EE769E" w:rsidRDefault="00FB0DF5" w:rsidP="00FB0DF5">
      <w:pPr>
        <w:spacing w:line="480" w:lineRule="auto"/>
        <w:rPr>
          <w:iCs/>
        </w:rPr>
      </w:pPr>
    </w:p>
    <w:p w14:paraId="46B9776D" w14:textId="04FCE96B" w:rsidR="00FB0DF5" w:rsidRPr="00910E4A" w:rsidRDefault="00FB0DF5" w:rsidP="00FB0DF5">
      <w:pPr>
        <w:spacing w:line="480" w:lineRule="auto"/>
        <w:rPr>
          <w:rFonts w:ascii="SimSun" w:eastAsia="SimSun" w:hAnsi="SimSun" w:cs="SimSun"/>
        </w:rPr>
      </w:pPr>
      <w:r w:rsidRPr="00972B0E">
        <w:rPr>
          <w:iCs/>
        </w:rPr>
        <w:t xml:space="preserve">When we use </w:t>
      </w:r>
      <w:r>
        <w:rPr>
          <w:rFonts w:hint="eastAsia"/>
          <w:iCs/>
        </w:rPr>
        <w:t>“</w:t>
      </w:r>
      <w:r w:rsidRPr="00972B0E">
        <w:rPr>
          <w:iCs/>
        </w:rPr>
        <w:t>FACS1</w:t>
      </w:r>
      <w:r>
        <w:rPr>
          <w:rFonts w:hint="eastAsia"/>
          <w:iCs/>
        </w:rPr>
        <w:t>”</w:t>
      </w:r>
      <w:r w:rsidRPr="00972B0E">
        <w:rPr>
          <w:iCs/>
        </w:rPr>
        <w:t xml:space="preserve"> to predict </w:t>
      </w:r>
      <w:r>
        <w:rPr>
          <w:rFonts w:hint="eastAsia"/>
          <w:iCs/>
        </w:rPr>
        <w:t>“</w:t>
      </w:r>
      <w:r w:rsidRPr="00972B0E">
        <w:rPr>
          <w:iCs/>
        </w:rPr>
        <w:t>FACS2</w:t>
      </w:r>
      <w:r>
        <w:rPr>
          <w:iCs/>
        </w:rPr>
        <w:t>”</w:t>
      </w:r>
      <w:r>
        <w:rPr>
          <w:rFonts w:hint="eastAsia"/>
          <w:iCs/>
        </w:rPr>
        <w:t>,</w:t>
      </w:r>
      <w:r w:rsidRPr="00972B0E">
        <w:rPr>
          <w:iCs/>
        </w:rPr>
        <w:t xml:space="preserve"> </w:t>
      </w:r>
      <w:r>
        <w:rPr>
          <w:rFonts w:hint="eastAsia"/>
          <w:iCs/>
        </w:rPr>
        <w:t>i</w:t>
      </w:r>
      <w:r w:rsidRPr="00910E4A">
        <w:rPr>
          <w:iCs/>
        </w:rPr>
        <w:t xml:space="preserve">n this extreme case of highly imbalanced and dissimilar cell proportions, </w:t>
      </w:r>
      <w:r>
        <w:rPr>
          <w:iCs/>
        </w:rPr>
        <w:t>the</w:t>
      </w:r>
      <w:r w:rsidRPr="00910E4A">
        <w:rPr>
          <w:iCs/>
        </w:rPr>
        <w:t xml:space="preserve"> MLP model get</w:t>
      </w:r>
      <w:r w:rsidR="00AE37F8">
        <w:rPr>
          <w:rFonts w:hint="eastAsia"/>
          <w:iCs/>
        </w:rPr>
        <w:t>s</w:t>
      </w:r>
      <w:r w:rsidRPr="00910E4A">
        <w:rPr>
          <w:iCs/>
        </w:rPr>
        <w:t xml:space="preserve"> most of the cells with accuracy around 0.84</w:t>
      </w:r>
      <w:r>
        <w:rPr>
          <w:rFonts w:ascii="SimSun" w:eastAsia="SimSun" w:hAnsi="SimSun" w:cs="SimSun"/>
          <w:iCs/>
        </w:rPr>
        <w:t xml:space="preserve">. </w:t>
      </w:r>
      <w:r w:rsidRPr="00972B0E">
        <w:rPr>
          <w:iCs/>
        </w:rPr>
        <w:t>Figure S3</w:t>
      </w:r>
      <w:r>
        <w:rPr>
          <w:rFonts w:hint="eastAsia"/>
          <w:iCs/>
        </w:rPr>
        <w:t>.A</w:t>
      </w:r>
      <w:r w:rsidRPr="00972B0E">
        <w:rPr>
          <w:iCs/>
        </w:rPr>
        <w:t xml:space="preserve"> explains that the difficulty in classification indeed exists, as we anticipated, within the two subtypes of CD8 T cells.</w:t>
      </w:r>
      <w:r>
        <w:rPr>
          <w:rFonts w:hint="eastAsia"/>
          <w:iCs/>
        </w:rPr>
        <w:t xml:space="preserve"> I</w:t>
      </w:r>
      <w:r w:rsidRPr="00910E4A">
        <w:rPr>
          <w:iCs/>
        </w:rPr>
        <w:t xml:space="preserve">t becomes evident that approximately one-third of cytotoxic </w:t>
      </w:r>
      <w:r>
        <w:rPr>
          <w:iCs/>
        </w:rPr>
        <w:t xml:space="preserve">T </w:t>
      </w:r>
      <w:r w:rsidRPr="00910E4A">
        <w:rPr>
          <w:iCs/>
        </w:rPr>
        <w:t xml:space="preserve">cells </w:t>
      </w:r>
      <w:r>
        <w:rPr>
          <w:iCs/>
        </w:rPr>
        <w:t>are</w:t>
      </w:r>
      <w:r w:rsidRPr="00910E4A">
        <w:rPr>
          <w:iCs/>
        </w:rPr>
        <w:t xml:space="preserve"> erroneously categorized </w:t>
      </w:r>
      <w:r>
        <w:rPr>
          <w:iCs/>
        </w:rPr>
        <w:t xml:space="preserve">as </w:t>
      </w:r>
      <w:r w:rsidRPr="00910E4A">
        <w:rPr>
          <w:iCs/>
        </w:rPr>
        <w:t xml:space="preserve">naive cytotoxic </w:t>
      </w:r>
      <w:r>
        <w:rPr>
          <w:iCs/>
        </w:rPr>
        <w:t xml:space="preserve">T </w:t>
      </w:r>
      <w:r w:rsidRPr="00910E4A">
        <w:rPr>
          <w:iCs/>
        </w:rPr>
        <w:t>cells which have similar profile.</w:t>
      </w:r>
      <w:r>
        <w:rPr>
          <w:rFonts w:hint="eastAsia"/>
          <w:iCs/>
        </w:rPr>
        <w:t xml:space="preserve"> </w:t>
      </w:r>
      <w:r w:rsidRPr="004E6E30">
        <w:rPr>
          <w:iCs/>
        </w:rPr>
        <w:t xml:space="preserve">If we utilize TORC to construct the reference, whether based on </w:t>
      </w:r>
      <w:r>
        <w:rPr>
          <w:iCs/>
        </w:rPr>
        <w:t>cell-type</w:t>
      </w:r>
      <w:r w:rsidRPr="004E6E30">
        <w:rPr>
          <w:iCs/>
        </w:rPr>
        <w:t xml:space="preserve"> composition </w:t>
      </w:r>
      <m:oMath>
        <m:sSup>
          <m:sSupPr>
            <m:ctrlPr>
              <w:rPr>
                <w:rFonts w:ascii="Cambria Math" w:hAnsi="Cambria Math"/>
                <w:i/>
              </w:rPr>
            </m:ctrlPr>
          </m:sSupPr>
          <m:e>
            <m:r>
              <w:rPr>
                <w:rFonts w:ascii="Cambria Math" w:hAnsi="Cambria Math"/>
              </w:rPr>
              <m:t>P</m:t>
            </m:r>
          </m:e>
          <m:sup>
            <m:r>
              <w:rPr>
                <w:rFonts w:ascii="Cambria Math" w:hAnsi="Cambria Math"/>
              </w:rPr>
              <m:t>T</m:t>
            </m:r>
          </m:sup>
        </m:sSup>
      </m:oMath>
      <w:r>
        <w:rPr>
          <w:rFonts w:hint="eastAsia"/>
        </w:rPr>
        <w:t xml:space="preserve"> </w:t>
      </w:r>
      <w:r w:rsidRPr="004E6E30">
        <w:rPr>
          <w:iCs/>
        </w:rPr>
        <w:t xml:space="preserve">or estimated </w:t>
      </w:r>
      <w:r w:rsidRPr="004E6E30">
        <w:rPr>
          <w:iCs/>
        </w:rPr>
        <w:lastRenderedPageBreak/>
        <w:t>values</w:t>
      </w:r>
      <w:r>
        <w:rPr>
          <w:rFonts w:hint="eastAsia"/>
          <w:iCs/>
        </w:rPr>
        <w:t xml:space="preserve"> </w:t>
      </w:r>
      <m:oMath>
        <m:acc>
          <m:accPr>
            <m:ctrlPr>
              <w:rPr>
                <w:rFonts w:ascii="Cambria Math" w:hAnsi="Cambria Math"/>
                <w:i/>
              </w:rPr>
            </m:ctrlPr>
          </m:accPr>
          <m:e>
            <m:sSup>
              <m:sSupPr>
                <m:ctrlPr>
                  <w:rPr>
                    <w:rFonts w:ascii="Cambria Math" w:hAnsi="Cambria Math"/>
                    <w:i/>
                  </w:rPr>
                </m:ctrlPr>
              </m:sSupPr>
              <m:e>
                <m:r>
                  <w:rPr>
                    <w:rFonts w:ascii="Cambria Math" w:hAnsi="Cambria Math"/>
                  </w:rPr>
                  <m:t>P</m:t>
                </m:r>
              </m:e>
              <m:sup>
                <m:r>
                  <w:rPr>
                    <w:rFonts w:ascii="Cambria Math" w:hAnsi="Cambria Math"/>
                  </w:rPr>
                  <m:t>T</m:t>
                </m:r>
              </m:sup>
            </m:sSup>
          </m:e>
        </m:acc>
      </m:oMath>
      <w:r w:rsidRPr="00972B0E">
        <w:rPr>
          <w:iCs/>
        </w:rPr>
        <w:t>,</w:t>
      </w:r>
      <w:r>
        <w:rPr>
          <w:rFonts w:hint="eastAsia"/>
          <w:iCs/>
        </w:rPr>
        <w:t xml:space="preserve"> </w:t>
      </w:r>
      <w:r w:rsidRPr="004E6E30">
        <w:rPr>
          <w:iCs/>
        </w:rPr>
        <w:t>we can observe a significant improvement in the reduction of misclassifications</w:t>
      </w:r>
      <w:r>
        <w:rPr>
          <w:rFonts w:hint="eastAsia"/>
          <w:iCs/>
        </w:rPr>
        <w:t xml:space="preserve"> (</w:t>
      </w:r>
      <w:r w:rsidRPr="00972B0E">
        <w:rPr>
          <w:iCs/>
        </w:rPr>
        <w:t>Figure S3</w:t>
      </w:r>
      <w:r>
        <w:rPr>
          <w:rFonts w:hint="eastAsia"/>
          <w:iCs/>
        </w:rPr>
        <w:t xml:space="preserve">.B, </w:t>
      </w:r>
      <w:r w:rsidRPr="00972B0E">
        <w:rPr>
          <w:iCs/>
        </w:rPr>
        <w:t>Figure S3</w:t>
      </w:r>
      <w:r>
        <w:rPr>
          <w:rFonts w:hint="eastAsia"/>
          <w:iCs/>
        </w:rPr>
        <w:t>.C)</w:t>
      </w:r>
      <w:r w:rsidRPr="004E6E30">
        <w:rPr>
          <w:iCs/>
        </w:rPr>
        <w:t>.</w:t>
      </w:r>
      <w:r w:rsidRPr="00910E4A">
        <w:t xml:space="preserve"> </w:t>
      </w:r>
      <w:r>
        <w:rPr>
          <w:rFonts w:hint="eastAsia"/>
        </w:rPr>
        <w:t>O</w:t>
      </w:r>
      <w:r w:rsidRPr="00910E4A">
        <w:t xml:space="preserve">nly less than 8% of cytotoxic </w:t>
      </w:r>
      <w:r>
        <w:t xml:space="preserve">T </w:t>
      </w:r>
      <w:r w:rsidRPr="00910E4A">
        <w:t>cells are misclassified</w:t>
      </w:r>
      <w:r w:rsidR="00AE37F8">
        <w:rPr>
          <w:rFonts w:ascii="SimSun" w:eastAsia="SimSun" w:hAnsi="SimSun" w:cs="SimSun" w:hint="eastAsia"/>
        </w:rPr>
        <w:t xml:space="preserve">. </w:t>
      </w:r>
      <w:r w:rsidRPr="00910E4A">
        <w:rPr>
          <w:iCs/>
        </w:rPr>
        <w:t>On one hand, the higher the accuracy of initial predictions, the greater the likelihood of achieving better results in the second round. On the other hand, this improvement also encounters a saturation point. Even without precise prior information, we can still achieve satisfactory improvements in predictions by using the estimate.</w:t>
      </w:r>
    </w:p>
    <w:p w14:paraId="542767E3" w14:textId="77777777" w:rsidR="00FB0DF5" w:rsidRDefault="00FB0DF5" w:rsidP="00FB0DF5">
      <w:r>
        <w:rPr>
          <w:noProof/>
          <w14:ligatures w14:val="standardContextual"/>
        </w:rPr>
        <w:drawing>
          <wp:inline distT="0" distB="0" distL="0" distR="0" wp14:anchorId="648D3E20" wp14:editId="19952CBE">
            <wp:extent cx="5943600" cy="2344420"/>
            <wp:effectExtent l="0" t="0" r="0" b="5080"/>
            <wp:docPr id="11416065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6539" name="Picture 1141606539"/>
                    <pic:cNvPicPr/>
                  </pic:nvPicPr>
                  <pic:blipFill>
                    <a:blip r:embed="rId19">
                      <a:extLst>
                        <a:ext uri="{28A0092B-C50C-407E-A947-70E740481C1C}">
                          <a14:useLocalDpi xmlns:a14="http://schemas.microsoft.com/office/drawing/2010/main" val="0"/>
                        </a:ext>
                      </a:extLst>
                    </a:blip>
                    <a:stretch>
                      <a:fillRect/>
                    </a:stretch>
                  </pic:blipFill>
                  <pic:spPr>
                    <a:xfrm>
                      <a:off x="0" y="0"/>
                      <a:ext cx="5943600" cy="2344420"/>
                    </a:xfrm>
                    <a:prstGeom prst="rect">
                      <a:avLst/>
                    </a:prstGeom>
                  </pic:spPr>
                </pic:pic>
              </a:graphicData>
            </a:graphic>
          </wp:inline>
        </w:drawing>
      </w:r>
    </w:p>
    <w:p w14:paraId="06C960C3" w14:textId="77777777" w:rsidR="00FB0DF5" w:rsidRPr="008B6067" w:rsidRDefault="00FB0DF5" w:rsidP="00FB0DF5">
      <w:r>
        <w:rPr>
          <w:rFonts w:hint="eastAsia"/>
        </w:rPr>
        <w:t>Figure S3: The</w:t>
      </w:r>
      <w:r w:rsidRPr="00A67C59">
        <w:t xml:space="preserve"> </w:t>
      </w:r>
      <w:r>
        <w:t>alluvial</w:t>
      </w:r>
      <w:r>
        <w:rPr>
          <w:rFonts w:hint="eastAsia"/>
        </w:rPr>
        <w:t xml:space="preserve"> plots</w:t>
      </w:r>
      <w:r w:rsidRPr="00A67C59">
        <w:t xml:space="preserve"> </w:t>
      </w:r>
      <w:r>
        <w:rPr>
          <w:rFonts w:hint="eastAsia"/>
        </w:rPr>
        <w:t xml:space="preserve">visualize the clusters of </w:t>
      </w:r>
      <w:r>
        <w:t>“</w:t>
      </w:r>
      <w:r>
        <w:rPr>
          <w:rFonts w:hint="eastAsia"/>
        </w:rPr>
        <w:t>FACS2</w:t>
      </w:r>
      <w:r>
        <w:t>”</w:t>
      </w:r>
      <w:r>
        <w:rPr>
          <w:rFonts w:hint="eastAsia"/>
        </w:rPr>
        <w:t xml:space="preserve">. (A) When taking </w:t>
      </w:r>
      <w:r>
        <w:t>“</w:t>
      </w:r>
      <w:r>
        <w:rPr>
          <w:rFonts w:hint="eastAsia"/>
        </w:rPr>
        <w:t>FACS1</w:t>
      </w:r>
      <w:r>
        <w:t>”</w:t>
      </w:r>
      <w:r>
        <w:rPr>
          <w:rFonts w:hint="eastAsia"/>
        </w:rPr>
        <w:t xml:space="preserve"> as reference, since the odds of </w:t>
      </w:r>
      <w:r w:rsidRPr="00AB358B">
        <w:t xml:space="preserve">cytotoxic T </w:t>
      </w:r>
      <w:r>
        <w:rPr>
          <w:rFonts w:hint="eastAsia"/>
        </w:rPr>
        <w:t xml:space="preserve">cells </w:t>
      </w:r>
      <w:r w:rsidRPr="00AB358B">
        <w:t>and naive cytotoxic T cells</w:t>
      </w:r>
      <w:r w:rsidRPr="00AB358B">
        <w:rPr>
          <w:rFonts w:hint="eastAsia"/>
        </w:rPr>
        <w:t xml:space="preserve"> </w:t>
      </w:r>
      <w:r>
        <w:rPr>
          <w:rFonts w:hint="eastAsia"/>
        </w:rPr>
        <w:t>are extremely differen</w:t>
      </w:r>
      <w:r>
        <w:t>t</w:t>
      </w:r>
      <w:r>
        <w:rPr>
          <w:rFonts w:hint="eastAsia"/>
        </w:rPr>
        <w:t xml:space="preserve"> in reference and target, th</w:t>
      </w:r>
      <w:r>
        <w:t>e MLP struggles to accurately identify cytotoxic T cells in the targe</w:t>
      </w:r>
      <w:r>
        <w:rPr>
          <w:rFonts w:hint="eastAsia"/>
        </w:rPr>
        <w:t>t</w:t>
      </w:r>
      <w:r>
        <w:t>.</w:t>
      </w:r>
      <w:r>
        <w:rPr>
          <w:rFonts w:hint="eastAsia"/>
        </w:rPr>
        <w:t xml:space="preserve"> </w:t>
      </w:r>
      <w:r>
        <w:t>W</w:t>
      </w:r>
      <w:r>
        <w:rPr>
          <w:rFonts w:hint="eastAsia"/>
        </w:rPr>
        <w:t xml:space="preserve">hile when using TORC constructed reference </w:t>
      </w:r>
      <w:r>
        <w:t>according</w:t>
      </w:r>
      <w:r>
        <w:rPr>
          <w:rFonts w:hint="eastAsia"/>
        </w:rPr>
        <w:t xml:space="preserve"> to (B) true cell-type composition of target </w:t>
      </w:r>
      <m:oMath>
        <m:sSup>
          <m:sSupPr>
            <m:ctrlPr>
              <w:rPr>
                <w:rFonts w:ascii="Cambria Math" w:hAnsi="Cambria Math"/>
                <w:i/>
              </w:rPr>
            </m:ctrlPr>
          </m:sSupPr>
          <m:e>
            <m:r>
              <w:rPr>
                <w:rFonts w:ascii="Cambria Math" w:hAnsi="Cambria Math"/>
              </w:rPr>
              <m:t>P</m:t>
            </m:r>
          </m:e>
          <m:sup>
            <m:r>
              <w:rPr>
                <w:rFonts w:ascii="Cambria Math" w:hAnsi="Cambria Math"/>
              </w:rPr>
              <m:t>T</m:t>
            </m:r>
          </m:sup>
        </m:sSup>
      </m:oMath>
      <w:r>
        <w:rPr>
          <w:rFonts w:hint="eastAsia"/>
        </w:rPr>
        <w:t xml:space="preserve"> or (C) the </w:t>
      </w:r>
      <w:r>
        <w:t>estimate</w:t>
      </w:r>
      <w:r>
        <w:rPr>
          <w:rFonts w:hint="eastAsia"/>
        </w:rPr>
        <w:t xml:space="preserve"> </w:t>
      </w:r>
      <m:oMath>
        <m:acc>
          <m:accPr>
            <m:ctrlPr>
              <w:rPr>
                <w:rFonts w:ascii="Cambria Math" w:hAnsi="Cambria Math"/>
                <w:i/>
              </w:rPr>
            </m:ctrlPr>
          </m:accPr>
          <m:e>
            <m:sSup>
              <m:sSupPr>
                <m:ctrlPr>
                  <w:rPr>
                    <w:rFonts w:ascii="Cambria Math" w:hAnsi="Cambria Math"/>
                    <w:i/>
                  </w:rPr>
                </m:ctrlPr>
              </m:sSupPr>
              <m:e>
                <m:r>
                  <w:rPr>
                    <w:rFonts w:ascii="Cambria Math" w:hAnsi="Cambria Math"/>
                  </w:rPr>
                  <m:t>P</m:t>
                </m:r>
              </m:e>
              <m:sup>
                <m:r>
                  <w:rPr>
                    <w:rFonts w:ascii="Cambria Math" w:hAnsi="Cambria Math"/>
                  </w:rPr>
                  <m:t>T</m:t>
                </m:r>
              </m:sup>
            </m:sSup>
          </m:e>
        </m:acc>
        <m:r>
          <w:rPr>
            <w:rFonts w:ascii="Cambria Math" w:hAnsi="Cambria Math"/>
          </w:rPr>
          <m:t>,</m:t>
        </m:r>
      </m:oMath>
      <w:r>
        <w:rPr>
          <w:rFonts w:hint="eastAsia"/>
        </w:rPr>
        <w:t xml:space="preserve"> the </w:t>
      </w:r>
      <w:r>
        <w:t>accuracy of identifying cytotoxic T cells has significantly improved, although there is a trade-off involving some naive cytotoxic T cells.</w:t>
      </w:r>
    </w:p>
    <w:p w14:paraId="7691BE87" w14:textId="77777777" w:rsidR="00FB0DF5" w:rsidRDefault="00FB0DF5" w:rsidP="00FB0DF5">
      <w:pPr>
        <w:spacing w:line="480" w:lineRule="auto"/>
        <w:rPr>
          <w:iCs/>
        </w:rPr>
      </w:pPr>
    </w:p>
    <w:p w14:paraId="504728E5" w14:textId="77777777" w:rsidR="00FB0DF5" w:rsidRDefault="00FB0DF5" w:rsidP="00FB0DF5">
      <w:pPr>
        <w:spacing w:line="480" w:lineRule="auto"/>
        <w:rPr>
          <w:iCs/>
        </w:rPr>
      </w:pPr>
      <w:r w:rsidRPr="00EE769E">
        <w:rPr>
          <w:iCs/>
        </w:rPr>
        <w:t xml:space="preserve">Since </w:t>
      </w:r>
      <w:r>
        <w:rPr>
          <w:iCs/>
        </w:rPr>
        <w:t>“</w:t>
      </w:r>
      <w:r w:rsidRPr="00EE769E">
        <w:rPr>
          <w:iCs/>
        </w:rPr>
        <w:t>FACS1</w:t>
      </w:r>
      <w:r>
        <w:rPr>
          <w:iCs/>
        </w:rPr>
        <w:t>”</w:t>
      </w:r>
      <w:r w:rsidRPr="00EE769E">
        <w:rPr>
          <w:iCs/>
        </w:rPr>
        <w:t xml:space="preserve"> and </w:t>
      </w:r>
      <w:r>
        <w:rPr>
          <w:iCs/>
        </w:rPr>
        <w:t>“</w:t>
      </w:r>
      <w:r w:rsidRPr="00EE769E">
        <w:rPr>
          <w:iCs/>
        </w:rPr>
        <w:t>FACS2</w:t>
      </w:r>
      <w:r>
        <w:rPr>
          <w:iCs/>
        </w:rPr>
        <w:t>”</w:t>
      </w:r>
      <w:r w:rsidRPr="00EE769E">
        <w:rPr>
          <w:iCs/>
        </w:rPr>
        <w:t xml:space="preserve"> are artificial examples that may not represent real-world data analysis scenarios, we partition the reference and target from the </w:t>
      </w:r>
      <w:r>
        <w:rPr>
          <w:rFonts w:hint="eastAsia"/>
          <w:iCs/>
        </w:rPr>
        <w:t>“</w:t>
      </w:r>
      <w:r w:rsidRPr="00EE769E">
        <w:rPr>
          <w:iCs/>
        </w:rPr>
        <w:t>Covid CN</w:t>
      </w:r>
      <w:r>
        <w:rPr>
          <w:rFonts w:hint="eastAsia"/>
          <w:iCs/>
        </w:rPr>
        <w:t>”</w:t>
      </w:r>
      <w:r w:rsidRPr="00EE769E">
        <w:rPr>
          <w:iCs/>
        </w:rPr>
        <w:t xml:space="preserve"> dataset based on sample IDs.</w:t>
      </w:r>
      <w:r>
        <w:rPr>
          <w:rFonts w:hint="eastAsia"/>
          <w:iCs/>
        </w:rPr>
        <w:t xml:space="preserve"> </w:t>
      </w:r>
      <w:r>
        <w:rPr>
          <w:iCs/>
        </w:rPr>
        <w:t>“</w:t>
      </w:r>
      <w:r>
        <w:rPr>
          <w:rFonts w:hint="eastAsia"/>
          <w:iCs/>
        </w:rPr>
        <w:t>Covid CN1</w:t>
      </w:r>
      <w:r>
        <w:rPr>
          <w:iCs/>
        </w:rPr>
        <w:t>”</w:t>
      </w:r>
      <w:r>
        <w:rPr>
          <w:rFonts w:hint="eastAsia"/>
          <w:iCs/>
        </w:rPr>
        <w:t xml:space="preserve"> </w:t>
      </w:r>
      <w:r w:rsidRPr="00EE769E">
        <w:rPr>
          <w:iCs/>
        </w:rPr>
        <w:t>encompasses</w:t>
      </w:r>
      <w:r>
        <w:rPr>
          <w:rFonts w:hint="eastAsia"/>
          <w:iCs/>
        </w:rPr>
        <w:t xml:space="preserve"> the following samples: </w:t>
      </w:r>
      <w:r w:rsidRPr="00EE769E">
        <w:rPr>
          <w:iCs/>
        </w:rPr>
        <w:t>S-S085-2,</w:t>
      </w:r>
      <w:r>
        <w:rPr>
          <w:rFonts w:hint="eastAsia"/>
          <w:iCs/>
        </w:rPr>
        <w:t xml:space="preserve"> </w:t>
      </w:r>
      <w:r w:rsidRPr="00EE769E">
        <w:rPr>
          <w:iCs/>
        </w:rPr>
        <w:t>S-S092,</w:t>
      </w:r>
      <w:r>
        <w:rPr>
          <w:rFonts w:hint="eastAsia"/>
          <w:iCs/>
        </w:rPr>
        <w:t xml:space="preserve"> </w:t>
      </w:r>
      <w:r w:rsidRPr="00EE769E">
        <w:rPr>
          <w:iCs/>
        </w:rPr>
        <w:t>S-S065,</w:t>
      </w:r>
      <w:r>
        <w:rPr>
          <w:rFonts w:hint="eastAsia"/>
          <w:iCs/>
        </w:rPr>
        <w:t xml:space="preserve"> </w:t>
      </w:r>
      <w:r w:rsidRPr="00EE769E">
        <w:rPr>
          <w:iCs/>
        </w:rPr>
        <w:t>S-S049,</w:t>
      </w:r>
      <w:r>
        <w:rPr>
          <w:rFonts w:hint="eastAsia"/>
          <w:iCs/>
        </w:rPr>
        <w:t xml:space="preserve"> </w:t>
      </w:r>
      <w:r w:rsidRPr="00EE769E">
        <w:rPr>
          <w:iCs/>
        </w:rPr>
        <w:t>S-S089-2</w:t>
      </w:r>
      <w:r>
        <w:rPr>
          <w:rFonts w:hint="eastAsia"/>
          <w:iCs/>
        </w:rPr>
        <w:t xml:space="preserve"> while </w:t>
      </w:r>
      <w:r>
        <w:rPr>
          <w:iCs/>
        </w:rPr>
        <w:t>“</w:t>
      </w:r>
      <w:r>
        <w:rPr>
          <w:rFonts w:hint="eastAsia"/>
          <w:iCs/>
        </w:rPr>
        <w:t>Covid CN2</w:t>
      </w:r>
      <w:r>
        <w:rPr>
          <w:iCs/>
        </w:rPr>
        <w:t>”</w:t>
      </w:r>
      <w:r>
        <w:rPr>
          <w:rFonts w:hint="eastAsia"/>
          <w:iCs/>
        </w:rPr>
        <w:t xml:space="preserve"> </w:t>
      </w:r>
      <w:r w:rsidRPr="00EE769E">
        <w:rPr>
          <w:iCs/>
        </w:rPr>
        <w:t>comprises</w:t>
      </w:r>
      <w:r>
        <w:rPr>
          <w:rFonts w:hint="eastAsia"/>
          <w:iCs/>
        </w:rPr>
        <w:t xml:space="preserve"> only one sample: </w:t>
      </w:r>
      <w:r w:rsidRPr="00EE769E">
        <w:rPr>
          <w:iCs/>
        </w:rPr>
        <w:t>S-S053</w:t>
      </w:r>
      <w:r>
        <w:rPr>
          <w:rFonts w:hint="eastAsia"/>
          <w:iCs/>
        </w:rPr>
        <w:t xml:space="preserve">. </w:t>
      </w:r>
      <w:r>
        <w:rPr>
          <w:iCs/>
        </w:rPr>
        <w:t>“</w:t>
      </w:r>
      <w:r>
        <w:rPr>
          <w:rFonts w:hint="eastAsia"/>
          <w:iCs/>
        </w:rPr>
        <w:t>Covid CN1</w:t>
      </w:r>
      <w:r>
        <w:rPr>
          <w:iCs/>
        </w:rPr>
        <w:t>”</w:t>
      </w:r>
      <w:r>
        <w:rPr>
          <w:rFonts w:hint="eastAsia"/>
          <w:iCs/>
        </w:rPr>
        <w:t xml:space="preserve"> will be served as the reference, containing </w:t>
      </w:r>
      <w:r w:rsidRPr="00EE769E">
        <w:rPr>
          <w:iCs/>
        </w:rPr>
        <w:t>52300 cells</w:t>
      </w:r>
      <w:r>
        <w:rPr>
          <w:rFonts w:hint="eastAsia"/>
          <w:iCs/>
        </w:rPr>
        <w:t>,</w:t>
      </w:r>
      <w:r w:rsidRPr="0092259B">
        <w:t xml:space="preserve"> </w:t>
      </w:r>
      <w:r w:rsidRPr="0092259B">
        <w:rPr>
          <w:iCs/>
        </w:rPr>
        <w:t xml:space="preserve">whereas </w:t>
      </w:r>
      <w:r>
        <w:rPr>
          <w:iCs/>
        </w:rPr>
        <w:t>“</w:t>
      </w:r>
      <w:r>
        <w:rPr>
          <w:rFonts w:hint="eastAsia"/>
          <w:iCs/>
        </w:rPr>
        <w:t>Covid CN2</w:t>
      </w:r>
      <w:r>
        <w:rPr>
          <w:iCs/>
        </w:rPr>
        <w:t>”</w:t>
      </w:r>
      <w:r>
        <w:rPr>
          <w:rFonts w:hint="eastAsia"/>
          <w:iCs/>
        </w:rPr>
        <w:t xml:space="preserve"> will be the target, </w:t>
      </w:r>
      <w:r w:rsidRPr="0092259B">
        <w:rPr>
          <w:iCs/>
        </w:rPr>
        <w:t>consisting of</w:t>
      </w:r>
      <w:r>
        <w:rPr>
          <w:rFonts w:hint="eastAsia"/>
          <w:iCs/>
        </w:rPr>
        <w:t xml:space="preserve"> </w:t>
      </w:r>
      <w:r w:rsidRPr="00EE769E">
        <w:rPr>
          <w:iCs/>
        </w:rPr>
        <w:t>18231</w:t>
      </w:r>
      <w:r>
        <w:rPr>
          <w:rFonts w:hint="eastAsia"/>
          <w:iCs/>
        </w:rPr>
        <w:t xml:space="preserve"> cells (Table S</w:t>
      </w:r>
      <w:r>
        <w:rPr>
          <w:iCs/>
        </w:rPr>
        <w:t>4</w:t>
      </w:r>
      <w:r>
        <w:rPr>
          <w:rFonts w:hint="eastAsia"/>
          <w:iCs/>
        </w:rPr>
        <w:t>).</w:t>
      </w:r>
      <w:r w:rsidRPr="00EE769E">
        <w:rPr>
          <w:rFonts w:hint="eastAsia"/>
          <w:iCs/>
        </w:rPr>
        <w:t xml:space="preserve"> </w:t>
      </w:r>
    </w:p>
    <w:p w14:paraId="54F8A9BD" w14:textId="77777777" w:rsidR="00FB0DF5" w:rsidRPr="00EE769E" w:rsidRDefault="00FB0DF5" w:rsidP="00FB0DF5">
      <w:pPr>
        <w:spacing w:line="480" w:lineRule="auto"/>
        <w:rPr>
          <w:iCs/>
        </w:rPr>
      </w:pPr>
    </w:p>
    <w:p w14:paraId="62949B9D" w14:textId="77777777" w:rsidR="00FB0DF5" w:rsidRDefault="00FB0DF5" w:rsidP="00FB0DF5">
      <w:pPr>
        <w:rPr>
          <w:b/>
          <w:bCs/>
        </w:rPr>
      </w:pPr>
      <w:r>
        <w:rPr>
          <w:b/>
          <w:bCs/>
        </w:rPr>
        <w:t>Table</w:t>
      </w:r>
      <w:r>
        <w:rPr>
          <w:rFonts w:hint="eastAsia"/>
          <w:b/>
          <w:bCs/>
        </w:rPr>
        <w:t xml:space="preserve"> S4</w:t>
      </w:r>
      <w:r>
        <w:rPr>
          <w:b/>
          <w:bCs/>
        </w:rPr>
        <w:t xml:space="preserve">: </w:t>
      </w:r>
      <w:r>
        <w:rPr>
          <w:rFonts w:hint="eastAsia"/>
          <w:b/>
          <w:bCs/>
        </w:rPr>
        <w:t xml:space="preserve">Cell-type proportion for reference and target generated from </w:t>
      </w:r>
      <w:r w:rsidRPr="00C536DB">
        <w:rPr>
          <w:b/>
          <w:bCs/>
        </w:rPr>
        <w:t>“</w:t>
      </w:r>
      <w:r>
        <w:rPr>
          <w:rFonts w:hint="eastAsia"/>
          <w:b/>
          <w:bCs/>
        </w:rPr>
        <w:t>Covid CN</w:t>
      </w:r>
      <w:r w:rsidRPr="00C536DB">
        <w:rPr>
          <w:b/>
          <w:bCs/>
        </w:rPr>
        <w:t>”</w:t>
      </w:r>
      <w:r w:rsidRPr="00C536DB">
        <w:rPr>
          <w:rFonts w:hint="eastAsia"/>
          <w:b/>
          <w:bCs/>
        </w:rPr>
        <w:t xml:space="preserve"> </w:t>
      </w:r>
      <w:r w:rsidRPr="00C536DB">
        <w:rPr>
          <w:b/>
          <w:bCs/>
        </w:rPr>
        <w:t>dataset</w:t>
      </w:r>
    </w:p>
    <w:p w14:paraId="7A22BBB6" w14:textId="77777777" w:rsidR="00FB0DF5" w:rsidRPr="00DE1338" w:rsidRDefault="00FB0DF5" w:rsidP="00FB0DF5">
      <w:pPr>
        <w:rPr>
          <w:b/>
          <w:bCs/>
        </w:rPr>
      </w:pPr>
    </w:p>
    <w:tbl>
      <w:tblPr>
        <w:tblStyle w:val="TableGrid"/>
        <w:tblW w:w="0" w:type="auto"/>
        <w:tblLook w:val="04A0" w:firstRow="1" w:lastRow="0" w:firstColumn="1" w:lastColumn="0" w:noHBand="0" w:noVBand="1"/>
      </w:tblPr>
      <w:tblGrid>
        <w:gridCol w:w="1378"/>
        <w:gridCol w:w="698"/>
        <w:gridCol w:w="711"/>
        <w:gridCol w:w="689"/>
        <w:gridCol w:w="1123"/>
        <w:gridCol w:w="1803"/>
        <w:gridCol w:w="1283"/>
        <w:gridCol w:w="724"/>
        <w:gridCol w:w="941"/>
      </w:tblGrid>
      <w:tr w:rsidR="00FB0DF5" w14:paraId="4360E351" w14:textId="77777777" w:rsidTr="004C6ED0">
        <w:tc>
          <w:tcPr>
            <w:tcW w:w="1378" w:type="dxa"/>
          </w:tcPr>
          <w:p w14:paraId="2188219E" w14:textId="77777777" w:rsidR="00FB0DF5" w:rsidRPr="00685070" w:rsidRDefault="00FB0DF5" w:rsidP="004C6ED0">
            <w:pPr>
              <w:rPr>
                <w:b/>
                <w:bCs/>
                <w:sz w:val="21"/>
                <w:szCs w:val="21"/>
              </w:rPr>
            </w:pPr>
          </w:p>
        </w:tc>
        <w:tc>
          <w:tcPr>
            <w:tcW w:w="698" w:type="dxa"/>
          </w:tcPr>
          <w:p w14:paraId="7E7E5E78" w14:textId="77777777" w:rsidR="00FB0DF5" w:rsidRPr="00685070" w:rsidRDefault="00FB0DF5" w:rsidP="004C6ED0">
            <w:pPr>
              <w:jc w:val="center"/>
              <w:rPr>
                <w:b/>
                <w:bCs/>
                <w:sz w:val="21"/>
                <w:szCs w:val="21"/>
              </w:rPr>
            </w:pPr>
            <w:r w:rsidRPr="00685070">
              <w:rPr>
                <w:rFonts w:hint="eastAsia"/>
                <w:sz w:val="21"/>
                <w:szCs w:val="21"/>
              </w:rPr>
              <w:t>B</w:t>
            </w:r>
            <w:r w:rsidRPr="00685070">
              <w:rPr>
                <w:sz w:val="21"/>
                <w:szCs w:val="21"/>
              </w:rPr>
              <w:t xml:space="preserve"> cells</w:t>
            </w:r>
          </w:p>
        </w:tc>
        <w:tc>
          <w:tcPr>
            <w:tcW w:w="711" w:type="dxa"/>
          </w:tcPr>
          <w:p w14:paraId="50FB2B03" w14:textId="77777777" w:rsidR="00FB0DF5" w:rsidRPr="00685070" w:rsidRDefault="00FB0DF5" w:rsidP="004C6ED0">
            <w:pPr>
              <w:jc w:val="center"/>
              <w:rPr>
                <w:b/>
                <w:bCs/>
                <w:sz w:val="21"/>
                <w:szCs w:val="21"/>
              </w:rPr>
            </w:pPr>
            <w:r w:rsidRPr="00685070">
              <w:rPr>
                <w:rFonts w:hint="eastAsia"/>
                <w:sz w:val="21"/>
                <w:szCs w:val="21"/>
              </w:rPr>
              <w:t>CD4</w:t>
            </w:r>
            <w:r w:rsidRPr="00685070">
              <w:rPr>
                <w:sz w:val="21"/>
                <w:szCs w:val="21"/>
              </w:rPr>
              <w:t xml:space="preserve"> T cells</w:t>
            </w:r>
          </w:p>
        </w:tc>
        <w:tc>
          <w:tcPr>
            <w:tcW w:w="689" w:type="dxa"/>
          </w:tcPr>
          <w:p w14:paraId="4EADF106" w14:textId="77777777" w:rsidR="00FB0DF5" w:rsidRPr="00685070" w:rsidRDefault="00FB0DF5" w:rsidP="004C6ED0">
            <w:pPr>
              <w:jc w:val="center"/>
              <w:rPr>
                <w:sz w:val="21"/>
                <w:szCs w:val="21"/>
              </w:rPr>
            </w:pPr>
            <w:r w:rsidRPr="00685070">
              <w:rPr>
                <w:rFonts w:hint="eastAsia"/>
                <w:sz w:val="21"/>
                <w:szCs w:val="21"/>
              </w:rPr>
              <w:t>CD8</w:t>
            </w:r>
            <w:r w:rsidRPr="00685070">
              <w:rPr>
                <w:sz w:val="21"/>
                <w:szCs w:val="21"/>
              </w:rPr>
              <w:t xml:space="preserve"> T cells</w:t>
            </w:r>
          </w:p>
        </w:tc>
        <w:tc>
          <w:tcPr>
            <w:tcW w:w="1123" w:type="dxa"/>
          </w:tcPr>
          <w:p w14:paraId="02045258" w14:textId="77777777" w:rsidR="00FB0DF5" w:rsidRPr="00685070" w:rsidRDefault="00FB0DF5" w:rsidP="004C6ED0">
            <w:pPr>
              <w:jc w:val="center"/>
              <w:rPr>
                <w:sz w:val="21"/>
                <w:szCs w:val="21"/>
              </w:rPr>
            </w:pPr>
            <w:r w:rsidRPr="00685070">
              <w:rPr>
                <w:rFonts w:hint="eastAsia"/>
                <w:sz w:val="21"/>
                <w:szCs w:val="21"/>
              </w:rPr>
              <w:t>Dendritic</w:t>
            </w:r>
            <w:r w:rsidRPr="00685070">
              <w:rPr>
                <w:sz w:val="21"/>
                <w:szCs w:val="21"/>
              </w:rPr>
              <w:t xml:space="preserve"> cells</w:t>
            </w:r>
          </w:p>
        </w:tc>
        <w:tc>
          <w:tcPr>
            <w:tcW w:w="1803" w:type="dxa"/>
          </w:tcPr>
          <w:p w14:paraId="7AD7A14E" w14:textId="77777777" w:rsidR="00FB0DF5" w:rsidRPr="00685070" w:rsidRDefault="00FB0DF5" w:rsidP="004C6ED0">
            <w:pPr>
              <w:jc w:val="center"/>
              <w:rPr>
                <w:sz w:val="21"/>
                <w:szCs w:val="21"/>
              </w:rPr>
            </w:pPr>
            <w:r w:rsidRPr="00685070">
              <w:rPr>
                <w:sz w:val="21"/>
                <w:szCs w:val="21"/>
              </w:rPr>
              <w:t>Megakaryocytes</w:t>
            </w:r>
          </w:p>
        </w:tc>
        <w:tc>
          <w:tcPr>
            <w:tcW w:w="1283" w:type="dxa"/>
          </w:tcPr>
          <w:p w14:paraId="3D54150A" w14:textId="77777777" w:rsidR="00FB0DF5" w:rsidRPr="00685070" w:rsidRDefault="00FB0DF5" w:rsidP="004C6ED0">
            <w:pPr>
              <w:jc w:val="center"/>
              <w:rPr>
                <w:b/>
                <w:bCs/>
                <w:sz w:val="21"/>
                <w:szCs w:val="21"/>
              </w:rPr>
            </w:pPr>
            <w:r w:rsidRPr="00685070">
              <w:rPr>
                <w:rFonts w:hint="eastAsia"/>
                <w:sz w:val="21"/>
                <w:szCs w:val="21"/>
              </w:rPr>
              <w:t>Monocytes</w:t>
            </w:r>
          </w:p>
        </w:tc>
        <w:tc>
          <w:tcPr>
            <w:tcW w:w="724" w:type="dxa"/>
          </w:tcPr>
          <w:p w14:paraId="5DB7FA2C" w14:textId="77777777" w:rsidR="00FB0DF5" w:rsidRPr="00685070" w:rsidRDefault="00FB0DF5" w:rsidP="004C6ED0">
            <w:pPr>
              <w:jc w:val="center"/>
              <w:rPr>
                <w:sz w:val="21"/>
                <w:szCs w:val="21"/>
              </w:rPr>
            </w:pPr>
            <w:r w:rsidRPr="00685070">
              <w:rPr>
                <w:rFonts w:hint="eastAsia"/>
                <w:sz w:val="21"/>
                <w:szCs w:val="21"/>
              </w:rPr>
              <w:t>NK cells</w:t>
            </w:r>
          </w:p>
        </w:tc>
        <w:tc>
          <w:tcPr>
            <w:tcW w:w="941" w:type="dxa"/>
          </w:tcPr>
          <w:p w14:paraId="76054625" w14:textId="77777777" w:rsidR="00FB0DF5" w:rsidRPr="00685070" w:rsidRDefault="00FB0DF5" w:rsidP="004C6ED0">
            <w:pPr>
              <w:jc w:val="center"/>
              <w:rPr>
                <w:b/>
                <w:bCs/>
                <w:sz w:val="21"/>
                <w:szCs w:val="21"/>
              </w:rPr>
            </w:pPr>
            <w:r w:rsidRPr="00685070">
              <w:rPr>
                <w:rFonts w:hint="eastAsia"/>
                <w:sz w:val="21"/>
                <w:szCs w:val="21"/>
              </w:rPr>
              <w:t>Plasma</w:t>
            </w:r>
          </w:p>
        </w:tc>
      </w:tr>
      <w:tr w:rsidR="00FB0DF5" w14:paraId="3345CE23" w14:textId="77777777" w:rsidTr="004C6ED0">
        <w:tc>
          <w:tcPr>
            <w:tcW w:w="1378" w:type="dxa"/>
          </w:tcPr>
          <w:p w14:paraId="76FD6739" w14:textId="77777777" w:rsidR="00FB0DF5" w:rsidRPr="00685070" w:rsidRDefault="00FB0DF5" w:rsidP="004C6ED0">
            <w:pPr>
              <w:rPr>
                <w:sz w:val="21"/>
                <w:szCs w:val="21"/>
              </w:rPr>
            </w:pPr>
            <w:r w:rsidRPr="00685070">
              <w:rPr>
                <w:rFonts w:hint="eastAsia"/>
                <w:sz w:val="21"/>
                <w:szCs w:val="21"/>
              </w:rPr>
              <w:t>Covid CN1</w:t>
            </w:r>
          </w:p>
        </w:tc>
        <w:tc>
          <w:tcPr>
            <w:tcW w:w="698" w:type="dxa"/>
          </w:tcPr>
          <w:p w14:paraId="726DFCE0" w14:textId="77777777" w:rsidR="00FB0DF5" w:rsidRPr="00685070" w:rsidRDefault="00FB0DF5" w:rsidP="004C6ED0">
            <w:pPr>
              <w:jc w:val="center"/>
              <w:rPr>
                <w:sz w:val="21"/>
                <w:szCs w:val="21"/>
              </w:rPr>
            </w:pPr>
            <w:r w:rsidRPr="00685070">
              <w:rPr>
                <w:rFonts w:hint="eastAsia"/>
                <w:sz w:val="21"/>
                <w:szCs w:val="21"/>
              </w:rPr>
              <w:t>0.07</w:t>
            </w:r>
          </w:p>
        </w:tc>
        <w:tc>
          <w:tcPr>
            <w:tcW w:w="711" w:type="dxa"/>
          </w:tcPr>
          <w:p w14:paraId="008B114B" w14:textId="77777777" w:rsidR="00FB0DF5" w:rsidRPr="00685070" w:rsidRDefault="00FB0DF5" w:rsidP="004C6ED0">
            <w:pPr>
              <w:jc w:val="center"/>
              <w:rPr>
                <w:sz w:val="21"/>
                <w:szCs w:val="21"/>
              </w:rPr>
            </w:pPr>
            <w:r w:rsidRPr="00685070">
              <w:rPr>
                <w:rFonts w:hint="eastAsia"/>
                <w:sz w:val="21"/>
                <w:szCs w:val="21"/>
              </w:rPr>
              <w:t>0.14</w:t>
            </w:r>
          </w:p>
        </w:tc>
        <w:tc>
          <w:tcPr>
            <w:tcW w:w="689" w:type="dxa"/>
          </w:tcPr>
          <w:p w14:paraId="72231DB8" w14:textId="77777777" w:rsidR="00FB0DF5" w:rsidRPr="00685070" w:rsidRDefault="00FB0DF5" w:rsidP="004C6ED0">
            <w:pPr>
              <w:jc w:val="center"/>
              <w:rPr>
                <w:sz w:val="21"/>
                <w:szCs w:val="21"/>
              </w:rPr>
            </w:pPr>
            <w:r w:rsidRPr="00685070">
              <w:rPr>
                <w:rFonts w:hint="eastAsia"/>
                <w:sz w:val="21"/>
                <w:szCs w:val="21"/>
              </w:rPr>
              <w:t>0.13</w:t>
            </w:r>
          </w:p>
        </w:tc>
        <w:tc>
          <w:tcPr>
            <w:tcW w:w="1123" w:type="dxa"/>
          </w:tcPr>
          <w:p w14:paraId="483813E1" w14:textId="77777777" w:rsidR="00FB0DF5" w:rsidRPr="00685070" w:rsidRDefault="00FB0DF5" w:rsidP="004C6ED0">
            <w:pPr>
              <w:jc w:val="center"/>
              <w:rPr>
                <w:sz w:val="21"/>
                <w:szCs w:val="21"/>
              </w:rPr>
            </w:pPr>
            <w:r w:rsidRPr="00685070">
              <w:rPr>
                <w:rFonts w:hint="eastAsia"/>
                <w:sz w:val="21"/>
                <w:szCs w:val="21"/>
              </w:rPr>
              <w:t>0.01</w:t>
            </w:r>
          </w:p>
        </w:tc>
        <w:tc>
          <w:tcPr>
            <w:tcW w:w="1803" w:type="dxa"/>
          </w:tcPr>
          <w:p w14:paraId="2A5F83AB" w14:textId="77777777" w:rsidR="00FB0DF5" w:rsidRPr="00685070" w:rsidRDefault="00FB0DF5" w:rsidP="004C6ED0">
            <w:pPr>
              <w:jc w:val="center"/>
              <w:rPr>
                <w:sz w:val="21"/>
                <w:szCs w:val="21"/>
              </w:rPr>
            </w:pPr>
            <w:r w:rsidRPr="00685070">
              <w:rPr>
                <w:rFonts w:hint="eastAsia"/>
                <w:sz w:val="21"/>
                <w:szCs w:val="21"/>
              </w:rPr>
              <w:t>0.01</w:t>
            </w:r>
          </w:p>
        </w:tc>
        <w:tc>
          <w:tcPr>
            <w:tcW w:w="1283" w:type="dxa"/>
          </w:tcPr>
          <w:p w14:paraId="2D4B044C" w14:textId="77777777" w:rsidR="00FB0DF5" w:rsidRPr="00685070" w:rsidRDefault="00FB0DF5" w:rsidP="004C6ED0">
            <w:pPr>
              <w:jc w:val="center"/>
              <w:rPr>
                <w:sz w:val="21"/>
                <w:szCs w:val="21"/>
              </w:rPr>
            </w:pPr>
            <w:r w:rsidRPr="00685070">
              <w:rPr>
                <w:rFonts w:hint="eastAsia"/>
                <w:sz w:val="21"/>
                <w:szCs w:val="21"/>
              </w:rPr>
              <w:t>0.57</w:t>
            </w:r>
          </w:p>
        </w:tc>
        <w:tc>
          <w:tcPr>
            <w:tcW w:w="724" w:type="dxa"/>
          </w:tcPr>
          <w:p w14:paraId="31F0B4E5" w14:textId="77777777" w:rsidR="00FB0DF5" w:rsidRPr="00685070" w:rsidRDefault="00FB0DF5" w:rsidP="004C6ED0">
            <w:pPr>
              <w:jc w:val="center"/>
              <w:rPr>
                <w:sz w:val="21"/>
                <w:szCs w:val="21"/>
              </w:rPr>
            </w:pPr>
            <w:r w:rsidRPr="00685070">
              <w:rPr>
                <w:rFonts w:hint="eastAsia"/>
                <w:sz w:val="21"/>
                <w:szCs w:val="21"/>
              </w:rPr>
              <w:t>0.04</w:t>
            </w:r>
          </w:p>
        </w:tc>
        <w:tc>
          <w:tcPr>
            <w:tcW w:w="941" w:type="dxa"/>
          </w:tcPr>
          <w:p w14:paraId="7A58947F" w14:textId="77777777" w:rsidR="00FB0DF5" w:rsidRPr="00685070" w:rsidRDefault="00FB0DF5" w:rsidP="004C6ED0">
            <w:pPr>
              <w:jc w:val="center"/>
              <w:rPr>
                <w:sz w:val="21"/>
                <w:szCs w:val="21"/>
              </w:rPr>
            </w:pPr>
            <w:r w:rsidRPr="00685070">
              <w:rPr>
                <w:rFonts w:hint="eastAsia"/>
                <w:sz w:val="21"/>
                <w:szCs w:val="21"/>
              </w:rPr>
              <w:t>0.03</w:t>
            </w:r>
          </w:p>
        </w:tc>
      </w:tr>
      <w:tr w:rsidR="00FB0DF5" w14:paraId="7A8ED424" w14:textId="77777777" w:rsidTr="004C6ED0">
        <w:tc>
          <w:tcPr>
            <w:tcW w:w="1378" w:type="dxa"/>
          </w:tcPr>
          <w:p w14:paraId="1801F440" w14:textId="77777777" w:rsidR="00FB0DF5" w:rsidRPr="00685070" w:rsidRDefault="00FB0DF5" w:rsidP="004C6ED0">
            <w:pPr>
              <w:rPr>
                <w:sz w:val="21"/>
                <w:szCs w:val="21"/>
              </w:rPr>
            </w:pPr>
            <w:r w:rsidRPr="00685070">
              <w:rPr>
                <w:rFonts w:hint="eastAsia"/>
                <w:sz w:val="21"/>
                <w:szCs w:val="21"/>
              </w:rPr>
              <w:t>Covid CN2</w:t>
            </w:r>
          </w:p>
        </w:tc>
        <w:tc>
          <w:tcPr>
            <w:tcW w:w="698" w:type="dxa"/>
          </w:tcPr>
          <w:p w14:paraId="1E04056E" w14:textId="77777777" w:rsidR="00FB0DF5" w:rsidRPr="00685070" w:rsidRDefault="00FB0DF5" w:rsidP="004C6ED0">
            <w:pPr>
              <w:jc w:val="center"/>
              <w:rPr>
                <w:sz w:val="21"/>
                <w:szCs w:val="21"/>
              </w:rPr>
            </w:pPr>
            <w:r w:rsidRPr="00685070">
              <w:rPr>
                <w:rFonts w:hint="eastAsia"/>
                <w:sz w:val="21"/>
                <w:szCs w:val="21"/>
              </w:rPr>
              <w:t>0.07</w:t>
            </w:r>
          </w:p>
        </w:tc>
        <w:tc>
          <w:tcPr>
            <w:tcW w:w="711" w:type="dxa"/>
          </w:tcPr>
          <w:p w14:paraId="1B51200F" w14:textId="77777777" w:rsidR="00FB0DF5" w:rsidRPr="00685070" w:rsidRDefault="00FB0DF5" w:rsidP="004C6ED0">
            <w:pPr>
              <w:jc w:val="center"/>
              <w:rPr>
                <w:sz w:val="21"/>
                <w:szCs w:val="21"/>
              </w:rPr>
            </w:pPr>
            <w:r w:rsidRPr="00685070">
              <w:rPr>
                <w:rFonts w:hint="eastAsia"/>
                <w:sz w:val="21"/>
                <w:szCs w:val="21"/>
              </w:rPr>
              <w:t>0.14</w:t>
            </w:r>
          </w:p>
        </w:tc>
        <w:tc>
          <w:tcPr>
            <w:tcW w:w="689" w:type="dxa"/>
          </w:tcPr>
          <w:p w14:paraId="1247A3C9" w14:textId="77777777" w:rsidR="00FB0DF5" w:rsidRPr="00685070" w:rsidRDefault="00FB0DF5" w:rsidP="004C6ED0">
            <w:pPr>
              <w:jc w:val="center"/>
              <w:rPr>
                <w:sz w:val="21"/>
                <w:szCs w:val="21"/>
              </w:rPr>
            </w:pPr>
            <w:r w:rsidRPr="00685070">
              <w:rPr>
                <w:rFonts w:hint="eastAsia"/>
                <w:sz w:val="21"/>
                <w:szCs w:val="21"/>
              </w:rPr>
              <w:t>0.44</w:t>
            </w:r>
          </w:p>
        </w:tc>
        <w:tc>
          <w:tcPr>
            <w:tcW w:w="1123" w:type="dxa"/>
          </w:tcPr>
          <w:p w14:paraId="616322AB" w14:textId="77777777" w:rsidR="00FB0DF5" w:rsidRPr="00685070" w:rsidRDefault="00FB0DF5" w:rsidP="004C6ED0">
            <w:pPr>
              <w:jc w:val="center"/>
              <w:rPr>
                <w:sz w:val="21"/>
                <w:szCs w:val="21"/>
              </w:rPr>
            </w:pPr>
            <w:r w:rsidRPr="00685070">
              <w:rPr>
                <w:rFonts w:hint="eastAsia"/>
                <w:sz w:val="21"/>
                <w:szCs w:val="21"/>
              </w:rPr>
              <w:t>0.02</w:t>
            </w:r>
          </w:p>
        </w:tc>
        <w:tc>
          <w:tcPr>
            <w:tcW w:w="1803" w:type="dxa"/>
          </w:tcPr>
          <w:p w14:paraId="3335F35B" w14:textId="77777777" w:rsidR="00FB0DF5" w:rsidRPr="00685070" w:rsidRDefault="00FB0DF5" w:rsidP="004C6ED0">
            <w:pPr>
              <w:jc w:val="center"/>
              <w:rPr>
                <w:sz w:val="21"/>
                <w:szCs w:val="21"/>
              </w:rPr>
            </w:pPr>
            <w:r w:rsidRPr="00685070">
              <w:rPr>
                <w:rFonts w:hint="eastAsia"/>
                <w:sz w:val="21"/>
                <w:szCs w:val="21"/>
              </w:rPr>
              <w:t>0.06</w:t>
            </w:r>
          </w:p>
        </w:tc>
        <w:tc>
          <w:tcPr>
            <w:tcW w:w="1283" w:type="dxa"/>
          </w:tcPr>
          <w:p w14:paraId="37C5BFDA" w14:textId="77777777" w:rsidR="00FB0DF5" w:rsidRPr="00685070" w:rsidRDefault="00FB0DF5" w:rsidP="004C6ED0">
            <w:pPr>
              <w:jc w:val="center"/>
              <w:rPr>
                <w:sz w:val="21"/>
                <w:szCs w:val="21"/>
              </w:rPr>
            </w:pPr>
            <w:r w:rsidRPr="00685070">
              <w:rPr>
                <w:rFonts w:hint="eastAsia"/>
                <w:sz w:val="21"/>
                <w:szCs w:val="21"/>
              </w:rPr>
              <w:t>0.20</w:t>
            </w:r>
          </w:p>
        </w:tc>
        <w:tc>
          <w:tcPr>
            <w:tcW w:w="724" w:type="dxa"/>
          </w:tcPr>
          <w:p w14:paraId="385DE736" w14:textId="77777777" w:rsidR="00FB0DF5" w:rsidRPr="00685070" w:rsidRDefault="00FB0DF5" w:rsidP="004C6ED0">
            <w:pPr>
              <w:jc w:val="center"/>
              <w:rPr>
                <w:sz w:val="21"/>
                <w:szCs w:val="21"/>
              </w:rPr>
            </w:pPr>
            <w:r w:rsidRPr="00685070">
              <w:rPr>
                <w:rFonts w:hint="eastAsia"/>
                <w:sz w:val="21"/>
                <w:szCs w:val="21"/>
              </w:rPr>
              <w:t>0.06</w:t>
            </w:r>
          </w:p>
        </w:tc>
        <w:tc>
          <w:tcPr>
            <w:tcW w:w="941" w:type="dxa"/>
          </w:tcPr>
          <w:p w14:paraId="057BD45E" w14:textId="77777777" w:rsidR="00FB0DF5" w:rsidRPr="00685070" w:rsidRDefault="00FB0DF5" w:rsidP="004C6ED0">
            <w:pPr>
              <w:jc w:val="center"/>
              <w:rPr>
                <w:sz w:val="21"/>
                <w:szCs w:val="21"/>
              </w:rPr>
            </w:pPr>
            <w:r w:rsidRPr="00685070">
              <w:rPr>
                <w:rFonts w:hint="eastAsia"/>
                <w:sz w:val="21"/>
                <w:szCs w:val="21"/>
              </w:rPr>
              <w:t>0.01</w:t>
            </w:r>
          </w:p>
        </w:tc>
      </w:tr>
    </w:tbl>
    <w:p w14:paraId="546D598B" w14:textId="77777777" w:rsidR="00FB0DF5" w:rsidRDefault="00FB0DF5" w:rsidP="00FB0DF5"/>
    <w:p w14:paraId="02111C11" w14:textId="77777777" w:rsidR="00FB0DF5" w:rsidRDefault="00FB0DF5" w:rsidP="00FB0DF5"/>
    <w:p w14:paraId="656E613C" w14:textId="77777777" w:rsidR="00FB0DF5" w:rsidRDefault="00FB0DF5" w:rsidP="00FB0DF5">
      <w:pPr>
        <w:spacing w:line="480" w:lineRule="auto"/>
        <w:rPr>
          <w:b/>
          <w:bCs/>
          <w:iCs/>
          <w:sz w:val="28"/>
          <w:szCs w:val="28"/>
        </w:rPr>
      </w:pPr>
      <w:r w:rsidRPr="00BD0C30">
        <w:rPr>
          <w:b/>
          <w:bCs/>
          <w:iCs/>
          <w:sz w:val="28"/>
          <w:szCs w:val="28"/>
        </w:rPr>
        <w:t>S</w:t>
      </w:r>
      <w:r>
        <w:rPr>
          <w:b/>
          <w:bCs/>
          <w:iCs/>
          <w:sz w:val="28"/>
          <w:szCs w:val="28"/>
        </w:rPr>
        <w:t>6</w:t>
      </w:r>
      <w:r w:rsidRPr="00BD0C30">
        <w:rPr>
          <w:b/>
          <w:bCs/>
          <w:iCs/>
          <w:sz w:val="28"/>
          <w:szCs w:val="28"/>
        </w:rPr>
        <w:t xml:space="preserve">. </w:t>
      </w:r>
      <w:r>
        <w:rPr>
          <w:b/>
          <w:bCs/>
          <w:iCs/>
          <w:sz w:val="28"/>
          <w:szCs w:val="28"/>
        </w:rPr>
        <w:t>Cross</w:t>
      </w:r>
      <w:r w:rsidRPr="00BD0C30">
        <w:rPr>
          <w:rFonts w:hint="eastAsia"/>
          <w:b/>
          <w:bCs/>
          <w:iCs/>
          <w:sz w:val="28"/>
          <w:szCs w:val="28"/>
        </w:rPr>
        <w:t xml:space="preserve"> study predictions</w:t>
      </w:r>
    </w:p>
    <w:p w14:paraId="56952951" w14:textId="77777777" w:rsidR="00FB0DF5" w:rsidRPr="00AC3C1A" w:rsidRDefault="00FB0DF5" w:rsidP="00FB0DF5">
      <w:pPr>
        <w:spacing w:line="480" w:lineRule="auto"/>
        <w:rPr>
          <w:b/>
          <w:bCs/>
          <w:iCs/>
          <w:sz w:val="28"/>
          <w:szCs w:val="28"/>
        </w:rPr>
      </w:pPr>
    </w:p>
    <w:p w14:paraId="335EF632" w14:textId="77777777" w:rsidR="00FB0DF5" w:rsidRDefault="00FB0DF5" w:rsidP="00FB0DF5">
      <w:pPr>
        <w:spacing w:line="480" w:lineRule="auto"/>
        <w:rPr>
          <w:iCs/>
        </w:rPr>
      </w:pPr>
      <w:r w:rsidRPr="00AC3C1A">
        <w:rPr>
          <w:iCs/>
        </w:rPr>
        <w:t>When the reference set and target set come from different studies, we believe that the impact of domain shift cannot be overlooked. Therefore, we employ TORC to expand the original reference pool. We utilize the first</w:t>
      </w:r>
      <w:r>
        <w:rPr>
          <w:rFonts w:hint="eastAsia"/>
          <w:iCs/>
        </w:rPr>
        <w:t>-</w:t>
      </w:r>
      <w:r w:rsidRPr="00AC3C1A">
        <w:rPr>
          <w:iCs/>
        </w:rPr>
        <w:t>round prediction results to compute entropy, dividing the target set into low entropy cells and high entropy cells, which reflects our confidence in the predict</w:t>
      </w:r>
      <w:r>
        <w:rPr>
          <w:rFonts w:hint="eastAsia"/>
          <w:iCs/>
        </w:rPr>
        <w:t>ed labels</w:t>
      </w:r>
      <w:r w:rsidRPr="00AC3C1A">
        <w:rPr>
          <w:iCs/>
        </w:rPr>
        <w:t>.</w:t>
      </w:r>
      <w:r>
        <w:rPr>
          <w:rFonts w:hint="eastAsia"/>
          <w:iCs/>
        </w:rPr>
        <w:t xml:space="preserve"> By </w:t>
      </w:r>
      <w:r>
        <w:rPr>
          <w:iCs/>
        </w:rPr>
        <w:t>default</w:t>
      </w:r>
      <w:r>
        <w:rPr>
          <w:rFonts w:hint="eastAsia"/>
          <w:iCs/>
        </w:rPr>
        <w:t xml:space="preserve">, </w:t>
      </w:r>
      <w:r w:rsidRPr="00AC3C1A">
        <w:rPr>
          <w:iCs/>
        </w:rPr>
        <w:t xml:space="preserve">40% of cells from each </w:t>
      </w:r>
      <w:r>
        <w:rPr>
          <w:iCs/>
        </w:rPr>
        <w:t>cell-type</w:t>
      </w:r>
      <w:r w:rsidRPr="00AC3C1A">
        <w:rPr>
          <w:iCs/>
        </w:rPr>
        <w:t xml:space="preserve"> are selected as low entropy cells</w:t>
      </w:r>
      <w:r w:rsidRPr="00AC3C1A">
        <w:rPr>
          <w:rFonts w:hint="eastAsia"/>
          <w:iCs/>
        </w:rPr>
        <w:t>.</w:t>
      </w:r>
      <w:r>
        <w:rPr>
          <w:rFonts w:hint="eastAsia"/>
          <w:iCs/>
        </w:rPr>
        <w:t xml:space="preserve"> </w:t>
      </w:r>
      <w:r w:rsidRPr="00AC3C1A">
        <w:rPr>
          <w:iCs/>
        </w:rPr>
        <w:t xml:space="preserve">However, their labels remain variable; that is, their final labels </w:t>
      </w:r>
      <w:r>
        <w:rPr>
          <w:rFonts w:hint="eastAsia"/>
          <w:iCs/>
        </w:rPr>
        <w:t xml:space="preserve">could be updated </w:t>
      </w:r>
      <w:r w:rsidRPr="00AC3C1A">
        <w:rPr>
          <w:iCs/>
        </w:rPr>
        <w:t>from the second</w:t>
      </w:r>
      <w:r>
        <w:rPr>
          <w:rFonts w:hint="eastAsia"/>
          <w:iCs/>
        </w:rPr>
        <w:t>-</w:t>
      </w:r>
      <w:r w:rsidRPr="00AC3C1A">
        <w:rPr>
          <w:iCs/>
        </w:rPr>
        <w:t xml:space="preserve">round </w:t>
      </w:r>
      <w:r>
        <w:rPr>
          <w:rFonts w:hint="eastAsia"/>
          <w:iCs/>
        </w:rPr>
        <w:t xml:space="preserve">prediction </w:t>
      </w:r>
      <w:r w:rsidRPr="00AC3C1A">
        <w:rPr>
          <w:iCs/>
        </w:rPr>
        <w:t>on the target.</w:t>
      </w:r>
    </w:p>
    <w:p w14:paraId="5D17B9F9" w14:textId="77777777" w:rsidR="00FB0DF5" w:rsidRDefault="00FB0DF5" w:rsidP="00FB0DF5">
      <w:pPr>
        <w:spacing w:line="480" w:lineRule="auto"/>
        <w:rPr>
          <w:iCs/>
        </w:rPr>
      </w:pPr>
      <w:r w:rsidRPr="00AC3C1A">
        <w:rPr>
          <w:iCs/>
        </w:rPr>
        <w:t xml:space="preserve">We utilize TORC with three public COVID datasets and two non-COVID datasets as targets to investigate scenarios where reference samples originate from distinct studies. Given that reference cells stem from biological samples in studies distinct from the target, </w:t>
      </w:r>
      <w:r>
        <w:rPr>
          <w:rFonts w:hint="eastAsia"/>
          <w:iCs/>
        </w:rPr>
        <w:t xml:space="preserve">and </w:t>
      </w:r>
      <w:r w:rsidRPr="00AC3C1A">
        <w:rPr>
          <w:iCs/>
        </w:rPr>
        <w:t>there is increased heterogeneity in the expressions</w:t>
      </w:r>
      <w:r>
        <w:rPr>
          <w:rFonts w:hint="eastAsia"/>
          <w:iCs/>
        </w:rPr>
        <w:t xml:space="preserve">, we </w:t>
      </w:r>
      <w:r w:rsidRPr="00AC3C1A">
        <w:rPr>
          <w:iCs/>
        </w:rPr>
        <w:t>employ the reference expansion option in the TORC</w:t>
      </w:r>
      <w:r>
        <w:rPr>
          <w:rFonts w:hint="eastAsia"/>
          <w:iCs/>
        </w:rPr>
        <w:t xml:space="preserve"> to construct reference. </w:t>
      </w:r>
    </w:p>
    <w:p w14:paraId="72466F2E" w14:textId="4EDA54EF" w:rsidR="00FB0DF5" w:rsidRDefault="00FB0DF5" w:rsidP="00FB0DF5">
      <w:pPr>
        <w:spacing w:line="480" w:lineRule="auto"/>
        <w:rPr>
          <w:iCs/>
        </w:rPr>
      </w:pPr>
      <w:r w:rsidRPr="00035208">
        <w:rPr>
          <w:iCs/>
        </w:rPr>
        <w:t>TORC enhance</w:t>
      </w:r>
      <w:r>
        <w:rPr>
          <w:iCs/>
        </w:rPr>
        <w:t>s</w:t>
      </w:r>
      <w:r w:rsidRPr="00035208">
        <w:rPr>
          <w:iCs/>
        </w:rPr>
        <w:t xml:space="preserve"> the prediction for most reference-target pairs. In Figure S4, we primarily illustrate the </w:t>
      </w:r>
      <w:r>
        <w:rPr>
          <w:rFonts w:hint="eastAsia"/>
          <w:iCs/>
        </w:rPr>
        <w:t xml:space="preserve">performance </w:t>
      </w:r>
      <w:r w:rsidRPr="00035208">
        <w:rPr>
          <w:iCs/>
        </w:rPr>
        <w:t>differences between predictions using the constructed reference and the original reference.</w:t>
      </w:r>
      <w:r>
        <w:rPr>
          <w:rFonts w:hint="eastAsia"/>
          <w:iCs/>
        </w:rPr>
        <w:t xml:space="preserve"> </w:t>
      </w:r>
      <w:r w:rsidRPr="004A3852">
        <w:rPr>
          <w:iCs/>
        </w:rPr>
        <w:t>We u</w:t>
      </w:r>
      <w:r>
        <w:rPr>
          <w:rFonts w:hint="eastAsia"/>
          <w:iCs/>
        </w:rPr>
        <w:t xml:space="preserve">se </w:t>
      </w:r>
      <w:r w:rsidRPr="004A3852">
        <w:rPr>
          <w:iCs/>
        </w:rPr>
        <w:t xml:space="preserve">50 different random seeds for </w:t>
      </w:r>
      <w:r>
        <w:rPr>
          <w:iCs/>
        </w:rPr>
        <w:t>reference</w:t>
      </w:r>
      <w:r>
        <w:rPr>
          <w:rFonts w:hint="eastAsia"/>
          <w:iCs/>
        </w:rPr>
        <w:t xml:space="preserve"> </w:t>
      </w:r>
      <w:r>
        <w:rPr>
          <w:iCs/>
        </w:rPr>
        <w:t>construction</w:t>
      </w:r>
      <w:r w:rsidRPr="004A3852">
        <w:rPr>
          <w:iCs/>
        </w:rPr>
        <w:t xml:space="preserve"> and MLP</w:t>
      </w:r>
      <w:r>
        <w:rPr>
          <w:rFonts w:hint="eastAsia"/>
          <w:iCs/>
        </w:rPr>
        <w:t xml:space="preserve"> </w:t>
      </w:r>
      <w:r>
        <w:rPr>
          <w:rFonts w:hint="eastAsia"/>
          <w:iCs/>
        </w:rPr>
        <w:lastRenderedPageBreak/>
        <w:t>training</w:t>
      </w:r>
      <w:r w:rsidRPr="004A3852">
        <w:rPr>
          <w:iCs/>
        </w:rPr>
        <w:t xml:space="preserve">. Each point </w:t>
      </w:r>
      <w:r>
        <w:rPr>
          <w:rFonts w:hint="eastAsia"/>
          <w:iCs/>
        </w:rPr>
        <w:t>indicate</w:t>
      </w:r>
      <w:r w:rsidRPr="004A3852">
        <w:rPr>
          <w:iCs/>
        </w:rPr>
        <w:t xml:space="preserve">s the average result, with the vertical bar </w:t>
      </w:r>
      <w:r>
        <w:rPr>
          <w:rFonts w:hint="eastAsia"/>
          <w:iCs/>
        </w:rPr>
        <w:t>representing for</w:t>
      </w:r>
      <w:r w:rsidRPr="004A3852">
        <w:rPr>
          <w:iCs/>
        </w:rPr>
        <w:t xml:space="preserve"> the </w:t>
      </w:r>
      <w:r>
        <w:rPr>
          <w:rFonts w:hint="eastAsia"/>
          <w:iCs/>
        </w:rPr>
        <w:t xml:space="preserve">corresponding </w:t>
      </w:r>
      <w:r w:rsidRPr="004A3852">
        <w:rPr>
          <w:rFonts w:hint="eastAsia"/>
          <w:iCs/>
        </w:rPr>
        <w:t>s</w:t>
      </w:r>
      <w:r w:rsidRPr="004A3852">
        <w:rPr>
          <w:iCs/>
        </w:rPr>
        <w:t>tandard deviation</w:t>
      </w:r>
      <w:r>
        <w:rPr>
          <w:rFonts w:hint="eastAsia"/>
          <w:iCs/>
        </w:rPr>
        <w:t xml:space="preserve"> of the gain</w:t>
      </w:r>
      <w:r w:rsidRPr="004A3852">
        <w:rPr>
          <w:iCs/>
        </w:rPr>
        <w:t>.</w:t>
      </w:r>
    </w:p>
    <w:p w14:paraId="13241CDE" w14:textId="77777777" w:rsidR="00FB0DF5" w:rsidRDefault="00FB0DF5" w:rsidP="00FB0DF5">
      <w:r>
        <w:rPr>
          <w:noProof/>
          <w14:ligatures w14:val="standardContextual"/>
        </w:rPr>
        <w:drawing>
          <wp:inline distT="0" distB="0" distL="0" distR="0" wp14:anchorId="0AE223B5" wp14:editId="20809073">
            <wp:extent cx="5943600" cy="5610860"/>
            <wp:effectExtent l="0" t="0" r="0" b="2540"/>
            <wp:docPr id="918733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33997" name="Picture 918733997"/>
                    <pic:cNvPicPr/>
                  </pic:nvPicPr>
                  <pic:blipFill>
                    <a:blip r:embed="rId20">
                      <a:extLst>
                        <a:ext uri="{28A0092B-C50C-407E-A947-70E740481C1C}">
                          <a14:useLocalDpi xmlns:a14="http://schemas.microsoft.com/office/drawing/2010/main" val="0"/>
                        </a:ext>
                      </a:extLst>
                    </a:blip>
                    <a:stretch>
                      <a:fillRect/>
                    </a:stretch>
                  </pic:blipFill>
                  <pic:spPr>
                    <a:xfrm>
                      <a:off x="0" y="0"/>
                      <a:ext cx="5943600" cy="5610860"/>
                    </a:xfrm>
                    <a:prstGeom prst="rect">
                      <a:avLst/>
                    </a:prstGeom>
                  </pic:spPr>
                </pic:pic>
              </a:graphicData>
            </a:graphic>
          </wp:inline>
        </w:drawing>
      </w:r>
    </w:p>
    <w:p w14:paraId="6B742C84" w14:textId="77777777" w:rsidR="00FB0DF5" w:rsidRDefault="00FB0DF5" w:rsidP="00FB0DF5"/>
    <w:p w14:paraId="62DCA2D0" w14:textId="6F3582F5" w:rsidR="00FB0DF5" w:rsidRPr="00CD6F08" w:rsidRDefault="00FB0DF5" w:rsidP="00FB0DF5">
      <w:r>
        <w:rPr>
          <w:rFonts w:hint="eastAsia"/>
        </w:rPr>
        <w:t xml:space="preserve">Figure S4: </w:t>
      </w:r>
      <w:r w:rsidRPr="00871A4C">
        <w:t xml:space="preserve">The gain in </w:t>
      </w:r>
      <w:r>
        <w:rPr>
          <w:rFonts w:hint="eastAsia"/>
        </w:rPr>
        <w:t>(A)</w:t>
      </w:r>
      <w:r w:rsidRPr="00871A4C">
        <w:t xml:space="preserve"> accuracy</w:t>
      </w:r>
      <w:r>
        <w:rPr>
          <w:rFonts w:hint="eastAsia"/>
        </w:rPr>
        <w:t xml:space="preserve"> and (B) macro F1 score</w:t>
      </w:r>
      <w:r w:rsidRPr="00871A4C">
        <w:t xml:space="preserve"> using the TORC constructed reference versus using the original reference. Each data point represents the average from MLP on 50 different random seeds</w:t>
      </w:r>
      <w:r w:rsidR="00890F04">
        <w:rPr>
          <w:rFonts w:hint="eastAsia"/>
        </w:rPr>
        <w:t xml:space="preserve"> </w:t>
      </w:r>
      <w:r w:rsidR="00890F04" w:rsidRPr="00890F04">
        <w:rPr>
          <w:rFonts w:hint="eastAsia"/>
        </w:rPr>
        <w:t>for specific analysis task, such as using a reference generated from</w:t>
      </w:r>
      <w:r w:rsidR="00890F04" w:rsidRPr="00890F04">
        <w:t xml:space="preserve"> “Covid CN”</w:t>
      </w:r>
      <w:r w:rsidR="00890F04" w:rsidRPr="00890F04">
        <w:rPr>
          <w:rFonts w:hint="eastAsia"/>
        </w:rPr>
        <w:t xml:space="preserve"> to predict the target </w:t>
      </w:r>
      <w:r w:rsidR="00890F04" w:rsidRPr="00890F04">
        <w:t xml:space="preserve">“Covid </w:t>
      </w:r>
      <w:r w:rsidR="00890F04" w:rsidRPr="00890F04">
        <w:rPr>
          <w:rFonts w:hint="eastAsia"/>
        </w:rPr>
        <w:t>UK</w:t>
      </w:r>
      <w:r w:rsidR="00890F04" w:rsidRPr="00890F04">
        <w:t>”</w:t>
      </w:r>
      <w:r w:rsidRPr="00871A4C">
        <w:t xml:space="preserve">. The reference is </w:t>
      </w:r>
      <w:proofErr w:type="spellStart"/>
      <w:r>
        <w:rPr>
          <w:rFonts w:hint="eastAsia"/>
        </w:rPr>
        <w:t>i</w:t>
      </w:r>
      <w:proofErr w:type="spellEnd"/>
      <w:r>
        <w:rPr>
          <w:rFonts w:hint="eastAsia"/>
        </w:rPr>
        <w:t xml:space="preserve">. </w:t>
      </w:r>
      <w:r w:rsidRPr="00871A4C">
        <w:t xml:space="preserve">constructed reference with </w:t>
      </w:r>
      <w:r>
        <w:t>cell-type</w:t>
      </w:r>
      <w:r w:rsidRPr="00871A4C">
        <w:t xml:space="preserve"> proportion </w:t>
      </w:r>
      <m:oMath>
        <m:sSup>
          <m:sSupPr>
            <m:ctrlPr>
              <w:rPr>
                <w:rFonts w:ascii="Cambria Math" w:hAnsi="Cambria Math"/>
                <w:i/>
              </w:rPr>
            </m:ctrlPr>
          </m:sSupPr>
          <m:e>
            <m:r>
              <w:rPr>
                <w:rFonts w:ascii="Cambria Math" w:hAnsi="Cambria Math"/>
              </w:rPr>
              <m:t>P</m:t>
            </m:r>
          </m:e>
          <m:sup>
            <m:r>
              <w:rPr>
                <w:rFonts w:ascii="Cambria Math" w:hAnsi="Cambria Math"/>
              </w:rPr>
              <m:t>T</m:t>
            </m:r>
          </m:sup>
        </m:sSup>
      </m:oMath>
      <w:r w:rsidRPr="00871A4C">
        <w:t xml:space="preserve"> which is same as true </w:t>
      </w:r>
      <w:r>
        <w:t>cell-type</w:t>
      </w:r>
      <w:r w:rsidRPr="00871A4C">
        <w:t xml:space="preserve"> composition of target set</w:t>
      </w:r>
      <w:r>
        <w:rPr>
          <w:rFonts w:hint="eastAsia"/>
        </w:rPr>
        <w:t xml:space="preserve">; ii. </w:t>
      </w:r>
      <w:r w:rsidRPr="00871A4C">
        <w:t xml:space="preserve">constructed reference </w:t>
      </w:r>
      <w:r>
        <w:rPr>
          <w:rFonts w:hint="eastAsia"/>
        </w:rPr>
        <w:t xml:space="preserve">sampled </w:t>
      </w:r>
      <w:r w:rsidRPr="00871A4C">
        <w:t>from ex</w:t>
      </w:r>
      <w:r>
        <w:rPr>
          <w:rFonts w:hint="eastAsia"/>
        </w:rPr>
        <w:t>pand</w:t>
      </w:r>
      <w:r w:rsidRPr="00871A4C">
        <w:t xml:space="preserve">ed reference pool </w:t>
      </w:r>
      <w:r>
        <w:t>according</w:t>
      </w:r>
      <w:r>
        <w:rPr>
          <w:rFonts w:hint="eastAsia"/>
        </w:rPr>
        <w:t xml:space="preserve"> to</w:t>
      </w:r>
      <w:r w:rsidRPr="00871A4C">
        <w:t xml:space="preserve"> </w:t>
      </w:r>
      <m:oMath>
        <m:sSup>
          <m:sSupPr>
            <m:ctrlPr>
              <w:rPr>
                <w:rFonts w:ascii="Cambria Math" w:hAnsi="Cambria Math"/>
                <w:i/>
              </w:rPr>
            </m:ctrlPr>
          </m:sSupPr>
          <m:e>
            <m:r>
              <w:rPr>
                <w:rFonts w:ascii="Cambria Math" w:hAnsi="Cambria Math"/>
              </w:rPr>
              <m:t>P</m:t>
            </m:r>
          </m:e>
          <m:sup>
            <m:r>
              <w:rPr>
                <w:rFonts w:ascii="Cambria Math" w:hAnsi="Cambria Math"/>
              </w:rPr>
              <m:t>T</m:t>
            </m:r>
          </m:sup>
        </m:sSup>
      </m:oMath>
      <w:r>
        <w:rPr>
          <w:rFonts w:hint="eastAsia"/>
        </w:rPr>
        <w:t xml:space="preserve">; iii. </w:t>
      </w:r>
      <w:r w:rsidRPr="00871A4C">
        <w:t xml:space="preserve">constructed reference with </w:t>
      </w:r>
      <w:r>
        <w:t>cell-type</w:t>
      </w:r>
      <w:r w:rsidRPr="00871A4C">
        <w:t xml:space="preserve"> proportion </w:t>
      </w:r>
      <m:oMath>
        <m:acc>
          <m:accPr>
            <m:ctrlPr>
              <w:rPr>
                <w:rFonts w:ascii="Cambria Math" w:hAnsi="Cambria Math"/>
                <w:i/>
              </w:rPr>
            </m:ctrlPr>
          </m:accPr>
          <m:e>
            <m:sSubSup>
              <m:sSubSupPr>
                <m:ctrlPr>
                  <w:rPr>
                    <w:rFonts w:ascii="Cambria Math" w:hAnsi="Cambria Math"/>
                    <w:i/>
                  </w:rPr>
                </m:ctrlPr>
              </m:sSubSupPr>
              <m:e>
                <m:r>
                  <w:rPr>
                    <w:rFonts w:ascii="Cambria Math" w:hAnsi="Cambria Math"/>
                  </w:rPr>
                  <m:t>P</m:t>
                </m:r>
              </m:e>
              <m:sub>
                <m:r>
                  <w:rPr>
                    <w:rFonts w:ascii="Cambria Math" w:hAnsi="Cambria Math"/>
                  </w:rPr>
                  <m:t>prop</m:t>
                </m:r>
              </m:sub>
              <m:sup>
                <m:r>
                  <w:rPr>
                    <w:rFonts w:ascii="Cambria Math" w:hAnsi="Cambria Math"/>
                  </w:rPr>
                  <m:t>T</m:t>
                </m:r>
              </m:sup>
            </m:sSubSup>
          </m:e>
        </m:acc>
      </m:oMath>
      <w:r w:rsidRPr="00871A4C">
        <w:t xml:space="preserve">which is </w:t>
      </w:r>
      <w:r>
        <w:rPr>
          <w:rFonts w:hint="eastAsia"/>
        </w:rPr>
        <w:t xml:space="preserve">the </w:t>
      </w:r>
      <w:r>
        <w:t>proportion-based</w:t>
      </w:r>
      <w:r>
        <w:rPr>
          <w:rFonts w:hint="eastAsia"/>
        </w:rPr>
        <w:t xml:space="preserve"> estimate; iv. </w:t>
      </w:r>
      <w:r w:rsidRPr="00871A4C">
        <w:t xml:space="preserve">constructed reference with </w:t>
      </w:r>
      <w:r>
        <w:t>cell-type</w:t>
      </w:r>
      <w:r w:rsidRPr="00871A4C">
        <w:t xml:space="preserve"> proportion </w:t>
      </w:r>
      <m:oMath>
        <m:acc>
          <m:accPr>
            <m:ctrlPr>
              <w:rPr>
                <w:rFonts w:ascii="Cambria Math" w:hAnsi="Cambria Math"/>
                <w:i/>
              </w:rPr>
            </m:ctrlPr>
          </m:accPr>
          <m:e>
            <m:sSubSup>
              <m:sSubSupPr>
                <m:ctrlPr>
                  <w:rPr>
                    <w:rFonts w:ascii="Cambria Math" w:hAnsi="Cambria Math"/>
                    <w:i/>
                  </w:rPr>
                </m:ctrlPr>
              </m:sSubSupPr>
              <m:e>
                <m:r>
                  <w:rPr>
                    <w:rFonts w:ascii="Cambria Math" w:hAnsi="Cambria Math"/>
                  </w:rPr>
                  <m:t>P</m:t>
                </m:r>
              </m:e>
              <m:sub>
                <m:r>
                  <w:rPr>
                    <w:rFonts w:ascii="Cambria Math" w:hAnsi="Cambria Math"/>
                  </w:rPr>
                  <m:t>prob</m:t>
                </m:r>
              </m:sub>
              <m:sup>
                <m:r>
                  <w:rPr>
                    <w:rFonts w:ascii="Cambria Math" w:hAnsi="Cambria Math"/>
                  </w:rPr>
                  <m:t>T</m:t>
                </m:r>
              </m:sup>
            </m:sSubSup>
          </m:e>
        </m:acc>
      </m:oMath>
      <w:r w:rsidRPr="00871A4C">
        <w:t xml:space="preserve">which is </w:t>
      </w:r>
      <w:r>
        <w:rPr>
          <w:rFonts w:hint="eastAsia"/>
        </w:rPr>
        <w:t xml:space="preserve">the </w:t>
      </w:r>
      <w:r>
        <w:t>pro</w:t>
      </w:r>
      <w:r>
        <w:rPr>
          <w:rFonts w:hint="eastAsia"/>
        </w:rPr>
        <w:t>bability</w:t>
      </w:r>
      <w:r>
        <w:t>-based</w:t>
      </w:r>
      <w:r>
        <w:rPr>
          <w:rFonts w:hint="eastAsia"/>
        </w:rPr>
        <w:t xml:space="preserve"> estimate. </w:t>
      </w:r>
      <w:r w:rsidRPr="001E4EBA">
        <w:t xml:space="preserve">And it's noted that for </w:t>
      </w:r>
      <w:r>
        <w:rPr>
          <w:rFonts w:hint="eastAsia"/>
        </w:rPr>
        <w:lastRenderedPageBreak/>
        <w:t xml:space="preserve">constructed reference ii., iii. and iv., the </w:t>
      </w:r>
      <w:r w:rsidRPr="001E4EBA">
        <w:t xml:space="preserve">reference expansion option </w:t>
      </w:r>
      <w:r>
        <w:rPr>
          <w:rFonts w:hint="eastAsia"/>
        </w:rPr>
        <w:t xml:space="preserve">is employed. </w:t>
      </w:r>
      <w:r w:rsidRPr="00871A4C">
        <w:t>The vertical bar indicates the standard deviation of the accuracy</w:t>
      </w:r>
      <w:r>
        <w:rPr>
          <w:rFonts w:hint="eastAsia"/>
        </w:rPr>
        <w:t>/macro F1 score</w:t>
      </w:r>
      <w:r w:rsidRPr="00871A4C">
        <w:t xml:space="preserve"> gain in the 50 runs.</w:t>
      </w:r>
      <w:r w:rsidRPr="00871A4C">
        <w:rPr>
          <w:rFonts w:hint="eastAsia"/>
        </w:rPr>
        <w:t xml:space="preserve"> </w:t>
      </w:r>
    </w:p>
    <w:p w14:paraId="4018010E" w14:textId="77777777" w:rsidR="00753104" w:rsidRDefault="00753104" w:rsidP="00FB0DF5">
      <w:pPr>
        <w:spacing w:line="480" w:lineRule="auto"/>
        <w:rPr>
          <w:iCs/>
        </w:rPr>
      </w:pPr>
    </w:p>
    <w:p w14:paraId="455EDDE7" w14:textId="72705EC2" w:rsidR="00FB0DF5" w:rsidRDefault="00FB0DF5" w:rsidP="00FB0DF5">
      <w:pPr>
        <w:spacing w:line="480" w:lineRule="auto"/>
        <w:rPr>
          <w:iCs/>
        </w:rPr>
      </w:pPr>
      <w:r>
        <w:rPr>
          <w:rFonts w:hint="eastAsia"/>
          <w:iCs/>
        </w:rPr>
        <w:t>On one hand, e</w:t>
      </w:r>
      <w:r w:rsidRPr="007734B9">
        <w:rPr>
          <w:iCs/>
        </w:rPr>
        <w:t>ven without utilizing an expanded reference pool, we can improve prediction</w:t>
      </w:r>
      <w:r>
        <w:rPr>
          <w:rFonts w:hint="eastAsia"/>
          <w:iCs/>
        </w:rPr>
        <w:t xml:space="preserve"> in terms of accuracy</w:t>
      </w:r>
      <w:r w:rsidRPr="007734B9">
        <w:rPr>
          <w:iCs/>
        </w:rPr>
        <w:t xml:space="preserve"> </w:t>
      </w:r>
      <w:r w:rsidR="00753104">
        <w:rPr>
          <w:iCs/>
        </w:rPr>
        <w:t>if</w:t>
      </w:r>
      <w:r>
        <w:rPr>
          <w:rFonts w:hint="eastAsia"/>
          <w:iCs/>
        </w:rPr>
        <w:t xml:space="preserve"> </w:t>
      </w:r>
      <w:r w:rsidRPr="007734B9">
        <w:rPr>
          <w:iCs/>
        </w:rPr>
        <w:t xml:space="preserve">we have the actual cell composition information of the target set </w:t>
      </w:r>
      <m:oMath>
        <m:sSup>
          <m:sSupPr>
            <m:ctrlPr>
              <w:rPr>
                <w:rFonts w:ascii="Cambria Math" w:hAnsi="Cambria Math"/>
                <w:i/>
              </w:rPr>
            </m:ctrlPr>
          </m:sSupPr>
          <m:e>
            <m:r>
              <w:rPr>
                <w:rFonts w:ascii="Cambria Math" w:hAnsi="Cambria Math"/>
              </w:rPr>
              <m:t>P</m:t>
            </m:r>
          </m:e>
          <m:sup>
            <m:r>
              <w:rPr>
                <w:rFonts w:ascii="Cambria Math" w:hAnsi="Cambria Math"/>
              </w:rPr>
              <m:t>T</m:t>
            </m:r>
          </m:sup>
        </m:sSup>
      </m:oMath>
      <w:r>
        <w:rPr>
          <w:rFonts w:hint="eastAsia"/>
        </w:rPr>
        <w:t xml:space="preserve"> </w:t>
      </w:r>
      <w:r w:rsidRPr="007734B9">
        <w:rPr>
          <w:iCs/>
        </w:rPr>
        <w:t>to guide us.</w:t>
      </w:r>
      <w:r>
        <w:rPr>
          <w:rFonts w:hint="eastAsia"/>
          <w:iCs/>
        </w:rPr>
        <w:t xml:space="preserve"> </w:t>
      </w:r>
      <w:r w:rsidRPr="004C5911">
        <w:rPr>
          <w:iCs/>
        </w:rPr>
        <w:t>On the other hand, macro F1 did not benefit from it</w:t>
      </w:r>
      <w:r>
        <w:rPr>
          <w:rFonts w:hint="eastAsia"/>
          <w:iCs/>
        </w:rPr>
        <w:t xml:space="preserve"> as half of the results are below the baseline</w:t>
      </w:r>
      <w:r w:rsidRPr="004C5911">
        <w:rPr>
          <w:iCs/>
        </w:rPr>
        <w:t>.</w:t>
      </w:r>
      <w:r>
        <w:rPr>
          <w:rFonts w:hint="eastAsia"/>
          <w:iCs/>
        </w:rPr>
        <w:t xml:space="preserve"> </w:t>
      </w:r>
      <w:r w:rsidRPr="00FC2203">
        <w:rPr>
          <w:iCs/>
        </w:rPr>
        <w:t>However, once we incorporated the option of an expanded pool, not only did accuracy further improve, but the overall performance of macro F1 also enhanced.</w:t>
      </w:r>
      <w:r w:rsidRPr="004C5911">
        <w:rPr>
          <w:rFonts w:hint="eastAsia"/>
          <w:iCs/>
        </w:rPr>
        <w:t xml:space="preserve"> </w:t>
      </w:r>
    </w:p>
    <w:p w14:paraId="6373C6AD" w14:textId="77777777" w:rsidR="00FB0DF5" w:rsidRPr="00AC3C1A" w:rsidRDefault="00FB0DF5" w:rsidP="00FB0DF5">
      <w:pPr>
        <w:spacing w:line="480" w:lineRule="auto"/>
        <w:rPr>
          <w:iCs/>
        </w:rPr>
      </w:pPr>
      <w:r w:rsidRPr="00910E4A">
        <w:rPr>
          <w:iCs/>
        </w:rPr>
        <w:t xml:space="preserve">Accurate information regarding the cell composition in the target sample is often not readily available. Using estimated cell composition </w:t>
      </w:r>
      <m:oMath>
        <m:acc>
          <m:accPr>
            <m:ctrlPr>
              <w:rPr>
                <w:rFonts w:ascii="Cambria Math" w:hAnsi="Cambria Math"/>
                <w:i/>
              </w:rPr>
            </m:ctrlPr>
          </m:accPr>
          <m:e>
            <m:sSup>
              <m:sSupPr>
                <m:ctrlPr>
                  <w:rPr>
                    <w:rFonts w:ascii="Cambria Math" w:hAnsi="Cambria Math"/>
                    <w:i/>
                  </w:rPr>
                </m:ctrlPr>
              </m:sSupPr>
              <m:e>
                <m:r>
                  <w:rPr>
                    <w:rFonts w:ascii="Cambria Math" w:hAnsi="Cambria Math"/>
                  </w:rPr>
                  <m:t>P</m:t>
                </m:r>
              </m:e>
              <m:sup>
                <m:r>
                  <w:rPr>
                    <w:rFonts w:ascii="Cambria Math" w:hAnsi="Cambria Math"/>
                  </w:rPr>
                  <m:t>T</m:t>
                </m:r>
              </m:sup>
            </m:sSup>
          </m:e>
        </m:acc>
      </m:oMath>
      <w:r>
        <w:rPr>
          <w:rFonts w:hint="eastAsia"/>
        </w:rPr>
        <w:t xml:space="preserve"> </w:t>
      </w:r>
      <w:r w:rsidRPr="00910E4A">
        <w:rPr>
          <w:iCs/>
        </w:rPr>
        <w:t xml:space="preserve">in the TORC construction still improves </w:t>
      </w:r>
      <w:r>
        <w:rPr>
          <w:iCs/>
        </w:rPr>
        <w:t>cell-type</w:t>
      </w:r>
      <w:r w:rsidRPr="00910E4A">
        <w:rPr>
          <w:iCs/>
        </w:rPr>
        <w:t xml:space="preserve"> identification accuracy. </w:t>
      </w:r>
      <w:r w:rsidRPr="00FC2203">
        <w:rPr>
          <w:iCs/>
        </w:rPr>
        <w:t>Figure S4</w:t>
      </w:r>
      <w:r w:rsidRPr="00910E4A">
        <w:rPr>
          <w:iCs/>
        </w:rPr>
        <w:t xml:space="preserve"> showcases the substantial gain under the TORC, indicating the effectiveness of employing </w:t>
      </w:r>
      <w:r w:rsidRPr="002B3FEA">
        <w:rPr>
          <w:iCs/>
        </w:rPr>
        <w:t>estimation methods we provided</w:t>
      </w:r>
      <w:r w:rsidRPr="00910E4A">
        <w:rPr>
          <w:iCs/>
        </w:rPr>
        <w:t xml:space="preserve"> as a substitute guide.</w:t>
      </w:r>
      <w:r>
        <w:rPr>
          <w:rFonts w:hint="eastAsia"/>
          <w:iCs/>
        </w:rPr>
        <w:t xml:space="preserve"> </w:t>
      </w:r>
      <w:r w:rsidRPr="00FC2203">
        <w:rPr>
          <w:iCs/>
        </w:rPr>
        <w:t>From a Bayesian perspective, even without entirely accurate guidance, utilizing appropriate prior information can still benefit our predictions.</w:t>
      </w:r>
    </w:p>
    <w:p w14:paraId="6B99B9EE" w14:textId="77777777" w:rsidR="00FB0DF5" w:rsidRPr="001961A9" w:rsidRDefault="00FB0DF5" w:rsidP="00FB0DF5">
      <w:pPr>
        <w:spacing w:line="480" w:lineRule="auto"/>
        <w:rPr>
          <w:iCs/>
        </w:rPr>
      </w:pPr>
      <w:r w:rsidRPr="00910E4A">
        <w:rPr>
          <w:iCs/>
        </w:rPr>
        <w:t>The improvement that the Torc Algorithm br</w:t>
      </w:r>
      <w:r>
        <w:rPr>
          <w:iCs/>
        </w:rPr>
        <w:t>ought</w:t>
      </w:r>
      <w:r w:rsidRPr="00910E4A">
        <w:rPr>
          <w:iCs/>
        </w:rPr>
        <w:t xml:space="preserve"> to ACTINN and </w:t>
      </w:r>
      <w:proofErr w:type="spellStart"/>
      <w:r w:rsidRPr="00910E4A">
        <w:rPr>
          <w:iCs/>
        </w:rPr>
        <w:t>scNym</w:t>
      </w:r>
      <w:proofErr w:type="spellEnd"/>
      <w:r w:rsidRPr="00910E4A">
        <w:rPr>
          <w:iCs/>
        </w:rPr>
        <w:t xml:space="preserve"> align</w:t>
      </w:r>
      <w:r>
        <w:rPr>
          <w:iCs/>
        </w:rPr>
        <w:t>ed</w:t>
      </w:r>
      <w:r w:rsidRPr="00910E4A">
        <w:rPr>
          <w:iCs/>
        </w:rPr>
        <w:t xml:space="preserve"> with what we observed in MLP, indicating the algorithm's broad applicability</w:t>
      </w:r>
      <w:r>
        <w:rPr>
          <w:iCs/>
        </w:rPr>
        <w:t xml:space="preserve"> (</w:t>
      </w:r>
      <w:r>
        <w:rPr>
          <w:rFonts w:hint="eastAsia"/>
        </w:rPr>
        <w:t>Figure S5</w:t>
      </w:r>
      <w:r>
        <w:rPr>
          <w:iCs/>
        </w:rPr>
        <w:t>)</w:t>
      </w:r>
      <w:r w:rsidRPr="00910E4A">
        <w:rPr>
          <w:iCs/>
        </w:rPr>
        <w:t xml:space="preserve">. Conversely, the performance of the Torc Algorithm in making predictions using </w:t>
      </w:r>
      <w:proofErr w:type="spellStart"/>
      <w:r w:rsidRPr="00910E4A">
        <w:rPr>
          <w:iCs/>
        </w:rPr>
        <w:t>scANVI</w:t>
      </w:r>
      <w:proofErr w:type="spellEnd"/>
      <w:r w:rsidRPr="00910E4A">
        <w:rPr>
          <w:iCs/>
        </w:rPr>
        <w:t xml:space="preserve"> is not consistently robust. Despite occasionally yielding slightly off, we also observe the significant improvement as the accuracy discrepancy reached 0.2 </w:t>
      </w:r>
      <w:r>
        <w:rPr>
          <w:rFonts w:hint="eastAsia"/>
          <w:iCs/>
        </w:rPr>
        <w:t>(</w:t>
      </w:r>
      <w:r>
        <w:rPr>
          <w:iCs/>
        </w:rPr>
        <w:t>“</w:t>
      </w:r>
      <w:r w:rsidRPr="00910E4A">
        <w:rPr>
          <w:iCs/>
        </w:rPr>
        <w:t>Covid CN to Covid UK”</w:t>
      </w:r>
      <w:r>
        <w:rPr>
          <w:rFonts w:hint="eastAsia"/>
          <w:iCs/>
        </w:rPr>
        <w:t xml:space="preserve">), </w:t>
      </w:r>
      <w:r w:rsidRPr="00910E4A">
        <w:rPr>
          <w:iCs/>
        </w:rPr>
        <w:t xml:space="preserve">which highlights the potential in applying the Torc Algorithm to </w:t>
      </w:r>
      <w:proofErr w:type="spellStart"/>
      <w:r w:rsidRPr="00910E4A">
        <w:rPr>
          <w:iCs/>
        </w:rPr>
        <w:t>scANVI</w:t>
      </w:r>
      <w:proofErr w:type="spellEnd"/>
      <w:r w:rsidRPr="00910E4A">
        <w:rPr>
          <w:iCs/>
        </w:rPr>
        <w:t>.</w:t>
      </w:r>
    </w:p>
    <w:p w14:paraId="037ECC90" w14:textId="77777777" w:rsidR="00FB0DF5" w:rsidRDefault="00FB0DF5" w:rsidP="00FB0DF5">
      <w:pPr>
        <w:spacing w:line="480" w:lineRule="auto"/>
        <w:rPr>
          <w:iCs/>
        </w:rPr>
      </w:pPr>
      <w:r w:rsidRPr="001961A9">
        <w:rPr>
          <w:iCs/>
        </w:rPr>
        <w:t xml:space="preserve">In addition, we propose a strategy utilizing an MLP-based reference. Compared to ACTINN, </w:t>
      </w:r>
      <w:proofErr w:type="spellStart"/>
      <w:r w:rsidRPr="001961A9">
        <w:rPr>
          <w:iCs/>
        </w:rPr>
        <w:t>scNym</w:t>
      </w:r>
      <w:proofErr w:type="spellEnd"/>
      <w:r w:rsidRPr="001961A9">
        <w:rPr>
          <w:iCs/>
        </w:rPr>
        <w:t xml:space="preserve">, and </w:t>
      </w:r>
      <w:proofErr w:type="spellStart"/>
      <w:r w:rsidRPr="001961A9">
        <w:rPr>
          <w:iCs/>
        </w:rPr>
        <w:t>scANVI</w:t>
      </w:r>
      <w:proofErr w:type="spellEnd"/>
      <w:r w:rsidRPr="001961A9">
        <w:rPr>
          <w:iCs/>
        </w:rPr>
        <w:t xml:space="preserve">, our constructed MLP demonstrates consistently accurate predictions and </w:t>
      </w:r>
      <w:r>
        <w:rPr>
          <w:rFonts w:hint="eastAsia"/>
          <w:iCs/>
        </w:rPr>
        <w:t>high</w:t>
      </w:r>
      <w:r w:rsidRPr="001961A9">
        <w:rPr>
          <w:iCs/>
        </w:rPr>
        <w:t xml:space="preserve"> computational efficiency.</w:t>
      </w:r>
      <w:r>
        <w:rPr>
          <w:rFonts w:hint="eastAsia"/>
          <w:iCs/>
        </w:rPr>
        <w:t xml:space="preserve"> </w:t>
      </w:r>
      <w:r w:rsidRPr="001961A9">
        <w:rPr>
          <w:iCs/>
        </w:rPr>
        <w:t xml:space="preserve">Therefore, if a researcher prefers a specific supervised classification method other than MLP, beyond directly employing TORC with the method of </w:t>
      </w:r>
      <w:r w:rsidRPr="001961A9">
        <w:rPr>
          <w:iCs/>
        </w:rPr>
        <w:lastRenderedPageBreak/>
        <w:t xml:space="preserve">interest for both reference construction and final classification, we recommend utilizing MLP for reference construction and allowing the user to choose the classification method for </w:t>
      </w:r>
      <w:r>
        <w:rPr>
          <w:iCs/>
        </w:rPr>
        <w:t>cell-type</w:t>
      </w:r>
      <w:r w:rsidRPr="001961A9">
        <w:rPr>
          <w:iCs/>
        </w:rPr>
        <w:t xml:space="preserve"> identification.</w:t>
      </w:r>
    </w:p>
    <w:p w14:paraId="327A4F69" w14:textId="77777777" w:rsidR="00FB0DF5" w:rsidRDefault="00FB0DF5" w:rsidP="00FB0DF5">
      <w:r>
        <w:rPr>
          <w:noProof/>
          <w14:ligatures w14:val="standardContextual"/>
        </w:rPr>
        <w:drawing>
          <wp:inline distT="0" distB="0" distL="0" distR="0" wp14:anchorId="7F32605E" wp14:editId="4AA7F91F">
            <wp:extent cx="5943600" cy="5610860"/>
            <wp:effectExtent l="0" t="0" r="0" b="2540"/>
            <wp:docPr id="1899744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44497" name="Picture 1899744497"/>
                    <pic:cNvPicPr/>
                  </pic:nvPicPr>
                  <pic:blipFill>
                    <a:blip r:embed="rId21">
                      <a:extLst>
                        <a:ext uri="{28A0092B-C50C-407E-A947-70E740481C1C}">
                          <a14:useLocalDpi xmlns:a14="http://schemas.microsoft.com/office/drawing/2010/main" val="0"/>
                        </a:ext>
                      </a:extLst>
                    </a:blip>
                    <a:stretch>
                      <a:fillRect/>
                    </a:stretch>
                  </pic:blipFill>
                  <pic:spPr>
                    <a:xfrm>
                      <a:off x="0" y="0"/>
                      <a:ext cx="5943600" cy="5610860"/>
                    </a:xfrm>
                    <a:prstGeom prst="rect">
                      <a:avLst/>
                    </a:prstGeom>
                  </pic:spPr>
                </pic:pic>
              </a:graphicData>
            </a:graphic>
          </wp:inline>
        </w:drawing>
      </w:r>
    </w:p>
    <w:p w14:paraId="1945313C" w14:textId="412B26BD" w:rsidR="00FB0DF5" w:rsidRDefault="00FB0DF5" w:rsidP="00FB0DF5">
      <w:r>
        <w:rPr>
          <w:rFonts w:hint="eastAsia"/>
        </w:rPr>
        <w:t xml:space="preserve">Figure S5: </w:t>
      </w:r>
      <w:r w:rsidRPr="00871A4C">
        <w:t xml:space="preserve">The gain in </w:t>
      </w:r>
      <w:r>
        <w:rPr>
          <w:rFonts w:hint="eastAsia"/>
        </w:rPr>
        <w:t>(A)</w:t>
      </w:r>
      <w:r w:rsidRPr="00871A4C">
        <w:t xml:space="preserve"> accuracy</w:t>
      </w:r>
      <w:r>
        <w:rPr>
          <w:rFonts w:hint="eastAsia"/>
        </w:rPr>
        <w:t xml:space="preserve"> and (B) macro F1 score</w:t>
      </w:r>
      <w:r w:rsidRPr="00871A4C">
        <w:t xml:space="preserve"> using the TORC constructed reference versus using the original reference. Each data point represents the average from </w:t>
      </w:r>
      <w:r>
        <w:rPr>
          <w:rFonts w:hint="eastAsia"/>
        </w:rPr>
        <w:t xml:space="preserve">different methods (ACTINN, </w:t>
      </w:r>
      <w:proofErr w:type="spellStart"/>
      <w:r>
        <w:rPr>
          <w:rFonts w:hint="eastAsia"/>
        </w:rPr>
        <w:t>scNym</w:t>
      </w:r>
      <w:proofErr w:type="spellEnd"/>
      <w:r>
        <w:rPr>
          <w:rFonts w:hint="eastAsia"/>
        </w:rPr>
        <w:t xml:space="preserve">, </w:t>
      </w:r>
      <w:proofErr w:type="spellStart"/>
      <w:r>
        <w:rPr>
          <w:rFonts w:hint="eastAsia"/>
        </w:rPr>
        <w:t>scANVI</w:t>
      </w:r>
      <w:proofErr w:type="spellEnd"/>
      <w:r>
        <w:rPr>
          <w:rFonts w:hint="eastAsia"/>
        </w:rPr>
        <w:t>)</w:t>
      </w:r>
      <w:r w:rsidRPr="00871A4C">
        <w:t xml:space="preserve"> on 50 different random </w:t>
      </w:r>
      <w:r w:rsidR="00890F04" w:rsidRPr="00871A4C">
        <w:t>seeds</w:t>
      </w:r>
      <w:r w:rsidR="00890F04">
        <w:rPr>
          <w:rFonts w:hint="eastAsia"/>
        </w:rPr>
        <w:t xml:space="preserve"> </w:t>
      </w:r>
      <w:r w:rsidR="00890F04" w:rsidRPr="00890F04">
        <w:rPr>
          <w:rFonts w:hint="eastAsia"/>
        </w:rPr>
        <w:t>for specific analysis task, such as using a reference generated from</w:t>
      </w:r>
      <w:r w:rsidR="00890F04" w:rsidRPr="00890F04">
        <w:t xml:space="preserve"> “Covid CN”</w:t>
      </w:r>
      <w:r w:rsidR="00890F04" w:rsidRPr="00890F04">
        <w:rPr>
          <w:rFonts w:hint="eastAsia"/>
        </w:rPr>
        <w:t xml:space="preserve"> to predict the target </w:t>
      </w:r>
      <w:r w:rsidR="00890F04" w:rsidRPr="00890F04">
        <w:t xml:space="preserve">“Covid </w:t>
      </w:r>
      <w:r w:rsidR="00890F04" w:rsidRPr="00890F04">
        <w:rPr>
          <w:rFonts w:hint="eastAsia"/>
        </w:rPr>
        <w:t>UK</w:t>
      </w:r>
      <w:r w:rsidR="00890F04" w:rsidRPr="00890F04">
        <w:t>”</w:t>
      </w:r>
      <w:r w:rsidRPr="00871A4C">
        <w:t xml:space="preserve">. The reference is </w:t>
      </w:r>
      <w:proofErr w:type="spellStart"/>
      <w:r>
        <w:rPr>
          <w:rFonts w:hint="eastAsia"/>
        </w:rPr>
        <w:t>i</w:t>
      </w:r>
      <w:proofErr w:type="spellEnd"/>
      <w:r>
        <w:rPr>
          <w:rFonts w:hint="eastAsia"/>
        </w:rPr>
        <w:t xml:space="preserve">. </w:t>
      </w:r>
      <w:r w:rsidRPr="00871A4C">
        <w:t xml:space="preserve">constructed reference with </w:t>
      </w:r>
      <w:r>
        <w:t>cell-type</w:t>
      </w:r>
      <w:r w:rsidRPr="00871A4C">
        <w:t xml:space="preserve"> proportion </w:t>
      </w:r>
      <m:oMath>
        <m:sSup>
          <m:sSupPr>
            <m:ctrlPr>
              <w:rPr>
                <w:rFonts w:ascii="Cambria Math" w:hAnsi="Cambria Math"/>
                <w:i/>
              </w:rPr>
            </m:ctrlPr>
          </m:sSupPr>
          <m:e>
            <m:r>
              <w:rPr>
                <w:rFonts w:ascii="Cambria Math" w:hAnsi="Cambria Math"/>
              </w:rPr>
              <m:t>P</m:t>
            </m:r>
          </m:e>
          <m:sup>
            <m:r>
              <w:rPr>
                <w:rFonts w:ascii="Cambria Math" w:hAnsi="Cambria Math"/>
              </w:rPr>
              <m:t>T</m:t>
            </m:r>
          </m:sup>
        </m:sSup>
      </m:oMath>
      <w:r w:rsidRPr="00871A4C">
        <w:t xml:space="preserve"> which is same as true </w:t>
      </w:r>
      <w:r>
        <w:t>cell-type</w:t>
      </w:r>
      <w:r w:rsidRPr="00871A4C">
        <w:t xml:space="preserve"> composition of target set</w:t>
      </w:r>
      <w:r>
        <w:rPr>
          <w:rFonts w:hint="eastAsia"/>
        </w:rPr>
        <w:t xml:space="preserve">; ii. </w:t>
      </w:r>
      <w:r w:rsidRPr="00871A4C">
        <w:t xml:space="preserve">constructed reference </w:t>
      </w:r>
      <w:r>
        <w:rPr>
          <w:rFonts w:hint="eastAsia"/>
        </w:rPr>
        <w:t xml:space="preserve">sampled </w:t>
      </w:r>
      <w:r w:rsidRPr="00871A4C">
        <w:t xml:space="preserve">from </w:t>
      </w:r>
      <w:r>
        <w:t>expand</w:t>
      </w:r>
      <w:r w:rsidRPr="00871A4C">
        <w:t xml:space="preserve">ed reference pool </w:t>
      </w:r>
      <w:r>
        <w:t>according</w:t>
      </w:r>
      <w:r>
        <w:rPr>
          <w:rFonts w:hint="eastAsia"/>
        </w:rPr>
        <w:t xml:space="preserve"> to</w:t>
      </w:r>
      <w:r w:rsidRPr="00871A4C">
        <w:t xml:space="preserve"> </w:t>
      </w:r>
      <m:oMath>
        <m:sSup>
          <m:sSupPr>
            <m:ctrlPr>
              <w:rPr>
                <w:rFonts w:ascii="Cambria Math" w:hAnsi="Cambria Math"/>
                <w:i/>
              </w:rPr>
            </m:ctrlPr>
          </m:sSupPr>
          <m:e>
            <m:r>
              <w:rPr>
                <w:rFonts w:ascii="Cambria Math" w:hAnsi="Cambria Math"/>
              </w:rPr>
              <m:t>P</m:t>
            </m:r>
          </m:e>
          <m:sup>
            <m:r>
              <w:rPr>
                <w:rFonts w:ascii="Cambria Math" w:hAnsi="Cambria Math"/>
              </w:rPr>
              <m:t>T</m:t>
            </m:r>
          </m:sup>
        </m:sSup>
      </m:oMath>
      <w:r>
        <w:rPr>
          <w:rFonts w:hint="eastAsia"/>
        </w:rPr>
        <w:t xml:space="preserve">; iii. </w:t>
      </w:r>
      <w:r w:rsidRPr="00871A4C">
        <w:t xml:space="preserve">constructed reference with </w:t>
      </w:r>
      <w:r>
        <w:t>cell-type</w:t>
      </w:r>
      <w:r w:rsidRPr="00871A4C">
        <w:t xml:space="preserve"> proportion </w:t>
      </w:r>
      <m:oMath>
        <m:acc>
          <m:accPr>
            <m:ctrlPr>
              <w:rPr>
                <w:rFonts w:ascii="Cambria Math" w:hAnsi="Cambria Math"/>
                <w:i/>
              </w:rPr>
            </m:ctrlPr>
          </m:accPr>
          <m:e>
            <m:sSubSup>
              <m:sSubSupPr>
                <m:ctrlPr>
                  <w:rPr>
                    <w:rFonts w:ascii="Cambria Math" w:hAnsi="Cambria Math"/>
                    <w:i/>
                  </w:rPr>
                </m:ctrlPr>
              </m:sSubSupPr>
              <m:e>
                <m:r>
                  <w:rPr>
                    <w:rFonts w:ascii="Cambria Math" w:hAnsi="Cambria Math"/>
                  </w:rPr>
                  <m:t>P</m:t>
                </m:r>
              </m:e>
              <m:sub>
                <m:r>
                  <w:rPr>
                    <w:rFonts w:ascii="Cambria Math" w:hAnsi="Cambria Math"/>
                  </w:rPr>
                  <m:t>prop</m:t>
                </m:r>
              </m:sub>
              <m:sup>
                <m:r>
                  <w:rPr>
                    <w:rFonts w:ascii="Cambria Math" w:hAnsi="Cambria Math"/>
                  </w:rPr>
                  <m:t>T</m:t>
                </m:r>
              </m:sup>
            </m:sSubSup>
          </m:e>
        </m:acc>
      </m:oMath>
      <w:r w:rsidRPr="00871A4C">
        <w:t xml:space="preserve">which is </w:t>
      </w:r>
      <w:r>
        <w:rPr>
          <w:rFonts w:hint="eastAsia"/>
        </w:rPr>
        <w:t xml:space="preserve">the </w:t>
      </w:r>
      <w:r>
        <w:t>proportion-based</w:t>
      </w:r>
      <w:r>
        <w:rPr>
          <w:rFonts w:hint="eastAsia"/>
        </w:rPr>
        <w:t xml:space="preserve"> estimate; iv. </w:t>
      </w:r>
      <w:r w:rsidRPr="00871A4C">
        <w:t xml:space="preserve">constructed reference with </w:t>
      </w:r>
      <w:r>
        <w:t>cell-type</w:t>
      </w:r>
      <w:r w:rsidRPr="00871A4C">
        <w:t xml:space="preserve"> proportion </w:t>
      </w:r>
      <m:oMath>
        <m:acc>
          <m:accPr>
            <m:ctrlPr>
              <w:rPr>
                <w:rFonts w:ascii="Cambria Math" w:hAnsi="Cambria Math"/>
                <w:i/>
              </w:rPr>
            </m:ctrlPr>
          </m:accPr>
          <m:e>
            <m:sSubSup>
              <m:sSubSupPr>
                <m:ctrlPr>
                  <w:rPr>
                    <w:rFonts w:ascii="Cambria Math" w:hAnsi="Cambria Math"/>
                    <w:i/>
                  </w:rPr>
                </m:ctrlPr>
              </m:sSubSupPr>
              <m:e>
                <m:r>
                  <w:rPr>
                    <w:rFonts w:ascii="Cambria Math" w:hAnsi="Cambria Math"/>
                  </w:rPr>
                  <m:t>P</m:t>
                </m:r>
              </m:e>
              <m:sub>
                <m:r>
                  <w:rPr>
                    <w:rFonts w:ascii="Cambria Math" w:hAnsi="Cambria Math"/>
                  </w:rPr>
                  <m:t>prob</m:t>
                </m:r>
              </m:sub>
              <m:sup>
                <m:r>
                  <w:rPr>
                    <w:rFonts w:ascii="Cambria Math" w:hAnsi="Cambria Math"/>
                  </w:rPr>
                  <m:t>T</m:t>
                </m:r>
              </m:sup>
            </m:sSubSup>
          </m:e>
        </m:acc>
      </m:oMath>
      <w:r w:rsidRPr="00871A4C">
        <w:t xml:space="preserve">which is </w:t>
      </w:r>
      <w:r>
        <w:rPr>
          <w:rFonts w:hint="eastAsia"/>
        </w:rPr>
        <w:t xml:space="preserve">the </w:t>
      </w:r>
      <w:r>
        <w:lastRenderedPageBreak/>
        <w:t>pro</w:t>
      </w:r>
      <w:r>
        <w:rPr>
          <w:rFonts w:hint="eastAsia"/>
        </w:rPr>
        <w:t>bability</w:t>
      </w:r>
      <w:r>
        <w:t>-based</w:t>
      </w:r>
      <w:r>
        <w:rPr>
          <w:rFonts w:hint="eastAsia"/>
        </w:rPr>
        <w:t xml:space="preserve"> estimate. </w:t>
      </w:r>
      <w:r w:rsidRPr="001E4EBA">
        <w:t xml:space="preserve">And it's noted that for </w:t>
      </w:r>
      <w:r>
        <w:rPr>
          <w:rFonts w:hint="eastAsia"/>
        </w:rPr>
        <w:t xml:space="preserve">constructed reference ii., iii. and iv., the </w:t>
      </w:r>
      <w:r w:rsidRPr="001E4EBA">
        <w:t xml:space="preserve">reference expansion option </w:t>
      </w:r>
      <w:r>
        <w:rPr>
          <w:rFonts w:hint="eastAsia"/>
        </w:rPr>
        <w:t xml:space="preserve">is employed. </w:t>
      </w:r>
      <w:r w:rsidRPr="00871A4C">
        <w:t>The vertical bar indicates the standard deviation of the accuracy</w:t>
      </w:r>
      <w:r>
        <w:rPr>
          <w:rFonts w:hint="eastAsia"/>
        </w:rPr>
        <w:t>/macro F1 score</w:t>
      </w:r>
      <w:r w:rsidRPr="00871A4C">
        <w:t xml:space="preserve"> gain in the 50 runs.</w:t>
      </w:r>
      <w:r w:rsidRPr="00871A4C">
        <w:rPr>
          <w:rFonts w:hint="eastAsia"/>
        </w:rPr>
        <w:t xml:space="preserve"> </w:t>
      </w:r>
    </w:p>
    <w:p w14:paraId="0E7E8638" w14:textId="77777777" w:rsidR="00FB0DF5" w:rsidRDefault="00FB0DF5" w:rsidP="00FB0DF5">
      <w:pPr>
        <w:spacing w:line="480" w:lineRule="auto"/>
        <w:rPr>
          <w:iCs/>
        </w:rPr>
      </w:pPr>
    </w:p>
    <w:p w14:paraId="26EFC765" w14:textId="77777777" w:rsidR="00FB0DF5" w:rsidRDefault="00FB0DF5" w:rsidP="00FB0DF5">
      <w:pPr>
        <w:spacing w:line="480" w:lineRule="auto"/>
        <w:rPr>
          <w:iCs/>
        </w:rPr>
      </w:pPr>
    </w:p>
    <w:p w14:paraId="57C1383E" w14:textId="77777777" w:rsidR="00FB0DF5" w:rsidRDefault="00FB0DF5" w:rsidP="00FB0DF5">
      <w:pPr>
        <w:spacing w:line="480" w:lineRule="auto"/>
        <w:jc w:val="center"/>
      </w:pPr>
      <w:r>
        <w:rPr>
          <w:noProof/>
          <w14:ligatures w14:val="standardContextual"/>
        </w:rPr>
        <w:drawing>
          <wp:inline distT="0" distB="0" distL="0" distR="0" wp14:anchorId="290D0795" wp14:editId="73E8B97D">
            <wp:extent cx="3602181" cy="2701636"/>
            <wp:effectExtent l="0" t="0" r="5080" b="3810"/>
            <wp:docPr id="1052134664" name="Picture 10"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34664" name="Picture 10" descr="A graph of a line graph&#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9314" cy="2736986"/>
                    </a:xfrm>
                    <a:prstGeom prst="rect">
                      <a:avLst/>
                    </a:prstGeom>
                  </pic:spPr>
                </pic:pic>
              </a:graphicData>
            </a:graphic>
          </wp:inline>
        </w:drawing>
      </w:r>
    </w:p>
    <w:p w14:paraId="2A979876" w14:textId="77777777" w:rsidR="00FB0DF5" w:rsidRDefault="00FB0DF5" w:rsidP="00FB0DF5">
      <w:r>
        <w:rPr>
          <w:rFonts w:hint="eastAsia"/>
        </w:rPr>
        <w:t xml:space="preserve">Figure S6: </w:t>
      </w:r>
      <w:r>
        <w:t>The average computation time for 50 runs of under different tasks, measured in minutes and sorted based on ACTINN.</w:t>
      </w:r>
      <w:r>
        <w:rPr>
          <w:rFonts w:hint="eastAsia"/>
        </w:rPr>
        <w:t xml:space="preserve"> </w:t>
      </w:r>
      <w:r w:rsidRPr="004B491D">
        <w:t>In comparison to the other three methods</w:t>
      </w:r>
      <w:r>
        <w:rPr>
          <w:rFonts w:hint="eastAsia"/>
        </w:rPr>
        <w:t xml:space="preserve"> (ACTINN, </w:t>
      </w:r>
      <w:proofErr w:type="spellStart"/>
      <w:r>
        <w:rPr>
          <w:rFonts w:hint="eastAsia"/>
        </w:rPr>
        <w:t>scNym</w:t>
      </w:r>
      <w:proofErr w:type="spellEnd"/>
      <w:r>
        <w:rPr>
          <w:rFonts w:hint="eastAsia"/>
        </w:rPr>
        <w:t xml:space="preserve">, </w:t>
      </w:r>
      <w:proofErr w:type="spellStart"/>
      <w:r>
        <w:rPr>
          <w:rFonts w:hint="eastAsia"/>
        </w:rPr>
        <w:t>scANVI</w:t>
      </w:r>
      <w:proofErr w:type="spellEnd"/>
      <w:r>
        <w:rPr>
          <w:rFonts w:hint="eastAsia"/>
        </w:rPr>
        <w:t>)</w:t>
      </w:r>
      <w:r w:rsidRPr="004B491D">
        <w:t>, MLP consistently exhibits the fastest execution speed.</w:t>
      </w:r>
    </w:p>
    <w:p w14:paraId="14C0BCF6" w14:textId="77777777" w:rsidR="00FB0DF5" w:rsidRPr="00AC3C1A" w:rsidRDefault="00FB0DF5" w:rsidP="00FB0DF5">
      <w:pPr>
        <w:spacing w:line="480" w:lineRule="auto"/>
        <w:rPr>
          <w:iCs/>
        </w:rPr>
      </w:pPr>
    </w:p>
    <w:p w14:paraId="411DF7E4" w14:textId="77777777" w:rsidR="00FB0DF5" w:rsidRDefault="00FB0DF5" w:rsidP="00FB0DF5">
      <w:pPr>
        <w:spacing w:line="480" w:lineRule="auto"/>
        <w:rPr>
          <w:iCs/>
        </w:rPr>
      </w:pPr>
      <w:r w:rsidRPr="009376DB">
        <w:rPr>
          <w:iCs/>
        </w:rPr>
        <w:t>Figure S</w:t>
      </w:r>
      <w:r>
        <w:rPr>
          <w:rFonts w:hint="eastAsia"/>
          <w:iCs/>
        </w:rPr>
        <w:t xml:space="preserve">7 demonstrates that </w:t>
      </w:r>
      <w:r w:rsidRPr="009376DB">
        <w:rPr>
          <w:iCs/>
        </w:rPr>
        <w:t xml:space="preserve">algorithms such as ACTINN, </w:t>
      </w:r>
      <w:proofErr w:type="spellStart"/>
      <w:r w:rsidRPr="009376DB">
        <w:rPr>
          <w:iCs/>
        </w:rPr>
        <w:t>scNym</w:t>
      </w:r>
      <w:proofErr w:type="spellEnd"/>
      <w:r w:rsidRPr="009376DB">
        <w:rPr>
          <w:iCs/>
        </w:rPr>
        <w:t xml:space="preserve"> and </w:t>
      </w:r>
      <w:proofErr w:type="spellStart"/>
      <w:r w:rsidRPr="009376DB">
        <w:rPr>
          <w:iCs/>
        </w:rPr>
        <w:t>scANVI</w:t>
      </w:r>
      <w:proofErr w:type="spellEnd"/>
      <w:r w:rsidRPr="009376DB">
        <w:rPr>
          <w:iCs/>
        </w:rPr>
        <w:t xml:space="preserve"> benefit from MLP-based reference construction</w:t>
      </w:r>
      <w:r>
        <w:rPr>
          <w:rFonts w:hint="eastAsia"/>
          <w:iCs/>
        </w:rPr>
        <w:t xml:space="preserve">. </w:t>
      </w:r>
      <w:r w:rsidRPr="009376DB">
        <w:rPr>
          <w:iCs/>
        </w:rPr>
        <w:t xml:space="preserve">In fact, in most cases, there is minor difference between using an MLP-based reference and using other-method-based references. However, if MLP can provide more accurate initial estimate and identify representative low entropy cells, the improvement in predictions using an MLP-based reference is significant. For instance, with </w:t>
      </w:r>
      <w:proofErr w:type="spellStart"/>
      <w:r w:rsidRPr="009376DB">
        <w:rPr>
          <w:iCs/>
        </w:rPr>
        <w:t>scNym</w:t>
      </w:r>
      <w:proofErr w:type="spellEnd"/>
      <w:r w:rsidRPr="009376DB">
        <w:rPr>
          <w:iCs/>
        </w:rPr>
        <w:t xml:space="preserve">, predictions made using an MLP-based reference exceed initial prediction accuracy by more than 0.15 (“Covid FMC to Covid CN”), whereas the improvement using an </w:t>
      </w:r>
      <w:proofErr w:type="spellStart"/>
      <w:r w:rsidRPr="009376DB">
        <w:rPr>
          <w:iCs/>
        </w:rPr>
        <w:t>scNym</w:t>
      </w:r>
      <w:proofErr w:type="spellEnd"/>
      <w:r w:rsidRPr="009376DB">
        <w:rPr>
          <w:iCs/>
        </w:rPr>
        <w:t>-based reference is less than 0.05.</w:t>
      </w:r>
    </w:p>
    <w:p w14:paraId="35BBCD74" w14:textId="77777777" w:rsidR="00FB0DF5" w:rsidRPr="00B40352" w:rsidRDefault="00FB0DF5" w:rsidP="00FB0DF5">
      <w:pPr>
        <w:spacing w:line="480" w:lineRule="auto"/>
        <w:rPr>
          <w:iCs/>
        </w:rPr>
      </w:pPr>
      <w:r>
        <w:rPr>
          <w:iCs/>
          <w:noProof/>
          <w14:ligatures w14:val="standardContextual"/>
        </w:rPr>
        <w:lastRenderedPageBreak/>
        <w:drawing>
          <wp:inline distT="0" distB="0" distL="0" distR="0" wp14:anchorId="4220F2DC" wp14:editId="0511C4E8">
            <wp:extent cx="5943600" cy="4747260"/>
            <wp:effectExtent l="0" t="0" r="0" b="2540"/>
            <wp:docPr id="4926089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08931" name="Picture 492608931"/>
                    <pic:cNvPicPr/>
                  </pic:nvPicPr>
                  <pic:blipFill>
                    <a:blip r:embed="rId23">
                      <a:extLst>
                        <a:ext uri="{28A0092B-C50C-407E-A947-70E740481C1C}">
                          <a14:useLocalDpi xmlns:a14="http://schemas.microsoft.com/office/drawing/2010/main" val="0"/>
                        </a:ext>
                      </a:extLst>
                    </a:blip>
                    <a:stretch>
                      <a:fillRect/>
                    </a:stretch>
                  </pic:blipFill>
                  <pic:spPr>
                    <a:xfrm>
                      <a:off x="0" y="0"/>
                      <a:ext cx="5943600" cy="4747260"/>
                    </a:xfrm>
                    <a:prstGeom prst="rect">
                      <a:avLst/>
                    </a:prstGeom>
                  </pic:spPr>
                </pic:pic>
              </a:graphicData>
            </a:graphic>
          </wp:inline>
        </w:drawing>
      </w:r>
    </w:p>
    <w:p w14:paraId="00C5BD00" w14:textId="73108EC0" w:rsidR="00FB0DF5" w:rsidRDefault="00FB0DF5" w:rsidP="00FB0DF5">
      <w:r>
        <w:rPr>
          <w:rFonts w:hint="eastAsia"/>
        </w:rPr>
        <w:t xml:space="preserve">Figure S7: </w:t>
      </w:r>
      <w:r w:rsidRPr="00871A4C">
        <w:t xml:space="preserve">The gain in </w:t>
      </w:r>
      <w:r>
        <w:rPr>
          <w:rFonts w:hint="eastAsia"/>
        </w:rPr>
        <w:t>(A)</w:t>
      </w:r>
      <w:r w:rsidRPr="00871A4C">
        <w:t xml:space="preserve"> accuracy</w:t>
      </w:r>
      <w:r>
        <w:rPr>
          <w:rFonts w:hint="eastAsia"/>
        </w:rPr>
        <w:t xml:space="preserve"> and (B) macro F1 score</w:t>
      </w:r>
      <w:r w:rsidRPr="00871A4C">
        <w:t xml:space="preserve"> using the </w:t>
      </w:r>
      <w:r>
        <w:rPr>
          <w:rFonts w:hint="eastAsia"/>
        </w:rPr>
        <w:t xml:space="preserve">MLP-based </w:t>
      </w:r>
      <w:r w:rsidRPr="00871A4C">
        <w:t>TORC constructed reference versus using the original reference.</w:t>
      </w:r>
      <w:r>
        <w:rPr>
          <w:rFonts w:hint="eastAsia"/>
        </w:rPr>
        <w:t xml:space="preserve"> The estimate of cell-type composition used to </w:t>
      </w:r>
      <w:r>
        <w:t>guid</w:t>
      </w:r>
      <w:r>
        <w:rPr>
          <w:rFonts w:hint="eastAsia"/>
        </w:rPr>
        <w:t xml:space="preserve">e the TORC </w:t>
      </w:r>
      <w:r>
        <w:t>construction</w:t>
      </w:r>
      <w:r>
        <w:rPr>
          <w:rFonts w:hint="eastAsia"/>
        </w:rPr>
        <w:t xml:space="preserve"> is obtained from MLP. </w:t>
      </w:r>
      <w:r w:rsidRPr="00871A4C">
        <w:t xml:space="preserve">Each data point represents the average from </w:t>
      </w:r>
      <w:r>
        <w:rPr>
          <w:rFonts w:hint="eastAsia"/>
        </w:rPr>
        <w:t xml:space="preserve">different methods (ACTINN, </w:t>
      </w:r>
      <w:proofErr w:type="spellStart"/>
      <w:r>
        <w:rPr>
          <w:rFonts w:hint="eastAsia"/>
        </w:rPr>
        <w:t>scNym</w:t>
      </w:r>
      <w:proofErr w:type="spellEnd"/>
      <w:r>
        <w:rPr>
          <w:rFonts w:hint="eastAsia"/>
        </w:rPr>
        <w:t xml:space="preserve">, </w:t>
      </w:r>
      <w:proofErr w:type="spellStart"/>
      <w:r>
        <w:rPr>
          <w:rFonts w:hint="eastAsia"/>
        </w:rPr>
        <w:t>scANVI</w:t>
      </w:r>
      <w:proofErr w:type="spellEnd"/>
      <w:r>
        <w:rPr>
          <w:rFonts w:hint="eastAsia"/>
        </w:rPr>
        <w:t>)</w:t>
      </w:r>
      <w:r w:rsidRPr="00871A4C">
        <w:t xml:space="preserve"> on 50 different random </w:t>
      </w:r>
      <w:r w:rsidR="00890F04" w:rsidRPr="00871A4C">
        <w:t>seeds</w:t>
      </w:r>
      <w:r w:rsidR="00890F04">
        <w:rPr>
          <w:rFonts w:hint="eastAsia"/>
        </w:rPr>
        <w:t xml:space="preserve"> </w:t>
      </w:r>
      <w:r w:rsidR="00890F04" w:rsidRPr="00890F04">
        <w:rPr>
          <w:rFonts w:hint="eastAsia"/>
        </w:rPr>
        <w:t>for specific analysis task, such as using a reference generated from</w:t>
      </w:r>
      <w:r w:rsidR="00890F04" w:rsidRPr="00890F04">
        <w:t xml:space="preserve"> “Covid CN”</w:t>
      </w:r>
      <w:r w:rsidR="00890F04" w:rsidRPr="00890F04">
        <w:rPr>
          <w:rFonts w:hint="eastAsia"/>
        </w:rPr>
        <w:t xml:space="preserve"> to predict the target </w:t>
      </w:r>
      <w:r w:rsidR="00890F04" w:rsidRPr="00890F04">
        <w:t xml:space="preserve">“Covid </w:t>
      </w:r>
      <w:r w:rsidR="00890F04" w:rsidRPr="00890F04">
        <w:rPr>
          <w:rFonts w:hint="eastAsia"/>
        </w:rPr>
        <w:t>UK</w:t>
      </w:r>
      <w:r w:rsidR="00890F04" w:rsidRPr="00890F04">
        <w:t>”</w:t>
      </w:r>
      <w:r w:rsidRPr="00871A4C">
        <w:t xml:space="preserve">. The reference is </w:t>
      </w:r>
      <w:proofErr w:type="spellStart"/>
      <w:r>
        <w:rPr>
          <w:rFonts w:hint="eastAsia"/>
        </w:rPr>
        <w:t>i</w:t>
      </w:r>
      <w:proofErr w:type="spellEnd"/>
      <w:r>
        <w:rPr>
          <w:rFonts w:hint="eastAsia"/>
        </w:rPr>
        <w:t xml:space="preserve">. </w:t>
      </w:r>
      <w:r w:rsidRPr="00871A4C">
        <w:t xml:space="preserve">constructed reference </w:t>
      </w:r>
      <w:r>
        <w:rPr>
          <w:rFonts w:hint="eastAsia"/>
        </w:rPr>
        <w:t xml:space="preserve">sampled </w:t>
      </w:r>
      <w:r w:rsidRPr="00871A4C">
        <w:t xml:space="preserve">with </w:t>
      </w:r>
      <w:r>
        <w:rPr>
          <w:rFonts w:hint="eastAsia"/>
        </w:rPr>
        <w:t xml:space="preserve">true target </w:t>
      </w:r>
      <w:r>
        <w:t>cell-type</w:t>
      </w:r>
      <w:r w:rsidRPr="00871A4C">
        <w:t xml:space="preserve"> proportion </w:t>
      </w:r>
      <m:oMath>
        <m:sSup>
          <m:sSupPr>
            <m:ctrlPr>
              <w:rPr>
                <w:rFonts w:ascii="Cambria Math" w:hAnsi="Cambria Math"/>
                <w:i/>
              </w:rPr>
            </m:ctrlPr>
          </m:sSupPr>
          <m:e>
            <m:r>
              <w:rPr>
                <w:rFonts w:ascii="Cambria Math" w:hAnsi="Cambria Math"/>
              </w:rPr>
              <m:t>P</m:t>
            </m:r>
          </m:e>
          <m:sup>
            <m:r>
              <w:rPr>
                <w:rFonts w:ascii="Cambria Math" w:hAnsi="Cambria Math"/>
              </w:rPr>
              <m:t>T</m:t>
            </m:r>
          </m:sup>
        </m:sSup>
      </m:oMath>
      <w:r>
        <w:rPr>
          <w:rFonts w:hint="eastAsia"/>
        </w:rPr>
        <w:t xml:space="preserve">; ii. </w:t>
      </w:r>
      <w:r w:rsidRPr="00871A4C">
        <w:t xml:space="preserve">constructed reference with </w:t>
      </w:r>
      <w:r>
        <w:t>cell-type</w:t>
      </w:r>
      <w:r w:rsidRPr="00871A4C">
        <w:t xml:space="preserve"> proportion </w:t>
      </w:r>
      <m:oMath>
        <m:acc>
          <m:accPr>
            <m:ctrlPr>
              <w:rPr>
                <w:rFonts w:ascii="Cambria Math" w:hAnsi="Cambria Math"/>
                <w:i/>
              </w:rPr>
            </m:ctrlPr>
          </m:accPr>
          <m:e>
            <m:sSubSup>
              <m:sSubSupPr>
                <m:ctrlPr>
                  <w:rPr>
                    <w:rFonts w:ascii="Cambria Math" w:hAnsi="Cambria Math"/>
                    <w:i/>
                  </w:rPr>
                </m:ctrlPr>
              </m:sSubSupPr>
              <m:e>
                <m:r>
                  <w:rPr>
                    <w:rFonts w:ascii="Cambria Math" w:hAnsi="Cambria Math"/>
                  </w:rPr>
                  <m:t>P</m:t>
                </m:r>
              </m:e>
              <m:sub>
                <m:r>
                  <w:rPr>
                    <w:rFonts w:ascii="Cambria Math" w:hAnsi="Cambria Math"/>
                  </w:rPr>
                  <m:t>prop</m:t>
                </m:r>
              </m:sub>
              <m:sup>
                <m:r>
                  <w:rPr>
                    <w:rFonts w:ascii="Cambria Math" w:hAnsi="Cambria Math"/>
                  </w:rPr>
                  <m:t>T</m:t>
                </m:r>
              </m:sup>
            </m:sSubSup>
          </m:e>
        </m:acc>
      </m:oMath>
      <w:r w:rsidRPr="00871A4C">
        <w:t xml:space="preserve">which is </w:t>
      </w:r>
      <w:r>
        <w:rPr>
          <w:rFonts w:hint="eastAsia"/>
        </w:rPr>
        <w:t xml:space="preserve">the </w:t>
      </w:r>
      <w:r>
        <w:t>proportion-based</w:t>
      </w:r>
      <w:r>
        <w:rPr>
          <w:rFonts w:hint="eastAsia"/>
        </w:rPr>
        <w:t xml:space="preserve"> estimate; iii. </w:t>
      </w:r>
      <w:r w:rsidRPr="00871A4C">
        <w:t xml:space="preserve">constructed reference with </w:t>
      </w:r>
      <w:r>
        <w:t>cell-type</w:t>
      </w:r>
      <w:r w:rsidRPr="00871A4C">
        <w:t xml:space="preserve"> proportion </w:t>
      </w:r>
      <m:oMath>
        <m:acc>
          <m:accPr>
            <m:ctrlPr>
              <w:rPr>
                <w:rFonts w:ascii="Cambria Math" w:hAnsi="Cambria Math"/>
                <w:i/>
              </w:rPr>
            </m:ctrlPr>
          </m:accPr>
          <m:e>
            <m:sSubSup>
              <m:sSubSupPr>
                <m:ctrlPr>
                  <w:rPr>
                    <w:rFonts w:ascii="Cambria Math" w:hAnsi="Cambria Math"/>
                    <w:i/>
                  </w:rPr>
                </m:ctrlPr>
              </m:sSubSupPr>
              <m:e>
                <m:r>
                  <w:rPr>
                    <w:rFonts w:ascii="Cambria Math" w:hAnsi="Cambria Math"/>
                  </w:rPr>
                  <m:t>P</m:t>
                </m:r>
              </m:e>
              <m:sub>
                <m:r>
                  <w:rPr>
                    <w:rFonts w:ascii="Cambria Math" w:hAnsi="Cambria Math"/>
                  </w:rPr>
                  <m:t>prob</m:t>
                </m:r>
              </m:sub>
              <m:sup>
                <m:r>
                  <w:rPr>
                    <w:rFonts w:ascii="Cambria Math" w:hAnsi="Cambria Math"/>
                  </w:rPr>
                  <m:t>T</m:t>
                </m:r>
              </m:sup>
            </m:sSubSup>
          </m:e>
        </m:acc>
      </m:oMath>
      <w:r w:rsidRPr="00871A4C">
        <w:t xml:space="preserve">which is </w:t>
      </w:r>
      <w:r>
        <w:rPr>
          <w:rFonts w:hint="eastAsia"/>
        </w:rPr>
        <w:t xml:space="preserve">the </w:t>
      </w:r>
      <w:r>
        <w:t>pro</w:t>
      </w:r>
      <w:r>
        <w:rPr>
          <w:rFonts w:hint="eastAsia"/>
        </w:rPr>
        <w:t>bability</w:t>
      </w:r>
      <w:r>
        <w:t>-based</w:t>
      </w:r>
      <w:r>
        <w:rPr>
          <w:rFonts w:hint="eastAsia"/>
        </w:rPr>
        <w:t xml:space="preserve"> estimate. </w:t>
      </w:r>
      <w:r w:rsidRPr="001E4EBA">
        <w:t xml:space="preserve">And it's noted that for </w:t>
      </w:r>
      <w:r>
        <w:rPr>
          <w:rFonts w:hint="eastAsia"/>
        </w:rPr>
        <w:t xml:space="preserve">constructed reference </w:t>
      </w:r>
      <w:proofErr w:type="spellStart"/>
      <w:r>
        <w:rPr>
          <w:rFonts w:hint="eastAsia"/>
        </w:rPr>
        <w:t>i</w:t>
      </w:r>
      <w:proofErr w:type="spellEnd"/>
      <w:r>
        <w:rPr>
          <w:rFonts w:hint="eastAsia"/>
        </w:rPr>
        <w:t xml:space="preserve">., ii. and iii., the </w:t>
      </w:r>
      <w:r w:rsidRPr="001E4EBA">
        <w:t xml:space="preserve">reference expansion option </w:t>
      </w:r>
      <w:r>
        <w:rPr>
          <w:rFonts w:hint="eastAsia"/>
        </w:rPr>
        <w:t xml:space="preserve">is employed. </w:t>
      </w:r>
      <w:r w:rsidRPr="00871A4C">
        <w:t>The vertical bar indicates the standard deviation of the accuracy</w:t>
      </w:r>
      <w:r>
        <w:rPr>
          <w:rFonts w:hint="eastAsia"/>
        </w:rPr>
        <w:t>/macro F1 score</w:t>
      </w:r>
      <w:r w:rsidRPr="00871A4C">
        <w:t xml:space="preserve"> gain in the 50 runs.</w:t>
      </w:r>
      <w:r w:rsidRPr="00871A4C">
        <w:rPr>
          <w:rFonts w:hint="eastAsia"/>
        </w:rPr>
        <w:t xml:space="preserve"> </w:t>
      </w:r>
    </w:p>
    <w:p w14:paraId="3CF06505" w14:textId="77777777" w:rsidR="00FB0DF5" w:rsidRDefault="00FB0DF5" w:rsidP="00FB0DF5">
      <w:pPr>
        <w:spacing w:line="480" w:lineRule="auto"/>
      </w:pPr>
    </w:p>
    <w:p w14:paraId="17A86FCB" w14:textId="77777777" w:rsidR="00AA06E8" w:rsidRDefault="00FB0DF5" w:rsidP="00AA06E8">
      <w:pPr>
        <w:spacing w:line="480" w:lineRule="auto"/>
        <w:rPr>
          <w:b/>
          <w:bCs/>
          <w:iCs/>
          <w:sz w:val="28"/>
          <w:szCs w:val="28"/>
        </w:rPr>
      </w:pPr>
      <w:r w:rsidRPr="00BD0C30">
        <w:rPr>
          <w:b/>
          <w:bCs/>
          <w:iCs/>
          <w:sz w:val="28"/>
          <w:szCs w:val="28"/>
        </w:rPr>
        <w:t>S</w:t>
      </w:r>
      <w:r>
        <w:rPr>
          <w:rFonts w:hint="eastAsia"/>
          <w:b/>
          <w:bCs/>
          <w:iCs/>
          <w:sz w:val="28"/>
          <w:szCs w:val="28"/>
        </w:rPr>
        <w:t>7</w:t>
      </w:r>
      <w:r w:rsidRPr="00BD0C30">
        <w:rPr>
          <w:b/>
          <w:bCs/>
          <w:iCs/>
          <w:sz w:val="28"/>
          <w:szCs w:val="28"/>
        </w:rPr>
        <w:t xml:space="preserve">. </w:t>
      </w:r>
      <w:r>
        <w:rPr>
          <w:b/>
          <w:bCs/>
          <w:iCs/>
          <w:sz w:val="28"/>
          <w:szCs w:val="28"/>
        </w:rPr>
        <w:t xml:space="preserve">The Bayesian interpretation and ideal </w:t>
      </w:r>
      <w:r w:rsidRPr="00FB28D6">
        <w:rPr>
          <w:b/>
          <w:bCs/>
          <w:i/>
          <w:iCs/>
          <w:sz w:val="28"/>
          <w:szCs w:val="28"/>
        </w:rPr>
        <w:t>P</w:t>
      </w:r>
      <w:bookmarkStart w:id="7" w:name="OLE_LINK8"/>
    </w:p>
    <w:p w14:paraId="395FDD50" w14:textId="0880F970" w:rsidR="00FB0DF5" w:rsidRDefault="00FB0DF5" w:rsidP="00AA06E8">
      <w:pPr>
        <w:spacing w:line="480" w:lineRule="auto"/>
        <w:rPr>
          <w:iCs/>
        </w:rPr>
      </w:pPr>
      <w:r w:rsidRPr="00AA06E8">
        <w:rPr>
          <w:iCs/>
        </w:rPr>
        <w:lastRenderedPageBreak/>
        <w:t xml:space="preserve">The distribution of a cell’s expression for a cell randomly drawn from a population is a mixture </w:t>
      </w:r>
      <m:oMath>
        <m:r>
          <w:rPr>
            <w:rFonts w:ascii="Cambria Math" w:hAnsi="Cambria Math"/>
          </w:rPr>
          <m:t>f</m:t>
        </m:r>
        <m:d>
          <m:dPr>
            <m:ctrlPr>
              <w:rPr>
                <w:rFonts w:ascii="Cambria Math" w:hAnsi="Cambria Math"/>
                <w:iCs/>
              </w:rPr>
            </m:ctrlPr>
          </m:dPr>
          <m:e>
            <m:r>
              <w:rPr>
                <w:rFonts w:ascii="Cambria Math" w:hAnsi="Cambria Math"/>
              </w:rPr>
              <m:t>x</m:t>
            </m:r>
          </m:e>
        </m:d>
        <m:r>
          <m:rPr>
            <m:sty m:val="p"/>
          </m:rPr>
          <w:rPr>
            <w:rFonts w:ascii="Cambria Math" w:hAnsi="Cambria Math"/>
          </w:rPr>
          <m:t xml:space="preserve">= </m:t>
        </m:r>
        <m:nary>
          <m:naryPr>
            <m:chr m:val="∑"/>
            <m:limLoc m:val="subSup"/>
            <m:supHide m:val="1"/>
            <m:ctrlPr>
              <w:rPr>
                <w:rFonts w:ascii="Cambria Math" w:hAnsi="Cambria Math"/>
                <w:iCs/>
              </w:rPr>
            </m:ctrlPr>
          </m:naryPr>
          <m:sub>
            <m:r>
              <w:rPr>
                <w:rFonts w:ascii="Cambria Math" w:hAnsi="Cambria Math"/>
              </w:rPr>
              <m:t>k</m:t>
            </m:r>
          </m:sub>
          <m:sup/>
          <m:e>
            <m:sSub>
              <m:sSubPr>
                <m:ctrlPr>
                  <w:rPr>
                    <w:rFonts w:ascii="Cambria Math" w:hAnsi="Cambria Math"/>
                    <w:iCs/>
                  </w:rPr>
                </m:ctrlPr>
              </m:sSubPr>
              <m:e>
                <m:r>
                  <w:rPr>
                    <w:rFonts w:ascii="Cambria Math" w:hAnsi="Cambria Math"/>
                  </w:rPr>
                  <m:t>p</m:t>
                </m:r>
              </m:e>
              <m:sub>
                <m:r>
                  <w:rPr>
                    <w:rFonts w:ascii="Cambria Math" w:hAnsi="Cambria Math"/>
                  </w:rPr>
                  <m:t>k</m:t>
                </m:r>
              </m:sub>
            </m:sSub>
          </m:e>
        </m:nary>
        <m:sSub>
          <m:sSubPr>
            <m:ctrlPr>
              <w:rPr>
                <w:rFonts w:ascii="Cambria Math" w:hAnsi="Cambria Math"/>
                <w:iCs/>
              </w:rPr>
            </m:ctrlPr>
          </m:sSubPr>
          <m:e>
            <m:r>
              <w:rPr>
                <w:rFonts w:ascii="Cambria Math" w:hAnsi="Cambria Math"/>
              </w:rPr>
              <m:t>f</m:t>
            </m:r>
          </m:e>
          <m:sub>
            <m:r>
              <w:rPr>
                <w:rFonts w:ascii="Cambria Math" w:hAnsi="Cambria Math"/>
              </w:rPr>
              <m:t>k</m:t>
            </m:r>
          </m:sub>
        </m:sSub>
        <m:r>
          <m:rPr>
            <m:sty m:val="p"/>
          </m:rPr>
          <w:rPr>
            <w:rFonts w:ascii="Cambria Math" w:hAnsi="Cambria Math"/>
          </w:rPr>
          <m:t>(</m:t>
        </m:r>
        <m:r>
          <w:rPr>
            <w:rFonts w:ascii="Cambria Math" w:hAnsi="Cambria Math"/>
          </w:rPr>
          <m:t>x</m:t>
        </m:r>
        <m:r>
          <m:rPr>
            <m:sty m:val="p"/>
          </m:rPr>
          <w:rPr>
            <w:rFonts w:ascii="Cambria Math" w:hAnsi="Cambria Math"/>
          </w:rPr>
          <m:t>)</m:t>
        </m:r>
      </m:oMath>
      <w:r>
        <w:rPr>
          <w:iCs/>
        </w:rPr>
        <w:t xml:space="preserve">.  From the Bayesian interpretation, the training of a classifier basically includes two components: learning the likelihood </w:t>
      </w:r>
      <m:oMath>
        <m:sSub>
          <m:sSubPr>
            <m:ctrlPr>
              <w:rPr>
                <w:rFonts w:ascii="Cambria Math" w:hAnsi="Cambria Math"/>
                <w:iCs/>
              </w:rPr>
            </m:ctrlPr>
          </m:sSubPr>
          <m:e>
            <m:r>
              <w:rPr>
                <w:rFonts w:ascii="Cambria Math" w:hAnsi="Cambria Math"/>
              </w:rPr>
              <m:t>f</m:t>
            </m:r>
          </m:e>
          <m:sub>
            <m:r>
              <w:rPr>
                <w:rFonts w:ascii="Cambria Math" w:hAnsi="Cambria Math"/>
              </w:rPr>
              <m:t>k</m:t>
            </m:r>
          </m:sub>
        </m:sSub>
      </m:oMath>
      <w:r>
        <w:rPr>
          <w:iCs/>
        </w:rPr>
        <w:t xml:space="preserve"> and the prior probabilities </w:t>
      </w:r>
      <m:oMath>
        <m:sSub>
          <m:sSubPr>
            <m:ctrlPr>
              <w:rPr>
                <w:rFonts w:ascii="Cambria Math" w:hAnsi="Cambria Math"/>
                <w:iCs/>
              </w:rPr>
            </m:ctrlPr>
          </m:sSubPr>
          <m:e>
            <m:r>
              <w:rPr>
                <w:rFonts w:ascii="Cambria Math" w:hAnsi="Cambria Math"/>
              </w:rPr>
              <m:t>p</m:t>
            </m:r>
          </m:e>
          <m:sub>
            <m:r>
              <w:rPr>
                <w:rFonts w:ascii="Cambria Math" w:hAnsi="Cambria Math"/>
              </w:rPr>
              <m:t>k</m:t>
            </m:r>
          </m:sub>
        </m:sSub>
      </m:oMath>
      <w:r>
        <w:rPr>
          <w:iCs/>
        </w:rPr>
        <w:t xml:space="preserve"> such that the posterior probability of </w:t>
      </w:r>
      <m:oMath>
        <m:r>
          <w:rPr>
            <w:rFonts w:ascii="Cambria Math" w:hAnsi="Cambria Math"/>
          </w:rPr>
          <m:t>P</m:t>
        </m:r>
        <m:d>
          <m:dPr>
            <m:ctrlPr>
              <w:rPr>
                <w:rFonts w:ascii="Cambria Math" w:hAnsi="Cambria Math"/>
                <w:iCs/>
              </w:rPr>
            </m:ctrlPr>
          </m:dPr>
          <m:e>
            <m:r>
              <w:rPr>
                <w:rFonts w:ascii="Cambria Math" w:hAnsi="Cambria Math"/>
              </w:rPr>
              <m:t>Y</m:t>
            </m:r>
            <m:r>
              <m:rPr>
                <m:sty m:val="p"/>
              </m:rPr>
              <w:rPr>
                <w:rFonts w:ascii="Cambria Math" w:hAnsi="Cambria Math"/>
              </w:rPr>
              <m:t>=</m:t>
            </m:r>
            <m:r>
              <w:rPr>
                <w:rFonts w:ascii="Cambria Math" w:hAnsi="Cambria Math"/>
              </w:rPr>
              <m:t>k</m:t>
            </m:r>
          </m:e>
          <m:e>
            <m:r>
              <w:rPr>
                <w:rFonts w:ascii="Cambria Math" w:hAnsi="Cambria Math"/>
              </w:rPr>
              <m:t>x</m:t>
            </m:r>
          </m:e>
        </m:d>
      </m:oMath>
      <w:r>
        <w:rPr>
          <w:iCs/>
        </w:rPr>
        <w:t xml:space="preserve"> can be computed.  If the predicted probability from a classifier is a posterior probability, and the only difference between two populations is </w:t>
      </w:r>
      <m:oMath>
        <m:sSup>
          <m:sSupPr>
            <m:ctrlPr>
              <w:rPr>
                <w:rFonts w:ascii="Cambria Math" w:hAnsi="Cambria Math"/>
                <w:iCs/>
              </w:rPr>
            </m:ctrlPr>
          </m:sSupPr>
          <m:e>
            <m:r>
              <w:rPr>
                <w:rFonts w:ascii="Cambria Math" w:hAnsi="Cambria Math"/>
              </w:rPr>
              <m:t>P</m:t>
            </m:r>
          </m:e>
          <m:sup>
            <m:r>
              <w:rPr>
                <w:rFonts w:ascii="Cambria Math" w:hAnsi="Cambria Math"/>
              </w:rPr>
              <m:t>T</m:t>
            </m:r>
          </m:sup>
        </m:sSup>
        <m:r>
          <m:rPr>
            <m:sty m:val="p"/>
          </m:rPr>
          <w:rPr>
            <w:rFonts w:ascii="Cambria Math" w:hAnsi="Cambria Math"/>
          </w:rPr>
          <m:t>≠</m:t>
        </m:r>
        <m:sSup>
          <m:sSupPr>
            <m:ctrlPr>
              <w:rPr>
                <w:rFonts w:ascii="Cambria Math" w:hAnsi="Cambria Math"/>
                <w:iCs/>
              </w:rPr>
            </m:ctrlPr>
          </m:sSupPr>
          <m:e>
            <m:r>
              <w:rPr>
                <w:rFonts w:ascii="Cambria Math" w:hAnsi="Cambria Math"/>
              </w:rPr>
              <m:t>P</m:t>
            </m:r>
          </m:e>
          <m:sup>
            <m:r>
              <w:rPr>
                <w:rFonts w:ascii="Cambria Math" w:hAnsi="Cambria Math"/>
              </w:rPr>
              <m:t>R</m:t>
            </m:r>
          </m:sup>
        </m:sSup>
      </m:oMath>
      <w:r>
        <w:rPr>
          <w:iCs/>
        </w:rPr>
        <w:t xml:space="preserve">, we can simply reweight the reported probability </w:t>
      </w:r>
      <m:oMath>
        <m:r>
          <w:rPr>
            <w:rFonts w:ascii="Cambria Math" w:hAnsi="Cambria Math"/>
          </w:rPr>
          <m:t>P</m:t>
        </m:r>
        <m:d>
          <m:dPr>
            <m:ctrlPr>
              <w:rPr>
                <w:rFonts w:ascii="Cambria Math" w:hAnsi="Cambria Math"/>
                <w:iCs/>
              </w:rPr>
            </m:ctrlPr>
          </m:dPr>
          <m:e>
            <m:r>
              <w:rPr>
                <w:rFonts w:ascii="Cambria Math" w:hAnsi="Cambria Math"/>
              </w:rPr>
              <m:t>Y</m:t>
            </m:r>
            <m:r>
              <m:rPr>
                <m:sty m:val="p"/>
              </m:rPr>
              <w:rPr>
                <w:rFonts w:ascii="Cambria Math" w:hAnsi="Cambria Math"/>
              </w:rPr>
              <m:t>=</m:t>
            </m:r>
            <m:r>
              <w:rPr>
                <w:rFonts w:ascii="Cambria Math" w:hAnsi="Cambria Math"/>
              </w:rPr>
              <m:t>k</m:t>
            </m:r>
          </m:e>
          <m:e>
            <m:r>
              <w:rPr>
                <w:rFonts w:ascii="Cambria Math" w:hAnsi="Cambria Math"/>
              </w:rPr>
              <m:t>x</m:t>
            </m:r>
          </m:e>
        </m:d>
        <m:r>
          <m:rPr>
            <m:sty m:val="p"/>
          </m:rPr>
          <w:rPr>
            <w:rFonts w:ascii="Cambria Math" w:hAnsi="Cambria Math"/>
          </w:rPr>
          <m:t xml:space="preserve"> </m:t>
        </m:r>
      </m:oMath>
      <w:r>
        <w:rPr>
          <w:iCs/>
        </w:rPr>
        <w:t xml:space="preserve">to account for the change of priors, without retraining.    </w:t>
      </w:r>
    </w:p>
    <w:p w14:paraId="2DBA15A3" w14:textId="77777777" w:rsidR="00FB0DF5" w:rsidRPr="005B3E6B" w:rsidRDefault="00FB0DF5" w:rsidP="00AA06E8">
      <w:pPr>
        <w:spacing w:line="480" w:lineRule="auto"/>
        <w:rPr>
          <w:iCs/>
        </w:rPr>
      </w:pPr>
      <w:r w:rsidRPr="00AA06E8">
        <w:rPr>
          <w:iCs/>
        </w:rPr>
        <w:t xml:space="preserve">However, though many </w:t>
      </w:r>
      <w:proofErr w:type="gramStart"/>
      <w:r w:rsidRPr="00AA06E8">
        <w:rPr>
          <w:iCs/>
        </w:rPr>
        <w:t>machine</w:t>
      </w:r>
      <w:proofErr w:type="gramEnd"/>
      <w:r w:rsidRPr="00AA06E8">
        <w:rPr>
          <w:iCs/>
        </w:rPr>
        <w:t xml:space="preserve"> learning algorithms, including MLP, provide a predictive probability resembling the Bayesian posterior probability, simple reweighting without retraining does not provide much</w:t>
      </w:r>
      <w:r w:rsidRPr="005B3E6B">
        <w:rPr>
          <w:iCs/>
        </w:rPr>
        <w:t xml:space="preserve"> improvement (</w:t>
      </w:r>
      <w:r w:rsidRPr="005B3E6B">
        <w:rPr>
          <w:rFonts w:hint="eastAsia"/>
          <w:iCs/>
        </w:rPr>
        <w:t>Figure S8</w:t>
      </w:r>
      <w:r w:rsidRPr="005B3E6B">
        <w:rPr>
          <w:iCs/>
        </w:rPr>
        <w:t xml:space="preserve">). </w:t>
      </w:r>
    </w:p>
    <w:bookmarkEnd w:id="7"/>
    <w:p w14:paraId="56DCE44E" w14:textId="77777777" w:rsidR="00FB0DF5" w:rsidRDefault="00FB0DF5" w:rsidP="00FB0DF5">
      <w:pPr>
        <w:jc w:val="center"/>
      </w:pPr>
      <w:r>
        <w:rPr>
          <w:noProof/>
          <w14:ligatures w14:val="standardContextual"/>
        </w:rPr>
        <w:drawing>
          <wp:inline distT="0" distB="0" distL="0" distR="0" wp14:anchorId="15BBA9BD" wp14:editId="5B6B66A4">
            <wp:extent cx="5966960" cy="2983480"/>
            <wp:effectExtent l="0" t="0" r="2540" b="1270"/>
            <wp:docPr id="1523428149" name="Picture 11" descr="A graph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28149" name="Picture 11" descr="A graph of different colored dot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0068" cy="3005034"/>
                    </a:xfrm>
                    <a:prstGeom prst="rect">
                      <a:avLst/>
                    </a:prstGeom>
                  </pic:spPr>
                </pic:pic>
              </a:graphicData>
            </a:graphic>
          </wp:inline>
        </w:drawing>
      </w:r>
    </w:p>
    <w:p w14:paraId="732F7939" w14:textId="782A201B" w:rsidR="00FB0DF5" w:rsidRDefault="00FB0DF5" w:rsidP="00FB0DF5">
      <w:r>
        <w:rPr>
          <w:rFonts w:hint="eastAsia"/>
        </w:rPr>
        <w:t xml:space="preserve">Figure S8: </w:t>
      </w:r>
      <w:r w:rsidRPr="00871A4C">
        <w:t>The gain in accuracy</w:t>
      </w:r>
      <w:r>
        <w:rPr>
          <w:rFonts w:hint="eastAsia"/>
        </w:rPr>
        <w:t xml:space="preserve"> </w:t>
      </w:r>
      <w:r w:rsidRPr="00871A4C">
        <w:t xml:space="preserve">using the </w:t>
      </w:r>
      <w:r>
        <w:rPr>
          <w:rFonts w:hint="eastAsia"/>
        </w:rPr>
        <w:t xml:space="preserve">simple </w:t>
      </w:r>
      <w:r>
        <w:t>posterior</w:t>
      </w:r>
      <w:r>
        <w:rPr>
          <w:rFonts w:hint="eastAsia"/>
        </w:rPr>
        <w:t xml:space="preserve"> adjustment and using </w:t>
      </w:r>
      <w:r w:rsidRPr="00871A4C">
        <w:t>TORC constructed reference versus using the original reference.</w:t>
      </w:r>
      <w:r>
        <w:rPr>
          <w:rFonts w:hint="eastAsia"/>
        </w:rPr>
        <w:t xml:space="preserve"> </w:t>
      </w:r>
      <w:r w:rsidRPr="00871A4C">
        <w:t xml:space="preserve">Each data point represents the average on 50 different random </w:t>
      </w:r>
      <w:r w:rsidR="00890F04" w:rsidRPr="00871A4C">
        <w:t>seeds</w:t>
      </w:r>
      <w:r w:rsidR="00890F04">
        <w:rPr>
          <w:rFonts w:hint="eastAsia"/>
        </w:rPr>
        <w:t xml:space="preserve"> </w:t>
      </w:r>
      <w:r w:rsidR="00890F04" w:rsidRPr="00890F04">
        <w:rPr>
          <w:rFonts w:hint="eastAsia"/>
        </w:rPr>
        <w:t>for specific analysis task, such as using a reference generated from</w:t>
      </w:r>
      <w:r w:rsidR="00890F04" w:rsidRPr="00890F04">
        <w:t xml:space="preserve"> “Covid CN”</w:t>
      </w:r>
      <w:r w:rsidR="00890F04" w:rsidRPr="00890F04">
        <w:rPr>
          <w:rFonts w:hint="eastAsia"/>
        </w:rPr>
        <w:t xml:space="preserve"> to predict the target </w:t>
      </w:r>
      <w:r w:rsidR="00890F04" w:rsidRPr="00890F04">
        <w:t xml:space="preserve">“Covid </w:t>
      </w:r>
      <w:r w:rsidR="00890F04" w:rsidRPr="00890F04">
        <w:rPr>
          <w:rFonts w:hint="eastAsia"/>
        </w:rPr>
        <w:t>UK</w:t>
      </w:r>
      <w:r w:rsidR="00890F04" w:rsidRPr="00890F04">
        <w:t>”</w:t>
      </w:r>
      <w:r w:rsidRPr="00871A4C">
        <w:t>. The vertical bar indicates the standard deviation of the accuracy gain in the 50 runs.</w:t>
      </w:r>
      <w:r w:rsidRPr="00871A4C">
        <w:rPr>
          <w:rFonts w:hint="eastAsia"/>
        </w:rPr>
        <w:t xml:space="preserve"> </w:t>
      </w:r>
      <w:r>
        <w:t>When the initial predictions are poor, it seems that using prior adjustment may further decrease prediction accuracy.</w:t>
      </w:r>
      <w:r>
        <w:rPr>
          <w:rFonts w:hint="eastAsia"/>
        </w:rPr>
        <w:t xml:space="preserve"> </w:t>
      </w:r>
      <w:r w:rsidRPr="00A76B8C">
        <w:t>In general, TORC surpasses the strategy of employing</w:t>
      </w:r>
      <w:r>
        <w:rPr>
          <w:rFonts w:hint="eastAsia"/>
        </w:rPr>
        <w:t xml:space="preserve"> a </w:t>
      </w:r>
      <w:r w:rsidRPr="00A76B8C">
        <w:t>simple direct adjustment based on the change of prior weights</w:t>
      </w:r>
      <w:r>
        <w:rPr>
          <w:rFonts w:hint="eastAsia"/>
        </w:rPr>
        <w:t xml:space="preserve"> </w:t>
      </w:r>
      <m:oMath>
        <m:sSup>
          <m:sSupPr>
            <m:ctrlPr>
              <w:rPr>
                <w:rFonts w:ascii="Cambria Math" w:hAnsi="Cambria Math"/>
                <w:i/>
              </w:rPr>
            </m:ctrlPr>
          </m:sSupPr>
          <m:e>
            <m:r>
              <w:rPr>
                <w:rFonts w:ascii="Cambria Math" w:hAnsi="Cambria Math"/>
              </w:rPr>
              <m:t>P</m:t>
            </m:r>
          </m:e>
          <m:sup>
            <m:r>
              <w:rPr>
                <w:rFonts w:ascii="Cambria Math" w:hAnsi="Cambria Math"/>
              </w:rPr>
              <m:t>R</m:t>
            </m:r>
          </m:sup>
        </m:sSup>
      </m:oMath>
      <w:r>
        <w:rPr>
          <w:rFonts w:hint="eastAsia"/>
        </w:rPr>
        <w:t xml:space="preserve">. </w:t>
      </w:r>
    </w:p>
    <w:p w14:paraId="7F4A6754" w14:textId="77777777" w:rsidR="00FB0DF5" w:rsidRDefault="00FB0DF5" w:rsidP="00FB0DF5"/>
    <w:p w14:paraId="7964339F" w14:textId="152B04CB" w:rsidR="00FB0DF5" w:rsidRDefault="00FB0DF5" w:rsidP="00FB0DF5">
      <w:pPr>
        <w:spacing w:line="480" w:lineRule="auto"/>
        <w:rPr>
          <w:iCs/>
        </w:rPr>
      </w:pPr>
      <w:r>
        <w:rPr>
          <w:iCs/>
        </w:rPr>
        <w:lastRenderedPageBreak/>
        <w:t xml:space="preserve">This shows that post-training adjustment is not sufficient to account for the different cell-type compositions between the target and reference populations. In contrast, retraining using a TORC constructed reference leads to more improvement. This is likely due to the complexity of non-linear machine learning algorithms that cannot be easily reduced. </w:t>
      </w:r>
    </w:p>
    <w:p w14:paraId="141D4A68" w14:textId="77777777" w:rsidR="00FB0DF5" w:rsidRPr="009846AA" w:rsidRDefault="00FB0DF5" w:rsidP="00FB0DF5">
      <w:pPr>
        <w:spacing w:line="480" w:lineRule="auto"/>
        <w:rPr>
          <w:iCs/>
        </w:rPr>
      </w:pPr>
      <w:r>
        <w:rPr>
          <w:iCs/>
        </w:rPr>
        <w:t>So far, we have shown the benefit in constructing a reference that resembles the target population as much as possible. This is likely the optimal choice if the challenge in identifying each cell-type is uniform. However,</w:t>
      </w:r>
      <w:r>
        <w:rPr>
          <w:rFonts w:hint="eastAsia"/>
          <w:iCs/>
        </w:rPr>
        <w:t xml:space="preserve"> as we have </w:t>
      </w:r>
      <w:r>
        <w:rPr>
          <w:iCs/>
        </w:rPr>
        <w:t>observed,</w:t>
      </w:r>
      <w:r>
        <w:rPr>
          <w:rFonts w:hint="eastAsia"/>
          <w:iCs/>
        </w:rPr>
        <w:t xml:space="preserve"> </w:t>
      </w:r>
      <w:r w:rsidRPr="00EC6DAA">
        <w:rPr>
          <w:rFonts w:hint="eastAsia"/>
          <w:iCs/>
        </w:rPr>
        <w:t>t</w:t>
      </w:r>
      <w:r w:rsidRPr="00EC6DAA">
        <w:rPr>
          <w:iCs/>
        </w:rPr>
        <w:t>he difficulty of classifying each cell</w:t>
      </w:r>
      <w:r>
        <w:rPr>
          <w:iCs/>
        </w:rPr>
        <w:t>-</w:t>
      </w:r>
      <w:r w:rsidRPr="00EC6DAA">
        <w:rPr>
          <w:iCs/>
        </w:rPr>
        <w:t xml:space="preserve">type varies, the importance of </w:t>
      </w:r>
      <w:r>
        <w:rPr>
          <w:iCs/>
        </w:rPr>
        <w:t xml:space="preserve">training sample size </w:t>
      </w:r>
      <w:r w:rsidRPr="00EC6DAA">
        <w:rPr>
          <w:iCs/>
        </w:rPr>
        <w:t>may also differ.</w:t>
      </w:r>
      <w:r>
        <w:rPr>
          <w:rFonts w:hint="eastAsia"/>
          <w:iCs/>
        </w:rPr>
        <w:t xml:space="preserve"> </w:t>
      </w:r>
      <w:r w:rsidRPr="009846AA">
        <w:rPr>
          <w:iCs/>
        </w:rPr>
        <w:t>In other words, we may only need to focus on the cell</w:t>
      </w:r>
      <w:r>
        <w:rPr>
          <w:iCs/>
        </w:rPr>
        <w:t>-</w:t>
      </w:r>
      <w:r w:rsidRPr="009846AA">
        <w:rPr>
          <w:iCs/>
        </w:rPr>
        <w:t xml:space="preserve">types that are easily confused, while </w:t>
      </w:r>
      <w:r>
        <w:rPr>
          <w:rFonts w:hint="eastAsia"/>
          <w:iCs/>
        </w:rPr>
        <w:t xml:space="preserve">prior </w:t>
      </w:r>
      <w:r>
        <w:rPr>
          <w:iCs/>
        </w:rPr>
        <w:t xml:space="preserve">probability </w:t>
      </w:r>
      <w:r w:rsidRPr="009846AA">
        <w:rPr>
          <w:iCs/>
        </w:rPr>
        <w:t xml:space="preserve">of </w:t>
      </w:r>
      <w:r>
        <w:rPr>
          <w:iCs/>
        </w:rPr>
        <w:t xml:space="preserve">the </w:t>
      </w:r>
      <w:r w:rsidRPr="009846AA">
        <w:rPr>
          <w:iCs/>
        </w:rPr>
        <w:t>easy-to-</w:t>
      </w:r>
      <w:r>
        <w:rPr>
          <w:iCs/>
        </w:rPr>
        <w:t>identify</w:t>
      </w:r>
      <w:r w:rsidRPr="009846AA">
        <w:rPr>
          <w:iCs/>
        </w:rPr>
        <w:t xml:space="preserve"> cell</w:t>
      </w:r>
      <w:r>
        <w:rPr>
          <w:iCs/>
        </w:rPr>
        <w:t>-</w:t>
      </w:r>
      <w:r w:rsidRPr="009846AA">
        <w:rPr>
          <w:iCs/>
        </w:rPr>
        <w:t xml:space="preserve">types </w:t>
      </w:r>
      <w:r>
        <w:rPr>
          <w:iCs/>
        </w:rPr>
        <w:t>may</w:t>
      </w:r>
      <w:r w:rsidRPr="009846AA">
        <w:rPr>
          <w:iCs/>
        </w:rPr>
        <w:t xml:space="preserve"> not</w:t>
      </w:r>
      <w:r>
        <w:rPr>
          <w:iCs/>
        </w:rPr>
        <w:t xml:space="preserve"> be</w:t>
      </w:r>
      <w:r w:rsidRPr="009846AA">
        <w:rPr>
          <w:iCs/>
        </w:rPr>
        <w:t xml:space="preserve"> as important.</w:t>
      </w:r>
    </w:p>
    <w:p w14:paraId="42BC4422" w14:textId="77777777" w:rsidR="00FB0DF5" w:rsidRDefault="00FB0DF5" w:rsidP="00FB0DF5">
      <w:pPr>
        <w:spacing w:line="480" w:lineRule="auto"/>
        <w:rPr>
          <w:iCs/>
        </w:rPr>
      </w:pPr>
      <w:r>
        <w:rPr>
          <w:iCs/>
        </w:rPr>
        <w:t>Below we show an example based</w:t>
      </w:r>
      <w:r w:rsidRPr="00DE24FC">
        <w:rPr>
          <w:iCs/>
        </w:rPr>
        <w:t xml:space="preserve"> on </w:t>
      </w:r>
      <w:r>
        <w:rPr>
          <w:iCs/>
        </w:rPr>
        <w:t xml:space="preserve">the </w:t>
      </w:r>
      <w:r w:rsidRPr="00DE24FC">
        <w:rPr>
          <w:iCs/>
        </w:rPr>
        <w:t>FACS data</w:t>
      </w:r>
      <w:r>
        <w:rPr>
          <w:iCs/>
        </w:rPr>
        <w:t xml:space="preserve"> that </w:t>
      </w:r>
      <w:proofErr w:type="gramStart"/>
      <w:r>
        <w:rPr>
          <w:iCs/>
        </w:rPr>
        <w:t>as long as</w:t>
      </w:r>
      <w:proofErr w:type="gramEnd"/>
      <w:r>
        <w:rPr>
          <w:iCs/>
        </w:rPr>
        <w:t xml:space="preserve"> the relative proportions of the challenging cell-types are maintained between the target and the reference, even if the overall </w:t>
      </w:r>
      <m:oMath>
        <m:sSup>
          <m:sSupPr>
            <m:ctrlPr>
              <w:rPr>
                <w:rFonts w:ascii="Cambria Math" w:hAnsi="Cambria Math"/>
                <w:i/>
              </w:rPr>
            </m:ctrlPr>
          </m:sSupPr>
          <m:e>
            <m:r>
              <w:rPr>
                <w:rFonts w:ascii="Cambria Math" w:hAnsi="Cambria Math"/>
              </w:rPr>
              <m:t>P</m:t>
            </m:r>
          </m:e>
          <m:sup>
            <m:r>
              <w:rPr>
                <w:rFonts w:ascii="Cambria Math" w:hAnsi="Cambria Math"/>
              </w:rPr>
              <m:t>R</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T</m:t>
            </m:r>
          </m:sup>
        </m:sSup>
      </m:oMath>
      <w:r>
        <w:t>, we can still have very good classification accuracy.</w:t>
      </w:r>
      <w:r>
        <w:rPr>
          <w:iCs/>
        </w:rPr>
        <w:t xml:space="preserve"> In the FACS data set, the</w:t>
      </w:r>
      <w:r w:rsidRPr="00DE24FC">
        <w:rPr>
          <w:iCs/>
        </w:rPr>
        <w:t xml:space="preserve"> cytotoxic T cells and naive cytotoxic T cells</w:t>
      </w:r>
      <w:r>
        <w:rPr>
          <w:iCs/>
        </w:rPr>
        <w:t xml:space="preserve"> (</w:t>
      </w:r>
      <w:r w:rsidRPr="00DE24FC">
        <w:rPr>
          <w:iCs/>
        </w:rPr>
        <w:t>two CD8 subtypes</w:t>
      </w:r>
      <w:r>
        <w:rPr>
          <w:iCs/>
        </w:rPr>
        <w:t>)</w:t>
      </w:r>
      <w:r w:rsidRPr="00DE24FC">
        <w:rPr>
          <w:iCs/>
        </w:rPr>
        <w:t xml:space="preserve"> are </w:t>
      </w:r>
      <w:r>
        <w:rPr>
          <w:iCs/>
        </w:rPr>
        <w:t xml:space="preserve">the most challenging to differentiate and are </w:t>
      </w:r>
      <w:r w:rsidRPr="00DE24FC">
        <w:rPr>
          <w:iCs/>
        </w:rPr>
        <w:t>easily confused with each other</w:t>
      </w:r>
      <w:r>
        <w:rPr>
          <w:rFonts w:hint="eastAsia"/>
          <w:iCs/>
        </w:rPr>
        <w:t>, while B cells are generally easy targets</w:t>
      </w:r>
      <w:r w:rsidRPr="00DE24FC">
        <w:rPr>
          <w:iCs/>
        </w:rPr>
        <w:t>.</w:t>
      </w:r>
      <w:r>
        <w:rPr>
          <w:rFonts w:hint="eastAsia"/>
          <w:iCs/>
        </w:rPr>
        <w:t xml:space="preserve"> As shown in the Table S5,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1</m:t>
                </m:r>
              </m:sub>
            </m:sSub>
          </m:e>
        </m:acc>
      </m:oMath>
      <w:r>
        <w:rPr>
          <w:rFonts w:hint="eastAsia"/>
        </w:rPr>
        <w:t xml:space="preserve"> </w:t>
      </w:r>
      <w:r w:rsidRPr="00DE24FC">
        <w:rPr>
          <w:iCs/>
        </w:rPr>
        <w:t xml:space="preserve">primarily represents a situation where the proportions of cytotoxic T cells and naive cytotoxic T cells are underestimated, but B cells are overestimated. In contrast,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2</m:t>
                </m:r>
              </m:sub>
            </m:sSub>
          </m:e>
        </m:acc>
      </m:oMath>
      <w:r>
        <w:rPr>
          <w:rFonts w:hint="eastAsia"/>
        </w:rPr>
        <w:t xml:space="preserve"> </w:t>
      </w:r>
      <w:r w:rsidRPr="00DE24FC">
        <w:rPr>
          <w:iCs/>
        </w:rPr>
        <w:t>overestimates CD8 sub</w:t>
      </w:r>
      <w:r>
        <w:rPr>
          <w:rFonts w:hint="eastAsia"/>
          <w:iCs/>
        </w:rPr>
        <w:t xml:space="preserve"> cell-type</w:t>
      </w:r>
      <w:r w:rsidRPr="00DE24FC">
        <w:rPr>
          <w:iCs/>
        </w:rPr>
        <w:t>s but underestimates B cells.</w:t>
      </w:r>
      <w:r>
        <w:rPr>
          <w:iCs/>
        </w:rPr>
        <w:t xml:space="preserve"> Figure S9</w:t>
      </w:r>
      <w:r>
        <w:rPr>
          <w:rFonts w:hint="eastAsia"/>
          <w:iCs/>
        </w:rPr>
        <w:t xml:space="preserve"> </w:t>
      </w:r>
      <w:r w:rsidRPr="00341A21">
        <w:rPr>
          <w:iCs/>
        </w:rPr>
        <w:t>demonstrates that even if there is a discrepancy between the cell composition</w:t>
      </w:r>
      <w:r>
        <w:rPr>
          <w:rFonts w:hint="eastAsia"/>
          <w:iCs/>
        </w:rPr>
        <w:t xml:space="preserve"> of </w:t>
      </w:r>
      <w:r w:rsidRPr="00341A21">
        <w:rPr>
          <w:iCs/>
        </w:rPr>
        <w:t>constructed reference and the true values of the target, as long as the relative relationship of challenging cell</w:t>
      </w:r>
      <w:r>
        <w:rPr>
          <w:iCs/>
        </w:rPr>
        <w:t>-</w:t>
      </w:r>
      <w:r w:rsidRPr="00341A21">
        <w:rPr>
          <w:iCs/>
        </w:rPr>
        <w:t xml:space="preserve">types </w:t>
      </w:r>
      <w:r>
        <w:rPr>
          <w:rFonts w:hint="eastAsia"/>
          <w:iCs/>
        </w:rPr>
        <w:t>remains well in the constructed reference</w:t>
      </w:r>
      <w:r>
        <w:rPr>
          <w:iCs/>
        </w:rPr>
        <w:t xml:space="preserve"> (in this case, the odds are 4:1 in both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1</m:t>
                </m:r>
              </m:sub>
            </m:sSub>
          </m:e>
        </m:acc>
      </m:oMath>
      <w:r>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2</m:t>
                </m:r>
              </m:sub>
            </m:sSub>
          </m:e>
        </m:acc>
      </m:oMath>
      <w:r>
        <w:t>)</w:t>
      </w:r>
      <w:r w:rsidRPr="00341A21">
        <w:rPr>
          <w:iCs/>
        </w:rPr>
        <w:t>, we can refine our initial predictions.</w:t>
      </w:r>
      <w:r>
        <w:rPr>
          <w:rFonts w:hint="eastAsia"/>
          <w:iCs/>
        </w:rPr>
        <w:t xml:space="preserve"> </w:t>
      </w:r>
    </w:p>
    <w:p w14:paraId="4B8EA9B6" w14:textId="77777777" w:rsidR="00FB0DF5" w:rsidRDefault="00FB0DF5" w:rsidP="00FB0DF5">
      <w:pPr>
        <w:rPr>
          <w:b/>
          <w:bCs/>
        </w:rPr>
      </w:pPr>
      <w:r>
        <w:rPr>
          <w:b/>
          <w:bCs/>
        </w:rPr>
        <w:t>Table</w:t>
      </w:r>
      <w:r>
        <w:rPr>
          <w:rFonts w:hint="eastAsia"/>
          <w:b/>
          <w:bCs/>
        </w:rPr>
        <w:t xml:space="preserve"> S5</w:t>
      </w:r>
      <w:r>
        <w:rPr>
          <w:b/>
          <w:bCs/>
        </w:rPr>
        <w:t xml:space="preserve">: </w:t>
      </w:r>
      <w:r>
        <w:rPr>
          <w:rFonts w:hint="eastAsia"/>
          <w:b/>
          <w:bCs/>
        </w:rPr>
        <w:t xml:space="preserve">Cell-type proportion for constructed reference generated from </w:t>
      </w:r>
      <w:r w:rsidRPr="00C536DB">
        <w:rPr>
          <w:b/>
          <w:bCs/>
        </w:rPr>
        <w:t>“</w:t>
      </w:r>
      <w:r w:rsidRPr="00C536DB">
        <w:rPr>
          <w:rFonts w:hint="eastAsia"/>
          <w:b/>
          <w:bCs/>
        </w:rPr>
        <w:t>FACS</w:t>
      </w:r>
      <w:r w:rsidRPr="00C536DB">
        <w:rPr>
          <w:b/>
          <w:bCs/>
        </w:rPr>
        <w:t>”</w:t>
      </w:r>
      <w:r w:rsidRPr="00C536DB">
        <w:rPr>
          <w:rFonts w:hint="eastAsia"/>
          <w:b/>
          <w:bCs/>
        </w:rPr>
        <w:t xml:space="preserve"> </w:t>
      </w:r>
      <w:r w:rsidRPr="00C536DB">
        <w:rPr>
          <w:b/>
          <w:bCs/>
        </w:rPr>
        <w:t>dataset</w:t>
      </w:r>
    </w:p>
    <w:p w14:paraId="3B119165" w14:textId="77777777" w:rsidR="00FB0DF5" w:rsidRPr="000412FC" w:rsidRDefault="00FB0DF5" w:rsidP="00FB0DF5">
      <w:pPr>
        <w:rPr>
          <w:b/>
          <w:bCs/>
        </w:rPr>
      </w:pPr>
    </w:p>
    <w:tbl>
      <w:tblPr>
        <w:tblStyle w:val="TableGrid"/>
        <w:tblW w:w="0" w:type="auto"/>
        <w:tblInd w:w="10" w:type="dxa"/>
        <w:tblLook w:val="04A0" w:firstRow="1" w:lastRow="0" w:firstColumn="1" w:lastColumn="0" w:noHBand="0" w:noVBand="1"/>
      </w:tblPr>
      <w:tblGrid>
        <w:gridCol w:w="645"/>
        <w:gridCol w:w="1120"/>
        <w:gridCol w:w="1120"/>
        <w:gridCol w:w="847"/>
        <w:gridCol w:w="940"/>
        <w:gridCol w:w="774"/>
        <w:gridCol w:w="1234"/>
        <w:gridCol w:w="774"/>
        <w:gridCol w:w="1234"/>
        <w:gridCol w:w="652"/>
      </w:tblGrid>
      <w:tr w:rsidR="00FB0DF5" w14:paraId="07B9367D" w14:textId="77777777" w:rsidTr="004C6ED0">
        <w:tc>
          <w:tcPr>
            <w:tcW w:w="777" w:type="dxa"/>
          </w:tcPr>
          <w:p w14:paraId="2C03A736" w14:textId="77777777" w:rsidR="00FB0DF5" w:rsidRPr="00B412EB" w:rsidRDefault="00FB0DF5" w:rsidP="004C6ED0">
            <w:pPr>
              <w:rPr>
                <w:b/>
                <w:bCs/>
                <w:sz w:val="21"/>
                <w:szCs w:val="21"/>
              </w:rPr>
            </w:pPr>
          </w:p>
        </w:tc>
        <w:tc>
          <w:tcPr>
            <w:tcW w:w="1163" w:type="dxa"/>
          </w:tcPr>
          <w:p w14:paraId="23327C17" w14:textId="77777777" w:rsidR="00FB0DF5" w:rsidRPr="00B412EB" w:rsidRDefault="00FB0DF5" w:rsidP="004C6ED0">
            <w:pPr>
              <w:jc w:val="center"/>
              <w:rPr>
                <w:b/>
                <w:bCs/>
                <w:sz w:val="21"/>
                <w:szCs w:val="21"/>
              </w:rPr>
            </w:pPr>
            <w:r w:rsidRPr="00B412EB">
              <w:rPr>
                <w:sz w:val="21"/>
                <w:szCs w:val="21"/>
              </w:rPr>
              <w:t>Cytotoxic T cells</w:t>
            </w:r>
          </w:p>
        </w:tc>
        <w:tc>
          <w:tcPr>
            <w:tcW w:w="1163" w:type="dxa"/>
          </w:tcPr>
          <w:p w14:paraId="62CF3E0B" w14:textId="77777777" w:rsidR="00FB0DF5" w:rsidRPr="00B412EB" w:rsidRDefault="00FB0DF5" w:rsidP="004C6ED0">
            <w:pPr>
              <w:jc w:val="center"/>
              <w:rPr>
                <w:sz w:val="21"/>
                <w:szCs w:val="21"/>
              </w:rPr>
            </w:pPr>
            <w:r w:rsidRPr="00B412EB">
              <w:rPr>
                <w:sz w:val="21"/>
                <w:szCs w:val="21"/>
              </w:rPr>
              <w:t>Naive</w:t>
            </w:r>
          </w:p>
          <w:p w14:paraId="438C14F9" w14:textId="77777777" w:rsidR="00FB0DF5" w:rsidRPr="00B412EB" w:rsidRDefault="00FB0DF5" w:rsidP="004C6ED0">
            <w:pPr>
              <w:jc w:val="center"/>
              <w:rPr>
                <w:b/>
                <w:bCs/>
                <w:sz w:val="21"/>
                <w:szCs w:val="21"/>
              </w:rPr>
            </w:pPr>
            <w:r w:rsidRPr="00B412EB">
              <w:rPr>
                <w:sz w:val="21"/>
                <w:szCs w:val="21"/>
              </w:rPr>
              <w:t>Cytotoxic T cells</w:t>
            </w:r>
          </w:p>
        </w:tc>
        <w:tc>
          <w:tcPr>
            <w:tcW w:w="881" w:type="dxa"/>
          </w:tcPr>
          <w:p w14:paraId="700D5A4A" w14:textId="77777777" w:rsidR="00FB0DF5" w:rsidRPr="00B412EB" w:rsidRDefault="00FB0DF5" w:rsidP="004C6ED0">
            <w:pPr>
              <w:jc w:val="center"/>
              <w:rPr>
                <w:b/>
                <w:bCs/>
                <w:sz w:val="21"/>
                <w:szCs w:val="21"/>
              </w:rPr>
            </w:pPr>
            <w:r w:rsidRPr="00B412EB">
              <w:rPr>
                <w:sz w:val="21"/>
                <w:szCs w:val="21"/>
              </w:rPr>
              <w:t>Helper T cells</w:t>
            </w:r>
          </w:p>
        </w:tc>
        <w:tc>
          <w:tcPr>
            <w:tcW w:w="494" w:type="dxa"/>
          </w:tcPr>
          <w:p w14:paraId="4B4DADD0" w14:textId="77777777" w:rsidR="00FB0DF5" w:rsidRPr="00B412EB" w:rsidRDefault="00FB0DF5" w:rsidP="004C6ED0">
            <w:pPr>
              <w:jc w:val="center"/>
              <w:rPr>
                <w:sz w:val="21"/>
                <w:szCs w:val="21"/>
              </w:rPr>
            </w:pPr>
            <w:r w:rsidRPr="00B412EB">
              <w:rPr>
                <w:sz w:val="21"/>
                <w:szCs w:val="21"/>
              </w:rPr>
              <w:t>Memory T cells</w:t>
            </w:r>
          </w:p>
        </w:tc>
        <w:tc>
          <w:tcPr>
            <w:tcW w:w="807" w:type="dxa"/>
          </w:tcPr>
          <w:p w14:paraId="7E11D1CF" w14:textId="77777777" w:rsidR="00FB0DF5" w:rsidRPr="00B412EB" w:rsidRDefault="00FB0DF5" w:rsidP="004C6ED0">
            <w:pPr>
              <w:jc w:val="center"/>
              <w:rPr>
                <w:b/>
                <w:bCs/>
                <w:sz w:val="21"/>
                <w:szCs w:val="21"/>
              </w:rPr>
            </w:pPr>
            <w:r w:rsidRPr="00B412EB">
              <w:rPr>
                <w:sz w:val="21"/>
                <w:szCs w:val="21"/>
              </w:rPr>
              <w:t>Naive T cells</w:t>
            </w:r>
          </w:p>
        </w:tc>
        <w:tc>
          <w:tcPr>
            <w:tcW w:w="1283" w:type="dxa"/>
          </w:tcPr>
          <w:p w14:paraId="0CAAFCD2" w14:textId="77777777" w:rsidR="00FB0DF5" w:rsidRPr="00B412EB" w:rsidRDefault="00FB0DF5" w:rsidP="004C6ED0">
            <w:pPr>
              <w:jc w:val="center"/>
              <w:rPr>
                <w:b/>
                <w:bCs/>
                <w:sz w:val="21"/>
                <w:szCs w:val="21"/>
              </w:rPr>
            </w:pPr>
            <w:r w:rsidRPr="00B412EB">
              <w:rPr>
                <w:sz w:val="21"/>
                <w:szCs w:val="21"/>
              </w:rPr>
              <w:t>Regulatory T cells</w:t>
            </w:r>
          </w:p>
        </w:tc>
        <w:tc>
          <w:tcPr>
            <w:tcW w:w="807" w:type="dxa"/>
          </w:tcPr>
          <w:p w14:paraId="16B1B944" w14:textId="77777777" w:rsidR="00FB0DF5" w:rsidRPr="00B412EB" w:rsidRDefault="00FB0DF5" w:rsidP="004C6ED0">
            <w:pPr>
              <w:jc w:val="center"/>
              <w:rPr>
                <w:b/>
                <w:bCs/>
                <w:sz w:val="21"/>
                <w:szCs w:val="21"/>
              </w:rPr>
            </w:pPr>
            <w:r w:rsidRPr="00B412EB">
              <w:rPr>
                <w:sz w:val="21"/>
                <w:szCs w:val="21"/>
              </w:rPr>
              <w:t>CD56 NK cells</w:t>
            </w:r>
          </w:p>
        </w:tc>
        <w:tc>
          <w:tcPr>
            <w:tcW w:w="1283" w:type="dxa"/>
          </w:tcPr>
          <w:p w14:paraId="3B1D294A" w14:textId="77777777" w:rsidR="00FB0DF5" w:rsidRPr="00B412EB" w:rsidRDefault="00FB0DF5" w:rsidP="004C6ED0">
            <w:pPr>
              <w:jc w:val="center"/>
              <w:rPr>
                <w:b/>
                <w:bCs/>
                <w:sz w:val="21"/>
                <w:szCs w:val="21"/>
              </w:rPr>
            </w:pPr>
            <w:r w:rsidRPr="00B412EB">
              <w:rPr>
                <w:sz w:val="21"/>
                <w:szCs w:val="21"/>
              </w:rPr>
              <w:t>CD14+ Monocytes</w:t>
            </w:r>
          </w:p>
        </w:tc>
        <w:tc>
          <w:tcPr>
            <w:tcW w:w="682" w:type="dxa"/>
          </w:tcPr>
          <w:p w14:paraId="68C5CF93" w14:textId="77777777" w:rsidR="00FB0DF5" w:rsidRPr="00B412EB" w:rsidRDefault="00FB0DF5" w:rsidP="004C6ED0">
            <w:pPr>
              <w:jc w:val="center"/>
              <w:rPr>
                <w:b/>
                <w:bCs/>
                <w:sz w:val="21"/>
                <w:szCs w:val="21"/>
              </w:rPr>
            </w:pPr>
            <w:r w:rsidRPr="00B412EB">
              <w:rPr>
                <w:sz w:val="21"/>
                <w:szCs w:val="21"/>
              </w:rPr>
              <w:t>B cells</w:t>
            </w:r>
          </w:p>
        </w:tc>
      </w:tr>
      <w:tr w:rsidR="00FB0DF5" w14:paraId="5A683481" w14:textId="77777777" w:rsidTr="004C6ED0">
        <w:tc>
          <w:tcPr>
            <w:tcW w:w="777" w:type="dxa"/>
          </w:tcPr>
          <w:p w14:paraId="676C0517" w14:textId="77777777" w:rsidR="00FB0DF5" w:rsidRPr="00B412EB" w:rsidRDefault="00000000" w:rsidP="004C6ED0">
            <w:pPr>
              <w:rPr>
                <w:i/>
                <w:sz w:val="21"/>
                <w:szCs w:val="21"/>
              </w:rPr>
            </w:pPr>
            <m:oMathPara>
              <m:oMath>
                <m:acc>
                  <m:accPr>
                    <m:chr m:val="̃"/>
                    <m:ctrlPr>
                      <w:rPr>
                        <w:rFonts w:ascii="Cambria Math" w:hAnsi="Cambria Math"/>
                        <w:i/>
                        <w:sz w:val="21"/>
                        <w:szCs w:val="21"/>
                      </w:rPr>
                    </m:ctrlPr>
                  </m:accPr>
                  <m:e>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1</m:t>
                        </m:r>
                      </m:sub>
                    </m:sSub>
                  </m:e>
                </m:acc>
              </m:oMath>
            </m:oMathPara>
          </w:p>
        </w:tc>
        <w:tc>
          <w:tcPr>
            <w:tcW w:w="1163" w:type="dxa"/>
          </w:tcPr>
          <w:p w14:paraId="360C3F96" w14:textId="77777777" w:rsidR="00FB0DF5" w:rsidRPr="00B412EB" w:rsidRDefault="00FB0DF5" w:rsidP="004C6ED0">
            <w:pPr>
              <w:jc w:val="center"/>
              <w:rPr>
                <w:sz w:val="21"/>
                <w:szCs w:val="21"/>
              </w:rPr>
            </w:pPr>
            <w:r w:rsidRPr="00B412EB">
              <w:rPr>
                <w:rFonts w:hint="eastAsia"/>
                <w:sz w:val="21"/>
                <w:szCs w:val="21"/>
              </w:rPr>
              <w:t>0.2</w:t>
            </w:r>
          </w:p>
        </w:tc>
        <w:tc>
          <w:tcPr>
            <w:tcW w:w="1163" w:type="dxa"/>
          </w:tcPr>
          <w:p w14:paraId="0EF03D7B" w14:textId="77777777" w:rsidR="00FB0DF5" w:rsidRPr="00B412EB" w:rsidRDefault="00FB0DF5" w:rsidP="004C6ED0">
            <w:pPr>
              <w:jc w:val="center"/>
              <w:rPr>
                <w:sz w:val="21"/>
                <w:szCs w:val="21"/>
              </w:rPr>
            </w:pPr>
            <w:r w:rsidRPr="00B412EB">
              <w:rPr>
                <w:rFonts w:hint="eastAsia"/>
                <w:sz w:val="21"/>
                <w:szCs w:val="21"/>
              </w:rPr>
              <w:t>0.05</w:t>
            </w:r>
          </w:p>
        </w:tc>
        <w:tc>
          <w:tcPr>
            <w:tcW w:w="881" w:type="dxa"/>
          </w:tcPr>
          <w:p w14:paraId="31733EF2" w14:textId="77777777" w:rsidR="00FB0DF5" w:rsidRPr="00B412EB" w:rsidRDefault="00FB0DF5" w:rsidP="004C6ED0">
            <w:pPr>
              <w:jc w:val="center"/>
              <w:rPr>
                <w:sz w:val="21"/>
                <w:szCs w:val="21"/>
              </w:rPr>
            </w:pPr>
            <w:r w:rsidRPr="00B412EB">
              <w:rPr>
                <w:rFonts w:hint="eastAsia"/>
                <w:sz w:val="21"/>
                <w:szCs w:val="21"/>
              </w:rPr>
              <w:t>0.02</w:t>
            </w:r>
          </w:p>
        </w:tc>
        <w:tc>
          <w:tcPr>
            <w:tcW w:w="494" w:type="dxa"/>
          </w:tcPr>
          <w:p w14:paraId="2D42AAA6" w14:textId="77777777" w:rsidR="00FB0DF5" w:rsidRPr="00B412EB" w:rsidRDefault="00FB0DF5" w:rsidP="004C6ED0">
            <w:pPr>
              <w:jc w:val="center"/>
              <w:rPr>
                <w:sz w:val="21"/>
                <w:szCs w:val="21"/>
              </w:rPr>
            </w:pPr>
            <w:r w:rsidRPr="00B412EB">
              <w:rPr>
                <w:sz w:val="21"/>
                <w:szCs w:val="21"/>
              </w:rPr>
              <w:t>0.02</w:t>
            </w:r>
          </w:p>
        </w:tc>
        <w:tc>
          <w:tcPr>
            <w:tcW w:w="807" w:type="dxa"/>
          </w:tcPr>
          <w:p w14:paraId="719968E2" w14:textId="77777777" w:rsidR="00FB0DF5" w:rsidRPr="00B412EB" w:rsidRDefault="00FB0DF5" w:rsidP="004C6ED0">
            <w:pPr>
              <w:jc w:val="center"/>
              <w:rPr>
                <w:sz w:val="21"/>
                <w:szCs w:val="21"/>
              </w:rPr>
            </w:pPr>
            <w:r w:rsidRPr="00B412EB">
              <w:rPr>
                <w:rFonts w:hint="eastAsia"/>
                <w:sz w:val="21"/>
                <w:szCs w:val="21"/>
              </w:rPr>
              <w:t>0.02</w:t>
            </w:r>
          </w:p>
        </w:tc>
        <w:tc>
          <w:tcPr>
            <w:tcW w:w="1283" w:type="dxa"/>
          </w:tcPr>
          <w:p w14:paraId="2559AA5A" w14:textId="77777777" w:rsidR="00FB0DF5" w:rsidRPr="00B412EB" w:rsidRDefault="00FB0DF5" w:rsidP="004C6ED0">
            <w:pPr>
              <w:jc w:val="center"/>
              <w:rPr>
                <w:sz w:val="21"/>
                <w:szCs w:val="21"/>
              </w:rPr>
            </w:pPr>
            <w:r w:rsidRPr="00B412EB">
              <w:rPr>
                <w:rFonts w:hint="eastAsia"/>
                <w:sz w:val="21"/>
                <w:szCs w:val="21"/>
              </w:rPr>
              <w:t>0.02</w:t>
            </w:r>
          </w:p>
        </w:tc>
        <w:tc>
          <w:tcPr>
            <w:tcW w:w="807" w:type="dxa"/>
          </w:tcPr>
          <w:p w14:paraId="7BE90919" w14:textId="77777777" w:rsidR="00FB0DF5" w:rsidRPr="00B412EB" w:rsidRDefault="00FB0DF5" w:rsidP="004C6ED0">
            <w:pPr>
              <w:jc w:val="center"/>
              <w:rPr>
                <w:sz w:val="21"/>
                <w:szCs w:val="21"/>
              </w:rPr>
            </w:pPr>
            <w:r w:rsidRPr="00B412EB">
              <w:rPr>
                <w:rFonts w:hint="eastAsia"/>
                <w:sz w:val="21"/>
                <w:szCs w:val="21"/>
              </w:rPr>
              <w:t>0.02</w:t>
            </w:r>
          </w:p>
        </w:tc>
        <w:tc>
          <w:tcPr>
            <w:tcW w:w="1283" w:type="dxa"/>
          </w:tcPr>
          <w:p w14:paraId="360EEC15" w14:textId="77777777" w:rsidR="00FB0DF5" w:rsidRPr="00B412EB" w:rsidRDefault="00FB0DF5" w:rsidP="004C6ED0">
            <w:pPr>
              <w:jc w:val="center"/>
              <w:rPr>
                <w:sz w:val="21"/>
                <w:szCs w:val="21"/>
              </w:rPr>
            </w:pPr>
            <w:r w:rsidRPr="00B412EB">
              <w:rPr>
                <w:rFonts w:hint="eastAsia"/>
                <w:sz w:val="21"/>
                <w:szCs w:val="21"/>
              </w:rPr>
              <w:t>0.1</w:t>
            </w:r>
          </w:p>
        </w:tc>
        <w:tc>
          <w:tcPr>
            <w:tcW w:w="682" w:type="dxa"/>
          </w:tcPr>
          <w:p w14:paraId="7583BFF6" w14:textId="77777777" w:rsidR="00FB0DF5" w:rsidRPr="00B412EB" w:rsidRDefault="00FB0DF5" w:rsidP="004C6ED0">
            <w:pPr>
              <w:jc w:val="center"/>
              <w:rPr>
                <w:sz w:val="21"/>
                <w:szCs w:val="21"/>
              </w:rPr>
            </w:pPr>
            <w:r w:rsidRPr="00B412EB">
              <w:rPr>
                <w:rFonts w:hint="eastAsia"/>
                <w:sz w:val="21"/>
                <w:szCs w:val="21"/>
              </w:rPr>
              <w:t>0.55</w:t>
            </w:r>
          </w:p>
        </w:tc>
      </w:tr>
      <w:tr w:rsidR="00FB0DF5" w14:paraId="0CEFD950" w14:textId="77777777" w:rsidTr="004C6ED0">
        <w:tc>
          <w:tcPr>
            <w:tcW w:w="777" w:type="dxa"/>
          </w:tcPr>
          <w:p w14:paraId="6AB327AE" w14:textId="77777777" w:rsidR="00FB0DF5" w:rsidRPr="00B412EB" w:rsidRDefault="00000000" w:rsidP="004C6ED0">
            <w:pPr>
              <w:rPr>
                <w:sz w:val="21"/>
                <w:szCs w:val="21"/>
              </w:rPr>
            </w:pPr>
            <m:oMathPara>
              <m:oMath>
                <m:acc>
                  <m:accPr>
                    <m:chr m:val="̃"/>
                    <m:ctrlPr>
                      <w:rPr>
                        <w:rFonts w:ascii="Cambria Math" w:hAnsi="Cambria Math"/>
                        <w:i/>
                        <w:sz w:val="21"/>
                        <w:szCs w:val="21"/>
                      </w:rPr>
                    </m:ctrlPr>
                  </m:accPr>
                  <m:e>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2</m:t>
                        </m:r>
                      </m:sub>
                    </m:sSub>
                  </m:e>
                </m:acc>
              </m:oMath>
            </m:oMathPara>
          </w:p>
        </w:tc>
        <w:tc>
          <w:tcPr>
            <w:tcW w:w="1163" w:type="dxa"/>
          </w:tcPr>
          <w:p w14:paraId="760630D9" w14:textId="77777777" w:rsidR="00FB0DF5" w:rsidRPr="00B412EB" w:rsidRDefault="00FB0DF5" w:rsidP="004C6ED0">
            <w:pPr>
              <w:jc w:val="center"/>
              <w:rPr>
                <w:sz w:val="21"/>
                <w:szCs w:val="21"/>
              </w:rPr>
            </w:pPr>
            <w:r w:rsidRPr="00B412EB">
              <w:rPr>
                <w:rFonts w:hint="eastAsia"/>
                <w:sz w:val="21"/>
                <w:szCs w:val="21"/>
              </w:rPr>
              <w:t>0.6</w:t>
            </w:r>
          </w:p>
        </w:tc>
        <w:tc>
          <w:tcPr>
            <w:tcW w:w="1163" w:type="dxa"/>
          </w:tcPr>
          <w:p w14:paraId="668CF196" w14:textId="77777777" w:rsidR="00FB0DF5" w:rsidRPr="00B412EB" w:rsidRDefault="00FB0DF5" w:rsidP="004C6ED0">
            <w:pPr>
              <w:jc w:val="center"/>
              <w:rPr>
                <w:sz w:val="21"/>
                <w:szCs w:val="21"/>
              </w:rPr>
            </w:pPr>
            <w:r w:rsidRPr="00B412EB">
              <w:rPr>
                <w:rFonts w:hint="eastAsia"/>
                <w:sz w:val="21"/>
                <w:szCs w:val="21"/>
              </w:rPr>
              <w:t>0.15</w:t>
            </w:r>
          </w:p>
        </w:tc>
        <w:tc>
          <w:tcPr>
            <w:tcW w:w="881" w:type="dxa"/>
          </w:tcPr>
          <w:p w14:paraId="481CF1F7" w14:textId="77777777" w:rsidR="00FB0DF5" w:rsidRPr="00B412EB" w:rsidRDefault="00FB0DF5" w:rsidP="004C6ED0">
            <w:pPr>
              <w:jc w:val="center"/>
              <w:rPr>
                <w:sz w:val="21"/>
                <w:szCs w:val="21"/>
              </w:rPr>
            </w:pPr>
            <w:r w:rsidRPr="00B412EB">
              <w:rPr>
                <w:rFonts w:hint="eastAsia"/>
                <w:sz w:val="21"/>
                <w:szCs w:val="21"/>
              </w:rPr>
              <w:t>0.03</w:t>
            </w:r>
          </w:p>
        </w:tc>
        <w:tc>
          <w:tcPr>
            <w:tcW w:w="494" w:type="dxa"/>
          </w:tcPr>
          <w:p w14:paraId="197B6ED8" w14:textId="77777777" w:rsidR="00FB0DF5" w:rsidRPr="00B412EB" w:rsidRDefault="00FB0DF5" w:rsidP="004C6ED0">
            <w:pPr>
              <w:jc w:val="center"/>
              <w:rPr>
                <w:sz w:val="21"/>
                <w:szCs w:val="21"/>
              </w:rPr>
            </w:pPr>
            <w:r>
              <w:rPr>
                <w:sz w:val="21"/>
                <w:szCs w:val="21"/>
              </w:rPr>
              <w:t>0.03</w:t>
            </w:r>
          </w:p>
        </w:tc>
        <w:tc>
          <w:tcPr>
            <w:tcW w:w="807" w:type="dxa"/>
          </w:tcPr>
          <w:p w14:paraId="2F580D57" w14:textId="77777777" w:rsidR="00FB0DF5" w:rsidRPr="00B412EB" w:rsidRDefault="00FB0DF5" w:rsidP="004C6ED0">
            <w:pPr>
              <w:jc w:val="center"/>
              <w:rPr>
                <w:sz w:val="21"/>
                <w:szCs w:val="21"/>
              </w:rPr>
            </w:pPr>
            <w:r w:rsidRPr="00B412EB">
              <w:rPr>
                <w:rFonts w:hint="eastAsia"/>
                <w:sz w:val="21"/>
                <w:szCs w:val="21"/>
              </w:rPr>
              <w:t>0.03</w:t>
            </w:r>
          </w:p>
        </w:tc>
        <w:tc>
          <w:tcPr>
            <w:tcW w:w="1283" w:type="dxa"/>
          </w:tcPr>
          <w:p w14:paraId="60049746" w14:textId="77777777" w:rsidR="00FB0DF5" w:rsidRPr="00B412EB" w:rsidRDefault="00FB0DF5" w:rsidP="004C6ED0">
            <w:pPr>
              <w:jc w:val="center"/>
              <w:rPr>
                <w:sz w:val="21"/>
                <w:szCs w:val="21"/>
              </w:rPr>
            </w:pPr>
            <w:r w:rsidRPr="00B412EB">
              <w:rPr>
                <w:rFonts w:hint="eastAsia"/>
                <w:sz w:val="21"/>
                <w:szCs w:val="21"/>
              </w:rPr>
              <w:t>0.03</w:t>
            </w:r>
          </w:p>
        </w:tc>
        <w:tc>
          <w:tcPr>
            <w:tcW w:w="807" w:type="dxa"/>
          </w:tcPr>
          <w:p w14:paraId="2B2C3C03" w14:textId="77777777" w:rsidR="00FB0DF5" w:rsidRPr="00B412EB" w:rsidRDefault="00FB0DF5" w:rsidP="004C6ED0">
            <w:pPr>
              <w:jc w:val="center"/>
              <w:rPr>
                <w:sz w:val="21"/>
                <w:szCs w:val="21"/>
              </w:rPr>
            </w:pPr>
            <w:r w:rsidRPr="00B412EB">
              <w:rPr>
                <w:rFonts w:hint="eastAsia"/>
                <w:sz w:val="21"/>
                <w:szCs w:val="21"/>
              </w:rPr>
              <w:t>0.03</w:t>
            </w:r>
          </w:p>
        </w:tc>
        <w:tc>
          <w:tcPr>
            <w:tcW w:w="1283" w:type="dxa"/>
          </w:tcPr>
          <w:p w14:paraId="5B0701ED" w14:textId="77777777" w:rsidR="00FB0DF5" w:rsidRPr="00B412EB" w:rsidRDefault="00FB0DF5" w:rsidP="004C6ED0">
            <w:pPr>
              <w:jc w:val="center"/>
              <w:rPr>
                <w:sz w:val="21"/>
                <w:szCs w:val="21"/>
              </w:rPr>
            </w:pPr>
            <w:r w:rsidRPr="00B412EB">
              <w:rPr>
                <w:rFonts w:hint="eastAsia"/>
                <w:sz w:val="21"/>
                <w:szCs w:val="21"/>
              </w:rPr>
              <w:t>0.04</w:t>
            </w:r>
          </w:p>
        </w:tc>
        <w:tc>
          <w:tcPr>
            <w:tcW w:w="682" w:type="dxa"/>
          </w:tcPr>
          <w:p w14:paraId="36E1BBD6" w14:textId="77777777" w:rsidR="00FB0DF5" w:rsidRPr="00B412EB" w:rsidRDefault="00FB0DF5" w:rsidP="004C6ED0">
            <w:pPr>
              <w:jc w:val="center"/>
              <w:rPr>
                <w:sz w:val="21"/>
                <w:szCs w:val="21"/>
              </w:rPr>
            </w:pPr>
            <w:r w:rsidRPr="00B412EB">
              <w:rPr>
                <w:rFonts w:hint="eastAsia"/>
                <w:sz w:val="21"/>
                <w:szCs w:val="21"/>
              </w:rPr>
              <w:t>0.06</w:t>
            </w:r>
          </w:p>
        </w:tc>
      </w:tr>
    </w:tbl>
    <w:p w14:paraId="687079FF" w14:textId="77777777" w:rsidR="00FB0DF5" w:rsidRDefault="00FB0DF5" w:rsidP="00FB0DF5"/>
    <w:p w14:paraId="3E0524B9" w14:textId="77777777" w:rsidR="00FB0DF5" w:rsidRDefault="00FB0DF5" w:rsidP="00FB0DF5">
      <w:r>
        <w:rPr>
          <w:noProof/>
          <w14:ligatures w14:val="standardContextual"/>
        </w:rPr>
        <w:drawing>
          <wp:inline distT="0" distB="0" distL="0" distR="0" wp14:anchorId="424D7725" wp14:editId="30E0B0EA">
            <wp:extent cx="5943600" cy="2794000"/>
            <wp:effectExtent l="0" t="0" r="0" b="0"/>
            <wp:docPr id="6360118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11810" name="Picture 636011810"/>
                    <pic:cNvPicPr/>
                  </pic:nvPicPr>
                  <pic:blipFill>
                    <a:blip r:embed="rId25">
                      <a:extLst>
                        <a:ext uri="{28A0092B-C50C-407E-A947-70E740481C1C}">
                          <a14:useLocalDpi xmlns:a14="http://schemas.microsoft.com/office/drawing/2010/main" val="0"/>
                        </a:ext>
                      </a:extLst>
                    </a:blip>
                    <a:stretch>
                      <a:fillRect/>
                    </a:stretch>
                  </pic:blipFill>
                  <pic:spPr>
                    <a:xfrm>
                      <a:off x="0" y="0"/>
                      <a:ext cx="5943600" cy="2794000"/>
                    </a:xfrm>
                    <a:prstGeom prst="rect">
                      <a:avLst/>
                    </a:prstGeom>
                  </pic:spPr>
                </pic:pic>
              </a:graphicData>
            </a:graphic>
          </wp:inline>
        </w:drawing>
      </w:r>
    </w:p>
    <w:p w14:paraId="665E9510" w14:textId="77777777" w:rsidR="00FB0DF5" w:rsidRDefault="00FB0DF5" w:rsidP="00FB0DF5">
      <w:r w:rsidRPr="00230BA0">
        <w:t xml:space="preserve">Figure </w:t>
      </w:r>
      <w:r>
        <w:t>S9</w:t>
      </w:r>
      <w:r w:rsidRPr="00230BA0">
        <w:t xml:space="preserve">. The average </w:t>
      </w:r>
      <w:r>
        <w:rPr>
          <w:rFonts w:hint="eastAsia"/>
        </w:rPr>
        <w:t>(A)</w:t>
      </w:r>
      <w:r w:rsidRPr="00871A4C">
        <w:t xml:space="preserve"> accuracy</w:t>
      </w:r>
      <w:r>
        <w:rPr>
          <w:rFonts w:hint="eastAsia"/>
        </w:rPr>
        <w:t xml:space="preserve"> and (B) macro F</w:t>
      </w:r>
      <w:r>
        <w:t>1 of predictions using</w:t>
      </w:r>
      <w:r w:rsidRPr="00230BA0">
        <w:t xml:space="preserve"> MLP on 50 different random seeds</w:t>
      </w:r>
      <w:r>
        <w:t xml:space="preserve">. The reference is </w:t>
      </w:r>
      <w:r>
        <w:rPr>
          <w:rFonts w:hint="eastAsia"/>
        </w:rPr>
        <w:t>specified</w:t>
      </w:r>
      <w:r>
        <w:t xml:space="preserve"> as </w:t>
      </w:r>
      <w:proofErr w:type="spellStart"/>
      <w:r w:rsidRPr="00230BA0">
        <w:t>i</w:t>
      </w:r>
      <w:proofErr w:type="spellEnd"/>
      <w:r w:rsidRPr="00230BA0">
        <w:t xml:space="preserve">. original reference with </w:t>
      </w:r>
      <w:r>
        <w:t>cell-type</w:t>
      </w:r>
      <w:r w:rsidRPr="00230BA0">
        <w:t xml:space="preserve"> proportion </w:t>
      </w:r>
      <m:oMath>
        <m:sSup>
          <m:sSupPr>
            <m:ctrlPr>
              <w:rPr>
                <w:rFonts w:ascii="Cambria Math" w:hAnsi="Cambria Math"/>
                <w:i/>
              </w:rPr>
            </m:ctrlPr>
          </m:sSupPr>
          <m:e>
            <m:r>
              <w:rPr>
                <w:rFonts w:ascii="Cambria Math" w:hAnsi="Cambria Math"/>
              </w:rPr>
              <m:t>P</m:t>
            </m:r>
          </m:e>
          <m:sup>
            <m:r>
              <w:rPr>
                <w:rFonts w:ascii="Cambria Math" w:hAnsi="Cambria Math"/>
              </w:rPr>
              <m:t>R</m:t>
            </m:r>
          </m:sup>
        </m:sSup>
      </m:oMath>
      <w:r w:rsidRPr="00230BA0">
        <w:t xml:space="preserve">; ii. constructed reference with </w:t>
      </w:r>
      <w:r>
        <w:t>cell-type</w:t>
      </w:r>
      <w:r w:rsidRPr="00230BA0">
        <w:t xml:space="preserve"> proportion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1</m:t>
                </m:r>
              </m:sub>
            </m:sSub>
          </m:e>
        </m:acc>
      </m:oMath>
      <w:r w:rsidRPr="00230BA0">
        <w:t>; and i</w:t>
      </w:r>
      <w:r>
        <w:t>ii</w:t>
      </w:r>
      <w:r w:rsidRPr="00230BA0">
        <w:t xml:space="preserve">. constructed reference with </w:t>
      </w:r>
      <w:r>
        <w:t>cell-type</w:t>
      </w:r>
      <w:r w:rsidRPr="00230BA0">
        <w:t xml:space="preserve"> proportion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2</m:t>
                </m:r>
              </m:sub>
            </m:sSub>
          </m:e>
        </m:acc>
      </m:oMath>
      <w:r w:rsidRPr="00230BA0">
        <w:t xml:space="preserve">; The vertical bar indicates the standard deviation of the accuracy in the 50 runs. </w:t>
      </w:r>
    </w:p>
    <w:p w14:paraId="55896812" w14:textId="77777777" w:rsidR="00FB0DF5" w:rsidRPr="00C0010B" w:rsidRDefault="00FB0DF5" w:rsidP="00FB0DF5">
      <w:pPr>
        <w:pageBreakBefore/>
        <w:rPr>
          <w:b/>
          <w:bCs/>
        </w:rPr>
      </w:pPr>
      <w:r w:rsidRPr="00986B23">
        <w:rPr>
          <w:b/>
          <w:bCs/>
        </w:rPr>
        <w:lastRenderedPageBreak/>
        <w:t>Reference</w:t>
      </w:r>
    </w:p>
    <w:p w14:paraId="136A4B8A" w14:textId="77777777" w:rsidR="00FB0DF5" w:rsidRPr="00260C7F" w:rsidRDefault="00FB0DF5" w:rsidP="00FB0DF5">
      <w:pPr>
        <w:pStyle w:val="EndNoteBibliography"/>
        <w:ind w:left="720" w:hanging="720"/>
        <w:rPr>
          <w:noProof/>
        </w:rPr>
      </w:pPr>
      <w:r>
        <w:fldChar w:fldCharType="begin"/>
      </w:r>
      <w:r>
        <w:instrText xml:space="preserve"> ADDIN EN.REFLIST </w:instrText>
      </w:r>
      <w:r>
        <w:fldChar w:fldCharType="separate"/>
      </w:r>
      <w:r w:rsidRPr="00260C7F">
        <w:rPr>
          <w:noProof/>
        </w:rPr>
        <w:t>1.</w:t>
      </w:r>
      <w:r w:rsidRPr="00260C7F">
        <w:rPr>
          <w:noProof/>
        </w:rPr>
        <w:tab/>
        <w:t xml:space="preserve">Kang, H.M., et al., </w:t>
      </w:r>
      <w:r w:rsidRPr="00260C7F">
        <w:rPr>
          <w:i/>
          <w:noProof/>
        </w:rPr>
        <w:t>Multiplexed droplet single-cell RNA-sequencing using natural genetic variation.</w:t>
      </w:r>
      <w:r w:rsidRPr="00260C7F">
        <w:rPr>
          <w:noProof/>
        </w:rPr>
        <w:t xml:space="preserve"> Nature biotechnology, 2018. </w:t>
      </w:r>
      <w:r w:rsidRPr="00260C7F">
        <w:rPr>
          <w:b/>
          <w:noProof/>
        </w:rPr>
        <w:t>36</w:t>
      </w:r>
      <w:r w:rsidRPr="00260C7F">
        <w:rPr>
          <w:noProof/>
        </w:rPr>
        <w:t>(1): p. 89-94.</w:t>
      </w:r>
    </w:p>
    <w:p w14:paraId="6FE0AE2B" w14:textId="77777777" w:rsidR="00FB0DF5" w:rsidRPr="00260C7F" w:rsidRDefault="00FB0DF5" w:rsidP="00FB0DF5">
      <w:pPr>
        <w:pStyle w:val="EndNoteBibliography"/>
        <w:ind w:left="720" w:hanging="720"/>
        <w:rPr>
          <w:noProof/>
        </w:rPr>
      </w:pPr>
      <w:r w:rsidRPr="00260C7F">
        <w:rPr>
          <w:noProof/>
        </w:rPr>
        <w:t>2.</w:t>
      </w:r>
      <w:r w:rsidRPr="00260C7F">
        <w:rPr>
          <w:noProof/>
        </w:rPr>
        <w:tab/>
        <w:t xml:space="preserve">Ding, J., et al., </w:t>
      </w:r>
      <w:r w:rsidRPr="00260C7F">
        <w:rPr>
          <w:i/>
          <w:noProof/>
        </w:rPr>
        <w:t>Systematic comparison of single-cell and single-nucleus RNA-sequencing methods.</w:t>
      </w:r>
      <w:r w:rsidRPr="00260C7F">
        <w:rPr>
          <w:noProof/>
        </w:rPr>
        <w:t xml:space="preserve"> Nature biotechnology, 2020. </w:t>
      </w:r>
      <w:r w:rsidRPr="00260C7F">
        <w:rPr>
          <w:b/>
          <w:noProof/>
        </w:rPr>
        <w:t>38</w:t>
      </w:r>
      <w:r w:rsidRPr="00260C7F">
        <w:rPr>
          <w:noProof/>
        </w:rPr>
        <w:t>(6): p. 737-746.</w:t>
      </w:r>
    </w:p>
    <w:p w14:paraId="19869AF0" w14:textId="77777777" w:rsidR="00FB0DF5" w:rsidRPr="00260C7F" w:rsidRDefault="00FB0DF5" w:rsidP="00FB0DF5">
      <w:pPr>
        <w:pStyle w:val="EndNoteBibliography"/>
        <w:ind w:left="720" w:hanging="720"/>
        <w:rPr>
          <w:noProof/>
        </w:rPr>
      </w:pPr>
      <w:r w:rsidRPr="00260C7F">
        <w:rPr>
          <w:noProof/>
        </w:rPr>
        <w:t>3.</w:t>
      </w:r>
      <w:r w:rsidRPr="00260C7F">
        <w:rPr>
          <w:noProof/>
        </w:rPr>
        <w:tab/>
        <w:t xml:space="preserve">Stephenson, E., et al., </w:t>
      </w:r>
      <w:r w:rsidRPr="00260C7F">
        <w:rPr>
          <w:i/>
          <w:noProof/>
        </w:rPr>
        <w:t>Single-cell multi-omics analysis of the immune response in COVID-19.</w:t>
      </w:r>
      <w:r w:rsidRPr="00260C7F">
        <w:rPr>
          <w:noProof/>
        </w:rPr>
        <w:t xml:space="preserve"> Nature medicine, 2021. </w:t>
      </w:r>
      <w:r w:rsidRPr="00260C7F">
        <w:rPr>
          <w:b/>
          <w:noProof/>
        </w:rPr>
        <w:t>27</w:t>
      </w:r>
      <w:r w:rsidRPr="00260C7F">
        <w:rPr>
          <w:noProof/>
        </w:rPr>
        <w:t>(5): p. 904-916.</w:t>
      </w:r>
    </w:p>
    <w:p w14:paraId="5BF2B1A4" w14:textId="77777777" w:rsidR="00FB0DF5" w:rsidRPr="00260C7F" w:rsidRDefault="00FB0DF5" w:rsidP="00FB0DF5">
      <w:pPr>
        <w:pStyle w:val="EndNoteBibliography"/>
        <w:ind w:left="720" w:hanging="720"/>
        <w:rPr>
          <w:noProof/>
        </w:rPr>
      </w:pPr>
      <w:r w:rsidRPr="00260C7F">
        <w:rPr>
          <w:noProof/>
        </w:rPr>
        <w:t>4.</w:t>
      </w:r>
      <w:r w:rsidRPr="00260C7F">
        <w:rPr>
          <w:noProof/>
        </w:rPr>
        <w:tab/>
        <w:t xml:space="preserve">Ren, X., et al., </w:t>
      </w:r>
      <w:r w:rsidRPr="00260C7F">
        <w:rPr>
          <w:i/>
          <w:noProof/>
        </w:rPr>
        <w:t>COVID-19 immune features revealed by a large-scale single-cell transcriptome atlas.</w:t>
      </w:r>
      <w:r w:rsidRPr="00260C7F">
        <w:rPr>
          <w:noProof/>
        </w:rPr>
        <w:t xml:space="preserve"> Cell, 2021. </w:t>
      </w:r>
      <w:r w:rsidRPr="00260C7F">
        <w:rPr>
          <w:b/>
          <w:noProof/>
        </w:rPr>
        <w:t>184</w:t>
      </w:r>
      <w:r w:rsidRPr="00260C7F">
        <w:rPr>
          <w:noProof/>
        </w:rPr>
        <w:t>(7): p. 1895-1913. e19.</w:t>
      </w:r>
    </w:p>
    <w:p w14:paraId="0895D339" w14:textId="77777777" w:rsidR="00FB0DF5" w:rsidRPr="00260C7F" w:rsidRDefault="00FB0DF5" w:rsidP="00FB0DF5">
      <w:pPr>
        <w:pStyle w:val="EndNoteBibliography"/>
        <w:ind w:left="720" w:hanging="720"/>
        <w:rPr>
          <w:noProof/>
        </w:rPr>
      </w:pPr>
      <w:r w:rsidRPr="00260C7F">
        <w:rPr>
          <w:noProof/>
        </w:rPr>
        <w:t>5.</w:t>
      </w:r>
      <w:r w:rsidRPr="00260C7F">
        <w:rPr>
          <w:noProof/>
        </w:rPr>
        <w:tab/>
        <w:t xml:space="preserve">Zhang, J.-Y., et al., </w:t>
      </w:r>
      <w:r w:rsidRPr="00260C7F">
        <w:rPr>
          <w:i/>
          <w:noProof/>
        </w:rPr>
        <w:t>Single-cell landscape of immunological responses in patients with COVID-19.</w:t>
      </w:r>
      <w:r w:rsidRPr="00260C7F">
        <w:rPr>
          <w:noProof/>
        </w:rPr>
        <w:t xml:space="preserve"> Nature immunology, 2020. </w:t>
      </w:r>
      <w:r w:rsidRPr="00260C7F">
        <w:rPr>
          <w:b/>
          <w:noProof/>
        </w:rPr>
        <w:t>21</w:t>
      </w:r>
      <w:r w:rsidRPr="00260C7F">
        <w:rPr>
          <w:noProof/>
        </w:rPr>
        <w:t>(9): p. 1107-1118.</w:t>
      </w:r>
    </w:p>
    <w:p w14:paraId="76D4E1BC" w14:textId="77777777" w:rsidR="00FB0DF5" w:rsidRPr="00260C7F" w:rsidRDefault="00FB0DF5" w:rsidP="00FB0DF5">
      <w:pPr>
        <w:pStyle w:val="EndNoteBibliography"/>
        <w:ind w:left="720" w:hanging="720"/>
        <w:rPr>
          <w:noProof/>
        </w:rPr>
      </w:pPr>
      <w:r w:rsidRPr="00260C7F">
        <w:rPr>
          <w:noProof/>
        </w:rPr>
        <w:t>6.</w:t>
      </w:r>
      <w:r w:rsidRPr="00260C7F">
        <w:rPr>
          <w:noProof/>
        </w:rPr>
        <w:tab/>
        <w:t xml:space="preserve">Zheng, G.X., et al., </w:t>
      </w:r>
      <w:r w:rsidRPr="00260C7F">
        <w:rPr>
          <w:i/>
          <w:noProof/>
        </w:rPr>
        <w:t>Massively parallel digital transcriptional profiling of single cells.</w:t>
      </w:r>
      <w:r w:rsidRPr="00260C7F">
        <w:rPr>
          <w:noProof/>
        </w:rPr>
        <w:t xml:space="preserve"> Nature communications, 2017. </w:t>
      </w:r>
      <w:r w:rsidRPr="00260C7F">
        <w:rPr>
          <w:b/>
          <w:noProof/>
        </w:rPr>
        <w:t>8</w:t>
      </w:r>
      <w:r w:rsidRPr="00260C7F">
        <w:rPr>
          <w:noProof/>
        </w:rPr>
        <w:t>(1): p. 14049.</w:t>
      </w:r>
    </w:p>
    <w:p w14:paraId="5FE4D3B2" w14:textId="77777777" w:rsidR="00FB0DF5" w:rsidRPr="00260C7F" w:rsidRDefault="00FB0DF5" w:rsidP="00FB0DF5">
      <w:pPr>
        <w:pStyle w:val="EndNoteBibliography"/>
        <w:ind w:left="720" w:hanging="720"/>
        <w:rPr>
          <w:noProof/>
        </w:rPr>
      </w:pPr>
      <w:r w:rsidRPr="00260C7F">
        <w:rPr>
          <w:noProof/>
        </w:rPr>
        <w:t>7.</w:t>
      </w:r>
      <w:r w:rsidRPr="00260C7F">
        <w:rPr>
          <w:noProof/>
        </w:rPr>
        <w:tab/>
        <w:t xml:space="preserve">Ma, W., K. Su, and H. Wu, </w:t>
      </w:r>
      <w:r w:rsidRPr="00260C7F">
        <w:rPr>
          <w:i/>
          <w:noProof/>
        </w:rPr>
        <w:t>Evaluation of some aspects in supervised cell type identification for single-cell RNA-seq: classifier, feature selection, and reference construction.</w:t>
      </w:r>
      <w:r w:rsidRPr="00260C7F">
        <w:rPr>
          <w:noProof/>
        </w:rPr>
        <w:t xml:space="preserve"> Genome biology, 2021. </w:t>
      </w:r>
      <w:r w:rsidRPr="00260C7F">
        <w:rPr>
          <w:b/>
          <w:noProof/>
        </w:rPr>
        <w:t>22</w:t>
      </w:r>
      <w:r w:rsidRPr="00260C7F">
        <w:rPr>
          <w:noProof/>
        </w:rPr>
        <w:t>: p. 1-23.</w:t>
      </w:r>
    </w:p>
    <w:p w14:paraId="689A2ACE" w14:textId="77777777" w:rsidR="00FB0DF5" w:rsidRPr="00226688" w:rsidRDefault="00FB0DF5" w:rsidP="00FB0DF5">
      <w:r>
        <w:fldChar w:fldCharType="end"/>
      </w:r>
    </w:p>
    <w:p w14:paraId="3D4C38B7" w14:textId="77777777" w:rsidR="003F6814" w:rsidRDefault="003F6814"/>
    <w:sectPr w:rsidR="003F6814" w:rsidSect="00FB0DF5">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6047C" w14:textId="77777777" w:rsidR="00816266" w:rsidRDefault="00816266">
      <w:r>
        <w:separator/>
      </w:r>
    </w:p>
  </w:endnote>
  <w:endnote w:type="continuationSeparator" w:id="0">
    <w:p w14:paraId="09C1C57F" w14:textId="77777777" w:rsidR="00816266" w:rsidRDefault="00816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3471153"/>
      <w:docPartObj>
        <w:docPartGallery w:val="Page Numbers (Bottom of Page)"/>
        <w:docPartUnique/>
      </w:docPartObj>
    </w:sdtPr>
    <w:sdtContent>
      <w:p w14:paraId="14A33CE5" w14:textId="77777777" w:rsidR="009C5260" w:rsidRDefault="00000000" w:rsidP="008673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63D191" w14:textId="77777777" w:rsidR="009C5260" w:rsidRDefault="009C5260" w:rsidP="00C759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6643396"/>
      <w:docPartObj>
        <w:docPartGallery w:val="Page Numbers (Bottom of Page)"/>
        <w:docPartUnique/>
      </w:docPartObj>
    </w:sdtPr>
    <w:sdtContent>
      <w:p w14:paraId="442398D3" w14:textId="77777777" w:rsidR="009C5260" w:rsidRDefault="00000000" w:rsidP="008673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AAA973" w14:textId="77777777" w:rsidR="009C5260" w:rsidRDefault="009C5260" w:rsidP="00C759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F4330" w14:textId="77777777" w:rsidR="00816266" w:rsidRDefault="00816266">
      <w:r>
        <w:separator/>
      </w:r>
    </w:p>
  </w:footnote>
  <w:footnote w:type="continuationSeparator" w:id="0">
    <w:p w14:paraId="53AB4A7E" w14:textId="77777777" w:rsidR="00816266" w:rsidRDefault="00816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7611C"/>
    <w:multiLevelType w:val="multilevel"/>
    <w:tmpl w:val="91CE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41649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DF5"/>
    <w:rsid w:val="000C2955"/>
    <w:rsid w:val="000F2AD0"/>
    <w:rsid w:val="000F4B03"/>
    <w:rsid w:val="00132BAE"/>
    <w:rsid w:val="00171C14"/>
    <w:rsid w:val="00196A02"/>
    <w:rsid w:val="001C4E34"/>
    <w:rsid w:val="001F0984"/>
    <w:rsid w:val="001F0E75"/>
    <w:rsid w:val="001F4DB2"/>
    <w:rsid w:val="00237FAD"/>
    <w:rsid w:val="002430F6"/>
    <w:rsid w:val="00251313"/>
    <w:rsid w:val="002568DB"/>
    <w:rsid w:val="0026500E"/>
    <w:rsid w:val="002A30DE"/>
    <w:rsid w:val="002F2E1E"/>
    <w:rsid w:val="00366FEF"/>
    <w:rsid w:val="003F6814"/>
    <w:rsid w:val="00427D31"/>
    <w:rsid w:val="00434958"/>
    <w:rsid w:val="00471369"/>
    <w:rsid w:val="00495EC9"/>
    <w:rsid w:val="00496024"/>
    <w:rsid w:val="004A1BC5"/>
    <w:rsid w:val="004A5EAF"/>
    <w:rsid w:val="004C410E"/>
    <w:rsid w:val="004E340F"/>
    <w:rsid w:val="004F5EFA"/>
    <w:rsid w:val="00517366"/>
    <w:rsid w:val="00520654"/>
    <w:rsid w:val="005843FA"/>
    <w:rsid w:val="005B7442"/>
    <w:rsid w:val="005C1EC3"/>
    <w:rsid w:val="005D5032"/>
    <w:rsid w:val="00622EF7"/>
    <w:rsid w:val="00634485"/>
    <w:rsid w:val="00687C9D"/>
    <w:rsid w:val="00701894"/>
    <w:rsid w:val="00710510"/>
    <w:rsid w:val="00740A00"/>
    <w:rsid w:val="00753104"/>
    <w:rsid w:val="00774639"/>
    <w:rsid w:val="007A4AB7"/>
    <w:rsid w:val="007C00EE"/>
    <w:rsid w:val="007C0DBF"/>
    <w:rsid w:val="007D76DF"/>
    <w:rsid w:val="00816266"/>
    <w:rsid w:val="00862797"/>
    <w:rsid w:val="008812A9"/>
    <w:rsid w:val="008851EE"/>
    <w:rsid w:val="00890F04"/>
    <w:rsid w:val="008D0101"/>
    <w:rsid w:val="00922443"/>
    <w:rsid w:val="0095743F"/>
    <w:rsid w:val="009675C3"/>
    <w:rsid w:val="009C03D1"/>
    <w:rsid w:val="009C5260"/>
    <w:rsid w:val="009E28C9"/>
    <w:rsid w:val="00A01B00"/>
    <w:rsid w:val="00A80109"/>
    <w:rsid w:val="00A928E2"/>
    <w:rsid w:val="00A96F16"/>
    <w:rsid w:val="00AA06E8"/>
    <w:rsid w:val="00AA5399"/>
    <w:rsid w:val="00AE2B24"/>
    <w:rsid w:val="00AE37F8"/>
    <w:rsid w:val="00AF3077"/>
    <w:rsid w:val="00B115B8"/>
    <w:rsid w:val="00B44324"/>
    <w:rsid w:val="00B704E7"/>
    <w:rsid w:val="00B71F15"/>
    <w:rsid w:val="00C006E5"/>
    <w:rsid w:val="00C2011F"/>
    <w:rsid w:val="00C539FB"/>
    <w:rsid w:val="00C76FD5"/>
    <w:rsid w:val="00CC62BC"/>
    <w:rsid w:val="00CD1750"/>
    <w:rsid w:val="00CF3B17"/>
    <w:rsid w:val="00CF6378"/>
    <w:rsid w:val="00D76CA2"/>
    <w:rsid w:val="00DE6E4F"/>
    <w:rsid w:val="00DF5334"/>
    <w:rsid w:val="00E227E0"/>
    <w:rsid w:val="00E311E4"/>
    <w:rsid w:val="00E51253"/>
    <w:rsid w:val="00E86FEF"/>
    <w:rsid w:val="00E952E9"/>
    <w:rsid w:val="00EA0909"/>
    <w:rsid w:val="00EB72BE"/>
    <w:rsid w:val="00F270E9"/>
    <w:rsid w:val="00F4599A"/>
    <w:rsid w:val="00F7414A"/>
    <w:rsid w:val="00F75F4B"/>
    <w:rsid w:val="00F92729"/>
    <w:rsid w:val="00FB0DF5"/>
    <w:rsid w:val="00FC5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010E667"/>
  <w15:chartTrackingRefBased/>
  <w15:docId w15:val="{0BD28320-E5D8-9844-9400-E780484B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F5"/>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B0DF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B0DF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B0DF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B0DF5"/>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B0DF5"/>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B0DF5"/>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B0DF5"/>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B0DF5"/>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B0DF5"/>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0D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0D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D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D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D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D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D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DF5"/>
    <w:rPr>
      <w:rFonts w:eastAsiaTheme="majorEastAsia" w:cstheme="majorBidi"/>
      <w:color w:val="272727" w:themeColor="text1" w:themeTint="D8"/>
    </w:rPr>
  </w:style>
  <w:style w:type="paragraph" w:styleId="Title">
    <w:name w:val="Title"/>
    <w:basedOn w:val="Normal"/>
    <w:next w:val="Normal"/>
    <w:link w:val="TitleChar"/>
    <w:uiPriority w:val="10"/>
    <w:qFormat/>
    <w:rsid w:val="00FB0DF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B0D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DF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B0D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DF5"/>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B0DF5"/>
    <w:rPr>
      <w:i/>
      <w:iCs/>
      <w:color w:val="404040" w:themeColor="text1" w:themeTint="BF"/>
    </w:rPr>
  </w:style>
  <w:style w:type="paragraph" w:styleId="ListParagraph">
    <w:name w:val="List Paragraph"/>
    <w:basedOn w:val="Normal"/>
    <w:uiPriority w:val="34"/>
    <w:qFormat/>
    <w:rsid w:val="00FB0DF5"/>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FB0DF5"/>
    <w:rPr>
      <w:i/>
      <w:iCs/>
      <w:color w:val="0F4761" w:themeColor="accent1" w:themeShade="BF"/>
    </w:rPr>
  </w:style>
  <w:style w:type="paragraph" w:styleId="IntenseQuote">
    <w:name w:val="Intense Quote"/>
    <w:basedOn w:val="Normal"/>
    <w:next w:val="Normal"/>
    <w:link w:val="IntenseQuoteChar"/>
    <w:uiPriority w:val="30"/>
    <w:qFormat/>
    <w:rsid w:val="00FB0DF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B0DF5"/>
    <w:rPr>
      <w:i/>
      <w:iCs/>
      <w:color w:val="0F4761" w:themeColor="accent1" w:themeShade="BF"/>
    </w:rPr>
  </w:style>
  <w:style w:type="character" w:styleId="IntenseReference">
    <w:name w:val="Intense Reference"/>
    <w:basedOn w:val="DefaultParagraphFont"/>
    <w:uiPriority w:val="32"/>
    <w:qFormat/>
    <w:rsid w:val="00FB0DF5"/>
    <w:rPr>
      <w:b/>
      <w:bCs/>
      <w:smallCaps/>
      <w:color w:val="0F4761" w:themeColor="accent1" w:themeShade="BF"/>
      <w:spacing w:val="5"/>
    </w:rPr>
  </w:style>
  <w:style w:type="table" w:styleId="TableGrid">
    <w:name w:val="Table Grid"/>
    <w:basedOn w:val="TableNormal"/>
    <w:uiPriority w:val="39"/>
    <w:rsid w:val="00FB0DF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0DF5"/>
    <w:rPr>
      <w:color w:val="467886" w:themeColor="hyperlink"/>
      <w:u w:val="single"/>
    </w:rPr>
  </w:style>
  <w:style w:type="character" w:customStyle="1" w:styleId="apple-converted-space">
    <w:name w:val="apple-converted-space"/>
    <w:basedOn w:val="DefaultParagraphFont"/>
    <w:rsid w:val="00FB0DF5"/>
  </w:style>
  <w:style w:type="character" w:styleId="FollowedHyperlink">
    <w:name w:val="FollowedHyperlink"/>
    <w:basedOn w:val="DefaultParagraphFont"/>
    <w:uiPriority w:val="99"/>
    <w:semiHidden/>
    <w:unhideWhenUsed/>
    <w:rsid w:val="00FB0DF5"/>
    <w:rPr>
      <w:color w:val="96607D" w:themeColor="followedHyperlink"/>
      <w:u w:val="single"/>
    </w:rPr>
  </w:style>
  <w:style w:type="paragraph" w:styleId="NormalWeb">
    <w:name w:val="Normal (Web)"/>
    <w:basedOn w:val="Normal"/>
    <w:uiPriority w:val="99"/>
    <w:semiHidden/>
    <w:unhideWhenUsed/>
    <w:rsid w:val="00FB0DF5"/>
    <w:pPr>
      <w:spacing w:before="100" w:beforeAutospacing="1" w:after="100" w:afterAutospacing="1"/>
    </w:pPr>
  </w:style>
  <w:style w:type="character" w:styleId="PlaceholderText">
    <w:name w:val="Placeholder Text"/>
    <w:basedOn w:val="DefaultParagraphFont"/>
    <w:uiPriority w:val="99"/>
    <w:semiHidden/>
    <w:rsid w:val="00FB0DF5"/>
    <w:rPr>
      <w:color w:val="666666"/>
    </w:rPr>
  </w:style>
  <w:style w:type="paragraph" w:styleId="Footer">
    <w:name w:val="footer"/>
    <w:basedOn w:val="Normal"/>
    <w:link w:val="FooterChar"/>
    <w:uiPriority w:val="99"/>
    <w:unhideWhenUsed/>
    <w:rsid w:val="00FB0DF5"/>
    <w:pPr>
      <w:tabs>
        <w:tab w:val="center" w:pos="4680"/>
        <w:tab w:val="right" w:pos="9360"/>
      </w:tabs>
    </w:pPr>
  </w:style>
  <w:style w:type="character" w:customStyle="1" w:styleId="FooterChar">
    <w:name w:val="Footer Char"/>
    <w:basedOn w:val="DefaultParagraphFont"/>
    <w:link w:val="Footer"/>
    <w:uiPriority w:val="99"/>
    <w:rsid w:val="00FB0DF5"/>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FB0DF5"/>
  </w:style>
  <w:style w:type="character" w:styleId="CommentReference">
    <w:name w:val="annotation reference"/>
    <w:basedOn w:val="DefaultParagraphFont"/>
    <w:uiPriority w:val="99"/>
    <w:semiHidden/>
    <w:unhideWhenUsed/>
    <w:rsid w:val="00FB0DF5"/>
    <w:rPr>
      <w:sz w:val="16"/>
      <w:szCs w:val="16"/>
    </w:rPr>
  </w:style>
  <w:style w:type="paragraph" w:styleId="CommentText">
    <w:name w:val="annotation text"/>
    <w:basedOn w:val="Normal"/>
    <w:link w:val="CommentTextChar"/>
    <w:uiPriority w:val="99"/>
    <w:semiHidden/>
    <w:unhideWhenUsed/>
    <w:rsid w:val="00FB0DF5"/>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FB0DF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B0DF5"/>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FB0DF5"/>
    <w:rPr>
      <w:rFonts w:ascii="Times New Roman" w:eastAsia="Times New Roman" w:hAnsi="Times New Roman" w:cs="Times New Roman"/>
      <w:b/>
      <w:bCs/>
      <w:kern w:val="0"/>
      <w:sz w:val="20"/>
      <w:szCs w:val="20"/>
      <w14:ligatures w14:val="none"/>
    </w:rPr>
  </w:style>
  <w:style w:type="paragraph" w:styleId="BalloonText">
    <w:name w:val="Balloon Text"/>
    <w:basedOn w:val="Normal"/>
    <w:link w:val="BalloonTextChar"/>
    <w:uiPriority w:val="99"/>
    <w:semiHidden/>
    <w:unhideWhenUsed/>
    <w:rsid w:val="00FB0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DF5"/>
    <w:rPr>
      <w:rFonts w:ascii="Segoe UI" w:eastAsia="Times New Roman" w:hAnsi="Segoe UI" w:cs="Segoe UI"/>
      <w:kern w:val="0"/>
      <w:sz w:val="18"/>
      <w:szCs w:val="18"/>
      <w14:ligatures w14:val="none"/>
    </w:rPr>
  </w:style>
  <w:style w:type="paragraph" w:styleId="Revision">
    <w:name w:val="Revision"/>
    <w:hidden/>
    <w:uiPriority w:val="99"/>
    <w:semiHidden/>
    <w:rsid w:val="00FB0DF5"/>
    <w:pPr>
      <w:spacing w:after="0" w:line="240" w:lineRule="auto"/>
    </w:pPr>
    <w:rPr>
      <w:rFonts w:ascii="Times New Roman" w:eastAsia="Times New Roman" w:hAnsi="Times New Roman" w:cs="Times New Roman"/>
      <w:kern w:val="0"/>
      <w14:ligatures w14:val="none"/>
    </w:rPr>
  </w:style>
  <w:style w:type="paragraph" w:customStyle="1" w:styleId="EndNoteBibliographyTitle">
    <w:name w:val="EndNote Bibliography Title"/>
    <w:basedOn w:val="Normal"/>
    <w:link w:val="EndNoteBibliographyTitleChar"/>
    <w:rsid w:val="00FB0DF5"/>
    <w:pPr>
      <w:jc w:val="center"/>
    </w:pPr>
  </w:style>
  <w:style w:type="character" w:customStyle="1" w:styleId="EndNoteBibliographyTitleChar">
    <w:name w:val="EndNote Bibliography Title Char"/>
    <w:basedOn w:val="DefaultParagraphFont"/>
    <w:link w:val="EndNoteBibliographyTitle"/>
    <w:rsid w:val="00FB0DF5"/>
    <w:rPr>
      <w:rFonts w:ascii="Times New Roman" w:eastAsia="Times New Roman" w:hAnsi="Times New Roman" w:cs="Times New Roman"/>
      <w:kern w:val="0"/>
      <w14:ligatures w14:val="none"/>
    </w:rPr>
  </w:style>
  <w:style w:type="paragraph" w:customStyle="1" w:styleId="EndNoteBibliography">
    <w:name w:val="EndNote Bibliography"/>
    <w:basedOn w:val="Normal"/>
    <w:link w:val="EndNoteBibliographyChar"/>
    <w:rsid w:val="00FB0DF5"/>
  </w:style>
  <w:style w:type="character" w:customStyle="1" w:styleId="EndNoteBibliographyChar">
    <w:name w:val="EndNote Bibliography Char"/>
    <w:basedOn w:val="DefaultParagraphFont"/>
    <w:link w:val="EndNoteBibliography"/>
    <w:rsid w:val="00FB0DF5"/>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geo/query/acc.cgi?acc=GSE96583" TargetMode="External"/><Relationship Id="rId13" Type="http://schemas.openxmlformats.org/officeDocument/2006/relationships/hyperlink" Target="http://covid19.cancer-pku.cn/"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https://www.ncbi.nlm.nih.gov/geo/query/acc.cgi?acc=GSE96583" TargetMode="External"/><Relationship Id="rId12" Type="http://schemas.openxmlformats.org/officeDocument/2006/relationships/hyperlink" Target="https://www.ncbi.nlm.nih.gov/geo/query/acc.cgi?acc=GSE158055" TargetMode="External"/><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scCOVID-19/COVIDPBMC"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10xgenomics.com/resources/datasets" TargetMode="Externa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hyperlink" Target="https://singlecell.broadinstitute.org/single_cell/study/SCP424/single-cell-comparison-pbmc-data"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s://www.ncbi.nlm.nih.gov/geo/query/acc.cgi?acc=GSE96583" TargetMode="External"/><Relationship Id="rId14" Type="http://schemas.openxmlformats.org/officeDocument/2006/relationships/hyperlink" Target="https://cells.ucsc.edu/?ds=covid19-immuno&amp;meta=PatientID" TargetMode="External"/><Relationship Id="rId22" Type="http://schemas.openxmlformats.org/officeDocument/2006/relationships/image" Target="media/image7.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eixin/Library/Group%20Containers/UBF8T346G9.Office/User%20Content.localized/Templates.localized/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22</Pages>
  <Words>6717</Words>
  <Characters>38291</Characters>
  <Application>Microsoft Office Word</Application>
  <DocSecurity>0</DocSecurity>
  <Lines>319</Lines>
  <Paragraphs>89</Paragraphs>
  <ScaleCrop>false</ScaleCrop>
  <Company/>
  <LinksUpToDate>false</LinksUpToDate>
  <CharactersWithSpaces>44919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Wei, Xin</cp:lastModifiedBy>
  <cp:revision>19</cp:revision>
  <dcterms:created xsi:type="dcterms:W3CDTF">2024-06-05T18:14:00Z</dcterms:created>
  <dcterms:modified xsi:type="dcterms:W3CDTF">2024-06-10T16:38:00Z</dcterms:modified>
</cp:coreProperties>
</file>